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pStyle w:val="54"/>
        <w:jc w:val="center"/>
        <w:rPr>
          <w:rFonts w:hint="eastAsia" w:ascii="方正公文仿宋" w:hAnsi="方正公文仿宋" w:eastAsia="方正公文仿宋" w:cs="方正公文仿宋"/>
          <w:color w:val="auto"/>
          <w:kern w:val="2"/>
          <w:sz w:val="44"/>
          <w:szCs w:val="44"/>
        </w:rPr>
      </w:pPr>
      <w:bookmarkStart w:id="0" w:name="OLE_LINK1"/>
      <w:r>
        <w:rPr>
          <w:rFonts w:hint="eastAsia" w:ascii="方正小标宋简体" w:eastAsia="方正小标宋简体"/>
          <w:sz w:val="48"/>
          <w:szCs w:val="48"/>
        </w:rPr>
        <w:drawing>
          <wp:inline distT="0" distB="0" distL="114300" distR="114300">
            <wp:extent cx="5274945" cy="734695"/>
            <wp:effectExtent l="0" t="0" r="1905" b="8255"/>
            <wp:docPr id="6"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logo"/>
                    <pic:cNvPicPr>
                      <a:picLocks noChangeAspect="1"/>
                    </pic:cNvPicPr>
                  </pic:nvPicPr>
                  <pic:blipFill>
                    <a:blip r:embed="rId9"/>
                    <a:stretch>
                      <a:fillRect/>
                    </a:stretch>
                  </pic:blipFill>
                  <pic:spPr>
                    <a:xfrm>
                      <a:off x="0" y="0"/>
                      <a:ext cx="5274945" cy="734695"/>
                    </a:xfrm>
                    <a:prstGeom prst="rect">
                      <a:avLst/>
                    </a:prstGeom>
                    <a:noFill/>
                    <a:ln>
                      <a:noFill/>
                    </a:ln>
                  </pic:spPr>
                </pic:pic>
              </a:graphicData>
            </a:graphic>
          </wp:inline>
        </w:drawing>
      </w:r>
    </w:p>
    <w:p>
      <w:pPr>
        <w:pStyle w:val="54"/>
        <w:jc w:val="center"/>
        <w:rPr>
          <w:rFonts w:hint="eastAsia" w:ascii="方正公文仿宋" w:hAnsi="方正公文仿宋" w:eastAsia="方正公文仿宋" w:cs="方正公文仿宋"/>
          <w:color w:val="auto"/>
          <w:kern w:val="2"/>
          <w:sz w:val="44"/>
          <w:szCs w:val="44"/>
        </w:rPr>
      </w:pPr>
    </w:p>
    <w:p>
      <w:pPr>
        <w:pStyle w:val="54"/>
        <w:jc w:val="center"/>
        <w:rPr>
          <w:rFonts w:hint="eastAsia" w:ascii="方正公文仿宋" w:hAnsi="方正公文仿宋" w:eastAsia="方正公文仿宋" w:cs="方正公文仿宋"/>
          <w:b/>
          <w:bCs/>
          <w:color w:val="auto"/>
          <w:kern w:val="2"/>
          <w:sz w:val="72"/>
          <w:szCs w:val="72"/>
          <w:lang w:val="en-US" w:eastAsia="zh-CN"/>
        </w:rPr>
      </w:pPr>
    </w:p>
    <w:p>
      <w:pPr>
        <w:pStyle w:val="54"/>
        <w:jc w:val="center"/>
        <w:rPr>
          <w:rFonts w:hint="eastAsia" w:ascii="黑体" w:hAnsi="黑体" w:eastAsia="黑体" w:cs="黑体"/>
          <w:b/>
          <w:bCs/>
          <w:i w:val="0"/>
          <w:iCs w:val="0"/>
          <w:caps w:val="0"/>
          <w:color w:val="333333"/>
          <w:spacing w:val="0"/>
          <w:sz w:val="52"/>
          <w:szCs w:val="52"/>
          <w:shd w:val="clear" w:fill="FFFFFF"/>
          <w:lang w:eastAsia="zh-CN"/>
        </w:rPr>
      </w:pPr>
      <w:r>
        <w:rPr>
          <w:rFonts w:hint="default" w:ascii="黑体" w:hAnsi="黑体" w:eastAsia="黑体" w:cs="黑体"/>
          <w:b/>
          <w:bCs/>
          <w:i w:val="0"/>
          <w:iCs w:val="0"/>
          <w:caps w:val="0"/>
          <w:color w:val="333333"/>
          <w:spacing w:val="0"/>
          <w:sz w:val="52"/>
          <w:szCs w:val="52"/>
          <w:shd w:val="clear" w:fill="FFFFFF"/>
        </w:rPr>
        <w:t xml:space="preserve"> </w:t>
      </w:r>
      <w:r>
        <w:rPr>
          <w:rFonts w:hint="eastAsia" w:ascii="黑体" w:hAnsi="黑体" w:eastAsia="黑体" w:cs="黑体"/>
          <w:b/>
          <w:bCs/>
          <w:i w:val="0"/>
          <w:iCs w:val="0"/>
          <w:caps w:val="0"/>
          <w:color w:val="333333"/>
          <w:spacing w:val="0"/>
          <w:sz w:val="52"/>
          <w:szCs w:val="52"/>
          <w:shd w:val="clear" w:fill="FFFFFF"/>
          <w:lang w:val="en-US" w:eastAsia="zh-CN"/>
        </w:rPr>
        <w:t>2.4.3-01</w:t>
      </w:r>
      <w:r>
        <w:rPr>
          <w:rFonts w:hint="default" w:ascii="黑体" w:hAnsi="黑体" w:eastAsia="黑体" w:cs="黑体"/>
          <w:b/>
          <w:bCs/>
          <w:i w:val="0"/>
          <w:iCs w:val="0"/>
          <w:caps w:val="0"/>
          <w:color w:val="333333"/>
          <w:spacing w:val="0"/>
          <w:sz w:val="52"/>
          <w:szCs w:val="52"/>
          <w:shd w:val="clear" w:fill="FFFFFF"/>
        </w:rPr>
        <w:t>教学运行与监控制度</w:t>
      </w:r>
      <w:r>
        <w:rPr>
          <w:rFonts w:hint="eastAsia" w:ascii="黑体" w:hAnsi="黑体" w:eastAsia="黑体" w:cs="黑体"/>
          <w:b/>
          <w:bCs/>
          <w:i w:val="0"/>
          <w:iCs w:val="0"/>
          <w:caps w:val="0"/>
          <w:color w:val="333333"/>
          <w:spacing w:val="0"/>
          <w:sz w:val="52"/>
          <w:szCs w:val="52"/>
          <w:shd w:val="clear" w:fill="FFFFFF"/>
          <w:lang w:val="en-US" w:eastAsia="zh-CN"/>
        </w:rPr>
        <w:t>汇编</w:t>
      </w:r>
    </w:p>
    <w:p>
      <w:pPr>
        <w:pStyle w:val="54"/>
        <w:jc w:val="center"/>
        <w:rPr>
          <w:rFonts w:hint="eastAsia" w:ascii="方正公文仿宋" w:hAnsi="方正公文仿宋" w:eastAsia="方正公文仿宋" w:cs="方正公文仿宋"/>
          <w:color w:val="auto"/>
          <w:kern w:val="2"/>
          <w:sz w:val="44"/>
          <w:szCs w:val="44"/>
        </w:rPr>
      </w:pPr>
    </w:p>
    <w:p>
      <w:pPr>
        <w:pStyle w:val="54"/>
        <w:jc w:val="center"/>
        <w:rPr>
          <w:rFonts w:hint="eastAsia" w:ascii="方正公文仿宋" w:hAnsi="方正公文仿宋" w:eastAsia="方正公文仿宋" w:cs="方正公文仿宋"/>
          <w:color w:val="auto"/>
          <w:kern w:val="2"/>
          <w:sz w:val="44"/>
          <w:szCs w:val="44"/>
        </w:rPr>
      </w:pPr>
    </w:p>
    <w:p>
      <w:pPr>
        <w:rPr>
          <w:rFonts w:hint="eastAsia" w:ascii="方正公文仿宋" w:hAnsi="方正公文仿宋" w:eastAsia="方正公文仿宋" w:cs="方正公文仿宋"/>
          <w:color w:val="auto"/>
          <w:kern w:val="2"/>
          <w:sz w:val="44"/>
          <w:szCs w:val="44"/>
        </w:rPr>
      </w:pPr>
    </w:p>
    <w:p>
      <w:pPr>
        <w:rPr>
          <w:rFonts w:hint="eastAsia" w:ascii="方正公文仿宋" w:hAnsi="方正公文仿宋" w:eastAsia="方正公文仿宋" w:cs="方正公文仿宋"/>
          <w:color w:val="auto"/>
          <w:kern w:val="2"/>
          <w:sz w:val="44"/>
          <w:szCs w:val="44"/>
        </w:rPr>
      </w:pPr>
    </w:p>
    <w:p>
      <w:pPr>
        <w:rPr>
          <w:rFonts w:hint="eastAsia" w:ascii="方正公文仿宋" w:hAnsi="方正公文仿宋" w:eastAsia="方正公文仿宋" w:cs="方正公文仿宋"/>
          <w:color w:val="auto"/>
          <w:kern w:val="2"/>
          <w:sz w:val="44"/>
          <w:szCs w:val="44"/>
        </w:rPr>
      </w:pPr>
    </w:p>
    <w:p>
      <w:pPr>
        <w:rPr>
          <w:rFonts w:hint="eastAsia" w:ascii="方正公文仿宋" w:hAnsi="方正公文仿宋" w:eastAsia="方正公文仿宋" w:cs="方正公文仿宋"/>
          <w:color w:val="auto"/>
          <w:kern w:val="2"/>
          <w:sz w:val="44"/>
          <w:szCs w:val="44"/>
        </w:rPr>
      </w:pPr>
    </w:p>
    <w:p>
      <w:pPr>
        <w:rPr>
          <w:rFonts w:hint="eastAsia" w:ascii="方正公文仿宋" w:hAnsi="方正公文仿宋" w:eastAsia="方正公文仿宋" w:cs="方正公文仿宋"/>
          <w:color w:val="auto"/>
          <w:kern w:val="2"/>
          <w:sz w:val="44"/>
          <w:szCs w:val="44"/>
        </w:rPr>
      </w:pPr>
    </w:p>
    <w:p>
      <w:pPr>
        <w:rPr>
          <w:rFonts w:hint="eastAsia" w:ascii="方正公文仿宋" w:hAnsi="方正公文仿宋" w:eastAsia="方正公文仿宋" w:cs="方正公文仿宋"/>
          <w:color w:val="auto"/>
          <w:kern w:val="2"/>
          <w:sz w:val="44"/>
          <w:szCs w:val="44"/>
        </w:rPr>
      </w:pPr>
    </w:p>
    <w:p>
      <w:pPr>
        <w:spacing w:line="360" w:lineRule="auto"/>
      </w:pPr>
    </w:p>
    <w:p>
      <w:pPr>
        <w:spacing w:line="360" w:lineRule="auto"/>
      </w:pPr>
    </w:p>
    <w:bookmarkEnd w:id="0"/>
    <w:p>
      <w:pP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br w:type="page"/>
      </w:r>
    </w:p>
    <w:sdt>
      <w:sdtPr>
        <w:rPr>
          <w:rFonts w:ascii="宋体" w:hAnsi="宋体" w:eastAsia="宋体" w:cstheme="minorBidi"/>
          <w:b/>
          <w:bCs/>
          <w:kern w:val="2"/>
          <w:sz w:val="28"/>
          <w:szCs w:val="28"/>
          <w:lang w:val="en-US" w:eastAsia="zh-CN" w:bidi="ar-SA"/>
        </w:rPr>
        <w:id w:val="147477941"/>
        <w15:color w:val="DBDBDB"/>
        <w:docPartObj>
          <w:docPartGallery w:val="Table of Contents"/>
          <w:docPartUnique/>
        </w:docPartObj>
      </w:sdtPr>
      <w:sdtEndPr>
        <w:rPr>
          <w:rFonts w:eastAsia="仿宋_GB2312" w:asciiTheme="minorHAnsi" w:hAnsiTheme="minorHAnsi" w:cstheme="minorBidi"/>
          <w:b/>
          <w:bCs/>
          <w:kern w:val="2"/>
          <w:sz w:val="21"/>
          <w:szCs w:val="32"/>
          <w:lang w:val="en-US" w:eastAsia="zh-CN" w:bidi="ar-SA"/>
        </w:rPr>
      </w:sdtEndPr>
      <w:sdtContent>
        <w:p>
          <w:pPr>
            <w:pageBreakBefore w:val="0"/>
            <w:tabs>
              <w:tab w:val="right" w:leader="dot" w:pos="8306"/>
            </w:tabs>
            <w:topLinePunct w:val="0"/>
            <w:bidi w:val="0"/>
            <w:spacing w:before="0" w:beforeLines="0" w:after="0" w:afterLines="0" w:line="240" w:lineRule="auto"/>
            <w:ind w:left="0" w:leftChars="0" w:right="0" w:rightChars="0" w:firstLine="0" w:firstLineChars="0"/>
            <w:jc w:val="center"/>
            <w:outlineLvl w:val="9"/>
            <w:rPr>
              <w:rFonts w:eastAsia="仿宋_GB2312" w:asciiTheme="minorHAnsi" w:hAnsiTheme="minorHAnsi" w:cstheme="minorBidi"/>
              <w:kern w:val="2"/>
              <w:sz w:val="21"/>
              <w:szCs w:val="32"/>
              <w:lang w:val="en-US" w:eastAsia="zh-CN" w:bidi="ar-SA"/>
            </w:rPr>
          </w:pPr>
          <w:r>
            <w:rPr>
              <w:rFonts w:ascii="宋体" w:hAnsi="宋体" w:eastAsia="宋体"/>
              <w:b/>
              <w:bCs/>
              <w:sz w:val="28"/>
              <w:szCs w:val="28"/>
            </w:rPr>
            <w:t>目</w:t>
          </w:r>
          <w:r>
            <w:rPr>
              <w:rFonts w:hint="eastAsia" w:ascii="宋体" w:hAnsi="宋体" w:eastAsia="宋体"/>
              <w:b/>
              <w:bCs/>
              <w:sz w:val="28"/>
              <w:szCs w:val="28"/>
              <w:lang w:val="en-US" w:eastAsia="zh-CN"/>
            </w:rPr>
            <w:t xml:space="preserve">     </w:t>
          </w:r>
          <w:r>
            <w:rPr>
              <w:rFonts w:ascii="宋体" w:hAnsi="宋体" w:eastAsia="宋体"/>
              <w:b/>
              <w:bCs/>
              <w:sz w:val="28"/>
              <w:szCs w:val="28"/>
            </w:rPr>
            <w:t>录</w:t>
          </w:r>
          <w:r>
            <w:rPr>
              <w:rFonts w:eastAsia="仿宋_GB2312"/>
              <w:sz w:val="32"/>
              <w:szCs w:val="32"/>
            </w:rPr>
            <w:fldChar w:fldCharType="begin"/>
          </w:r>
          <w:r>
            <w:rPr>
              <w:rFonts w:eastAsia="仿宋_GB2312"/>
              <w:sz w:val="32"/>
              <w:szCs w:val="32"/>
            </w:rPr>
            <w:instrText xml:space="preserve">TOC \o "1-3" \h \u </w:instrText>
          </w:r>
          <w:r>
            <w:rPr>
              <w:rFonts w:eastAsia="仿宋_GB2312"/>
              <w:sz w:val="32"/>
              <w:szCs w:val="32"/>
            </w:rPr>
            <w:fldChar w:fldCharType="separate"/>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lang w:val="en-US" w:eastAsia="zh-CN"/>
            </w:rPr>
            <w:t>1.</w:t>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_Toc30705 </w:instrText>
          </w:r>
          <w:r>
            <w:rPr>
              <w:rFonts w:hint="eastAsia" w:ascii="黑体" w:hAnsi="黑体" w:eastAsia="黑体" w:cs="黑体"/>
              <w:sz w:val="22"/>
              <w:szCs w:val="22"/>
            </w:rPr>
            <w:fldChar w:fldCharType="separate"/>
          </w:r>
          <w:r>
            <w:rPr>
              <w:rFonts w:hint="eastAsia" w:ascii="黑体" w:hAnsi="黑体" w:eastAsia="黑体" w:cs="黑体"/>
              <w:bCs/>
              <w:sz w:val="22"/>
              <w:szCs w:val="22"/>
            </w:rPr>
            <w:t>上海电子信息职业技术学院关于实行教师坐班答疑制度的意见</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_Toc30705 \h </w:instrText>
          </w:r>
          <w:r>
            <w:rPr>
              <w:rFonts w:hint="eastAsia" w:ascii="黑体" w:hAnsi="黑体" w:eastAsia="黑体" w:cs="黑体"/>
              <w:sz w:val="22"/>
              <w:szCs w:val="22"/>
            </w:rPr>
            <w:fldChar w:fldCharType="separate"/>
          </w:r>
          <w:r>
            <w:rPr>
              <w:rFonts w:hint="eastAsia" w:ascii="黑体" w:hAnsi="黑体" w:eastAsia="黑体" w:cs="黑体"/>
              <w:sz w:val="22"/>
              <w:szCs w:val="22"/>
            </w:rPr>
            <w:t>1</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_Toc22223 </w:instrText>
          </w:r>
          <w:r>
            <w:rPr>
              <w:rFonts w:hint="eastAsia" w:ascii="黑体" w:hAnsi="黑体" w:eastAsia="黑体" w:cs="黑体"/>
              <w:sz w:val="22"/>
              <w:szCs w:val="22"/>
            </w:rPr>
            <w:fldChar w:fldCharType="separate"/>
          </w:r>
          <w:r>
            <w:rPr>
              <w:rFonts w:hint="eastAsia" w:ascii="黑体" w:hAnsi="黑体" w:eastAsia="黑体" w:cs="黑体"/>
              <w:bCs/>
              <w:sz w:val="22"/>
              <w:szCs w:val="22"/>
              <w:lang w:val="en-US" w:eastAsia="zh-CN"/>
            </w:rPr>
            <w:t>2.</w:t>
          </w:r>
          <w:r>
            <w:rPr>
              <w:rFonts w:hint="eastAsia" w:ascii="黑体" w:hAnsi="黑体" w:eastAsia="黑体" w:cs="黑体"/>
              <w:bCs/>
              <w:sz w:val="22"/>
              <w:szCs w:val="22"/>
            </w:rPr>
            <w:t>上海电子信息职业技术学院教材采购管理办法（修订）</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_Toc22223 \h </w:instrText>
          </w:r>
          <w:r>
            <w:rPr>
              <w:rFonts w:hint="eastAsia" w:ascii="黑体" w:hAnsi="黑体" w:eastAsia="黑体" w:cs="黑体"/>
              <w:sz w:val="22"/>
              <w:szCs w:val="22"/>
            </w:rPr>
            <w:fldChar w:fldCharType="separate"/>
          </w:r>
          <w:r>
            <w:rPr>
              <w:rFonts w:hint="eastAsia" w:ascii="黑体" w:hAnsi="黑体" w:eastAsia="黑体" w:cs="黑体"/>
              <w:sz w:val="22"/>
              <w:szCs w:val="22"/>
            </w:rPr>
            <w:t>3</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_Toc24169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3.</w:t>
          </w:r>
          <w:r>
            <w:rPr>
              <w:rFonts w:hint="eastAsia" w:ascii="黑体" w:hAnsi="黑体" w:eastAsia="黑体" w:cs="黑体"/>
              <w:bCs/>
              <w:sz w:val="22"/>
              <w:szCs w:val="22"/>
            </w:rPr>
            <w:t>上海电子信息职业技术学院学历管理实施细则</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_Toc24169 \h </w:instrText>
          </w:r>
          <w:r>
            <w:rPr>
              <w:rFonts w:hint="eastAsia" w:ascii="黑体" w:hAnsi="黑体" w:eastAsia="黑体" w:cs="黑体"/>
              <w:sz w:val="22"/>
              <w:szCs w:val="22"/>
            </w:rPr>
            <w:fldChar w:fldCharType="separate"/>
          </w:r>
          <w:r>
            <w:rPr>
              <w:rFonts w:hint="eastAsia" w:ascii="黑体" w:hAnsi="黑体" w:eastAsia="黑体" w:cs="黑体"/>
              <w:sz w:val="22"/>
              <w:szCs w:val="22"/>
            </w:rPr>
            <w:t>8</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_Toc1645 </w:instrText>
          </w:r>
          <w:r>
            <w:rPr>
              <w:rFonts w:hint="eastAsia" w:ascii="黑体" w:hAnsi="黑体" w:eastAsia="黑体" w:cs="黑体"/>
              <w:sz w:val="22"/>
              <w:szCs w:val="22"/>
            </w:rPr>
            <w:fldChar w:fldCharType="separate"/>
          </w:r>
          <w:r>
            <w:rPr>
              <w:rFonts w:hint="eastAsia" w:ascii="黑体" w:hAnsi="黑体" w:eastAsia="黑体" w:cs="黑体"/>
              <w:bCs/>
              <w:sz w:val="22"/>
              <w:szCs w:val="22"/>
              <w:lang w:val="en-US" w:eastAsia="zh-CN"/>
            </w:rPr>
            <w:t>4.</w:t>
          </w:r>
          <w:r>
            <w:rPr>
              <w:rFonts w:hint="eastAsia" w:ascii="黑体" w:hAnsi="黑体" w:eastAsia="黑体" w:cs="黑体"/>
              <w:bCs/>
              <w:sz w:val="22"/>
              <w:szCs w:val="22"/>
            </w:rPr>
            <w:t>上海电子信息职业技术学院学生转专业管理办法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_Toc1645 \h </w:instrText>
          </w:r>
          <w:r>
            <w:rPr>
              <w:rFonts w:hint="eastAsia" w:ascii="黑体" w:hAnsi="黑体" w:eastAsia="黑体" w:cs="黑体"/>
              <w:sz w:val="22"/>
              <w:szCs w:val="22"/>
            </w:rPr>
            <w:fldChar w:fldCharType="separate"/>
          </w:r>
          <w:r>
            <w:rPr>
              <w:rFonts w:hint="eastAsia" w:ascii="黑体" w:hAnsi="黑体" w:eastAsia="黑体" w:cs="黑体"/>
              <w:sz w:val="22"/>
              <w:szCs w:val="22"/>
            </w:rPr>
            <w:t>12</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_Toc3989 </w:instrText>
          </w:r>
          <w:r>
            <w:rPr>
              <w:rFonts w:hint="eastAsia" w:ascii="黑体" w:hAnsi="黑体" w:eastAsia="黑体" w:cs="黑体"/>
              <w:sz w:val="22"/>
              <w:szCs w:val="22"/>
            </w:rPr>
            <w:fldChar w:fldCharType="separate"/>
          </w:r>
          <w:r>
            <w:rPr>
              <w:rFonts w:hint="eastAsia" w:ascii="黑体" w:hAnsi="黑体" w:eastAsia="黑体" w:cs="黑体"/>
              <w:bCs/>
              <w:sz w:val="22"/>
              <w:szCs w:val="22"/>
              <w:lang w:val="en-US" w:eastAsia="zh-CN"/>
            </w:rPr>
            <w:t>5.</w:t>
          </w:r>
          <w:r>
            <w:rPr>
              <w:rFonts w:hint="eastAsia" w:ascii="黑体" w:hAnsi="黑体" w:eastAsia="黑体" w:cs="黑体"/>
              <w:bCs/>
              <w:sz w:val="22"/>
              <w:szCs w:val="22"/>
            </w:rPr>
            <w:t>上海电子信息职业技术学院教学督导工作规程</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_Toc3989 \h </w:instrText>
          </w:r>
          <w:r>
            <w:rPr>
              <w:rFonts w:hint="eastAsia" w:ascii="黑体" w:hAnsi="黑体" w:eastAsia="黑体" w:cs="黑体"/>
              <w:sz w:val="22"/>
              <w:szCs w:val="22"/>
            </w:rPr>
            <w:fldChar w:fldCharType="separate"/>
          </w:r>
          <w:r>
            <w:rPr>
              <w:rFonts w:hint="eastAsia" w:ascii="黑体" w:hAnsi="黑体" w:eastAsia="黑体" w:cs="黑体"/>
              <w:sz w:val="22"/>
              <w:szCs w:val="22"/>
            </w:rPr>
            <w:t>16</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_Toc30575 </w:instrText>
          </w:r>
          <w:r>
            <w:rPr>
              <w:rFonts w:hint="eastAsia" w:ascii="黑体" w:hAnsi="黑体" w:eastAsia="黑体" w:cs="黑体"/>
              <w:sz w:val="22"/>
              <w:szCs w:val="22"/>
            </w:rPr>
            <w:fldChar w:fldCharType="separate"/>
          </w:r>
          <w:r>
            <w:rPr>
              <w:rFonts w:hint="eastAsia" w:ascii="黑体" w:hAnsi="黑体" w:eastAsia="黑体" w:cs="黑体"/>
              <w:bCs/>
              <w:sz w:val="22"/>
              <w:szCs w:val="22"/>
              <w:lang w:val="en-US" w:eastAsia="zh-CN"/>
            </w:rPr>
            <w:t>6.</w:t>
          </w:r>
          <w:r>
            <w:rPr>
              <w:rFonts w:hint="eastAsia" w:ascii="黑体" w:hAnsi="黑体" w:eastAsia="黑体" w:cs="黑体"/>
              <w:bCs/>
              <w:sz w:val="22"/>
              <w:szCs w:val="22"/>
            </w:rPr>
            <w:t>上海电子信息职业技术学院教学督导委员会章程</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_Toc30575 \h </w:instrText>
          </w:r>
          <w:r>
            <w:rPr>
              <w:rFonts w:hint="eastAsia" w:ascii="黑体" w:hAnsi="黑体" w:eastAsia="黑体" w:cs="黑体"/>
              <w:sz w:val="22"/>
              <w:szCs w:val="22"/>
            </w:rPr>
            <w:fldChar w:fldCharType="separate"/>
          </w:r>
          <w:r>
            <w:rPr>
              <w:rFonts w:hint="eastAsia" w:ascii="黑体" w:hAnsi="黑体" w:eastAsia="黑体" w:cs="黑体"/>
              <w:sz w:val="22"/>
              <w:szCs w:val="22"/>
            </w:rPr>
            <w:t>24</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_Toc24862 </w:instrText>
          </w:r>
          <w:r>
            <w:rPr>
              <w:rFonts w:hint="eastAsia" w:ascii="黑体" w:hAnsi="黑体" w:eastAsia="黑体" w:cs="黑体"/>
              <w:sz w:val="22"/>
              <w:szCs w:val="22"/>
            </w:rPr>
            <w:fldChar w:fldCharType="separate"/>
          </w:r>
          <w:r>
            <w:rPr>
              <w:rFonts w:hint="eastAsia" w:ascii="黑体" w:hAnsi="黑体" w:eastAsia="黑体" w:cs="黑体"/>
              <w:bCs/>
              <w:sz w:val="22"/>
              <w:szCs w:val="22"/>
              <w:lang w:val="en-US" w:eastAsia="zh-CN"/>
            </w:rPr>
            <w:t>7.</w:t>
          </w:r>
          <w:r>
            <w:rPr>
              <w:rFonts w:hint="eastAsia" w:ascii="黑体" w:hAnsi="黑体" w:eastAsia="黑体" w:cs="黑体"/>
              <w:bCs/>
              <w:sz w:val="22"/>
              <w:szCs w:val="22"/>
            </w:rPr>
            <w:t>上海电子信息职业技术学院教学工作委员会章程</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_Toc24862 \h </w:instrText>
          </w:r>
          <w:r>
            <w:rPr>
              <w:rFonts w:hint="eastAsia" w:ascii="黑体" w:hAnsi="黑体" w:eastAsia="黑体" w:cs="黑体"/>
              <w:sz w:val="22"/>
              <w:szCs w:val="22"/>
            </w:rPr>
            <w:fldChar w:fldCharType="separate"/>
          </w:r>
          <w:r>
            <w:rPr>
              <w:rFonts w:hint="eastAsia" w:ascii="黑体" w:hAnsi="黑体" w:eastAsia="黑体" w:cs="黑体"/>
              <w:sz w:val="22"/>
              <w:szCs w:val="22"/>
            </w:rPr>
            <w:t>27</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_Toc32459 </w:instrText>
          </w:r>
          <w:r>
            <w:rPr>
              <w:rFonts w:hint="eastAsia" w:ascii="黑体" w:hAnsi="黑体" w:eastAsia="黑体" w:cs="黑体"/>
              <w:sz w:val="22"/>
              <w:szCs w:val="22"/>
            </w:rPr>
            <w:fldChar w:fldCharType="separate"/>
          </w:r>
          <w:r>
            <w:rPr>
              <w:rFonts w:hint="eastAsia" w:ascii="黑体" w:hAnsi="黑体" w:eastAsia="黑体" w:cs="黑体"/>
              <w:bCs/>
              <w:sz w:val="22"/>
              <w:szCs w:val="22"/>
              <w:lang w:val="en-US" w:eastAsia="zh-CN"/>
            </w:rPr>
            <w:t>8.</w:t>
          </w:r>
          <w:r>
            <w:rPr>
              <w:rFonts w:hint="eastAsia" w:ascii="黑体" w:hAnsi="黑体" w:eastAsia="黑体" w:cs="黑体"/>
              <w:bCs/>
              <w:sz w:val="22"/>
              <w:szCs w:val="22"/>
            </w:rPr>
            <w:t>上海电子信息职业技术学院校内实训基地建设管理办法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_Toc32459 \h </w:instrText>
          </w:r>
          <w:r>
            <w:rPr>
              <w:rFonts w:hint="eastAsia" w:ascii="黑体" w:hAnsi="黑体" w:eastAsia="黑体" w:cs="黑体"/>
              <w:sz w:val="22"/>
              <w:szCs w:val="22"/>
            </w:rPr>
            <w:fldChar w:fldCharType="separate"/>
          </w:r>
          <w:r>
            <w:rPr>
              <w:rFonts w:hint="eastAsia" w:ascii="黑体" w:hAnsi="黑体" w:eastAsia="黑体" w:cs="黑体"/>
              <w:sz w:val="22"/>
              <w:szCs w:val="22"/>
            </w:rPr>
            <w:t>30</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_Toc7225 </w:instrText>
          </w:r>
          <w:r>
            <w:rPr>
              <w:rFonts w:hint="eastAsia" w:ascii="黑体" w:hAnsi="黑体" w:eastAsia="黑体" w:cs="黑体"/>
              <w:sz w:val="22"/>
              <w:szCs w:val="22"/>
            </w:rPr>
            <w:fldChar w:fldCharType="separate"/>
          </w:r>
          <w:r>
            <w:rPr>
              <w:rFonts w:hint="eastAsia" w:ascii="黑体" w:hAnsi="黑体" w:eastAsia="黑体" w:cs="黑体"/>
              <w:bCs/>
              <w:sz w:val="22"/>
              <w:szCs w:val="22"/>
              <w:lang w:val="en-US" w:eastAsia="zh-CN"/>
            </w:rPr>
            <w:t>9.</w:t>
          </w:r>
          <w:r>
            <w:rPr>
              <w:rFonts w:hint="eastAsia" w:ascii="黑体" w:hAnsi="黑体" w:eastAsia="黑体" w:cs="黑体"/>
              <w:bCs/>
              <w:sz w:val="22"/>
              <w:szCs w:val="22"/>
            </w:rPr>
            <w:t>上海电子信息职业技术学院校内实训基地管理办法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_Toc7225 \h </w:instrText>
          </w:r>
          <w:r>
            <w:rPr>
              <w:rFonts w:hint="eastAsia" w:ascii="黑体" w:hAnsi="黑体" w:eastAsia="黑体" w:cs="黑体"/>
              <w:sz w:val="22"/>
              <w:szCs w:val="22"/>
            </w:rPr>
            <w:fldChar w:fldCharType="separate"/>
          </w:r>
          <w:r>
            <w:rPr>
              <w:rFonts w:hint="eastAsia" w:ascii="黑体" w:hAnsi="黑体" w:eastAsia="黑体" w:cs="黑体"/>
              <w:sz w:val="22"/>
              <w:szCs w:val="22"/>
            </w:rPr>
            <w:t>33</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_Toc17251 </w:instrText>
          </w:r>
          <w:r>
            <w:rPr>
              <w:rFonts w:hint="eastAsia" w:ascii="黑体" w:hAnsi="黑体" w:eastAsia="黑体" w:cs="黑体"/>
              <w:sz w:val="22"/>
              <w:szCs w:val="22"/>
            </w:rPr>
            <w:fldChar w:fldCharType="separate"/>
          </w:r>
          <w:r>
            <w:rPr>
              <w:rFonts w:hint="eastAsia" w:ascii="黑体" w:hAnsi="黑体" w:eastAsia="黑体" w:cs="黑体"/>
              <w:bCs/>
              <w:sz w:val="22"/>
              <w:szCs w:val="22"/>
              <w:lang w:val="en-US" w:eastAsia="zh-CN"/>
            </w:rPr>
            <w:t>10.</w:t>
          </w:r>
          <w:r>
            <w:rPr>
              <w:rFonts w:hint="eastAsia" w:ascii="黑体" w:hAnsi="黑体" w:eastAsia="黑体" w:cs="黑体"/>
              <w:bCs/>
              <w:sz w:val="22"/>
              <w:szCs w:val="22"/>
            </w:rPr>
            <w:t>上海电子信息职业技术学院校企共建校内实践教学基地的管理办法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_Toc17251 \h </w:instrText>
          </w:r>
          <w:r>
            <w:rPr>
              <w:rFonts w:hint="eastAsia" w:ascii="黑体" w:hAnsi="黑体" w:eastAsia="黑体" w:cs="黑体"/>
              <w:sz w:val="22"/>
              <w:szCs w:val="22"/>
            </w:rPr>
            <w:fldChar w:fldCharType="separate"/>
          </w:r>
          <w:r>
            <w:rPr>
              <w:rFonts w:hint="eastAsia" w:ascii="黑体" w:hAnsi="黑体" w:eastAsia="黑体" w:cs="黑体"/>
              <w:sz w:val="22"/>
              <w:szCs w:val="22"/>
            </w:rPr>
            <w:t>38</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_Toc2130 </w:instrText>
          </w:r>
          <w:r>
            <w:rPr>
              <w:rFonts w:hint="eastAsia" w:ascii="黑体" w:hAnsi="黑体" w:eastAsia="黑体" w:cs="黑体"/>
              <w:sz w:val="22"/>
              <w:szCs w:val="22"/>
            </w:rPr>
            <w:fldChar w:fldCharType="separate"/>
          </w:r>
          <w:r>
            <w:rPr>
              <w:rFonts w:hint="eastAsia" w:ascii="黑体" w:hAnsi="黑体" w:eastAsia="黑体" w:cs="黑体"/>
              <w:bCs/>
              <w:sz w:val="22"/>
              <w:szCs w:val="22"/>
              <w:lang w:val="en-US" w:eastAsia="zh-CN"/>
            </w:rPr>
            <w:t>11.</w:t>
          </w:r>
          <w:r>
            <w:rPr>
              <w:rFonts w:hint="eastAsia" w:ascii="黑体" w:hAnsi="黑体" w:eastAsia="黑体" w:cs="黑体"/>
              <w:bCs/>
              <w:sz w:val="22"/>
              <w:szCs w:val="22"/>
            </w:rPr>
            <w:t>上海电子信息职业技术学院实训课学生守则</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_Toc2130 \h </w:instrText>
          </w:r>
          <w:r>
            <w:rPr>
              <w:rFonts w:hint="eastAsia" w:ascii="黑体" w:hAnsi="黑体" w:eastAsia="黑体" w:cs="黑体"/>
              <w:sz w:val="22"/>
              <w:szCs w:val="22"/>
            </w:rPr>
            <w:fldChar w:fldCharType="separate"/>
          </w:r>
          <w:r>
            <w:rPr>
              <w:rFonts w:hint="eastAsia" w:ascii="黑体" w:hAnsi="黑体" w:eastAsia="黑体" w:cs="黑体"/>
              <w:sz w:val="22"/>
              <w:szCs w:val="22"/>
            </w:rPr>
            <w:t>42</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_Toc1523 </w:instrText>
          </w:r>
          <w:r>
            <w:rPr>
              <w:rFonts w:hint="eastAsia" w:ascii="黑体" w:hAnsi="黑体" w:eastAsia="黑体" w:cs="黑体"/>
              <w:sz w:val="22"/>
              <w:szCs w:val="22"/>
            </w:rPr>
            <w:fldChar w:fldCharType="separate"/>
          </w:r>
          <w:r>
            <w:rPr>
              <w:rFonts w:hint="eastAsia" w:ascii="黑体" w:hAnsi="黑体" w:eastAsia="黑体" w:cs="黑体"/>
              <w:bCs/>
              <w:sz w:val="22"/>
              <w:szCs w:val="22"/>
              <w:lang w:val="en-US" w:eastAsia="zh-CN"/>
            </w:rPr>
            <w:t>12.</w:t>
          </w:r>
          <w:r>
            <w:rPr>
              <w:rFonts w:hint="eastAsia" w:ascii="黑体" w:hAnsi="黑体" w:eastAsia="黑体" w:cs="黑体"/>
              <w:bCs/>
              <w:sz w:val="22"/>
              <w:szCs w:val="22"/>
            </w:rPr>
            <w:t>上海电子信息职业技术学院学生实习守则</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_Toc1523 \h </w:instrText>
          </w:r>
          <w:r>
            <w:rPr>
              <w:rFonts w:hint="eastAsia" w:ascii="黑体" w:hAnsi="黑体" w:eastAsia="黑体" w:cs="黑体"/>
              <w:sz w:val="22"/>
              <w:szCs w:val="22"/>
            </w:rPr>
            <w:fldChar w:fldCharType="separate"/>
          </w:r>
          <w:r>
            <w:rPr>
              <w:rFonts w:hint="eastAsia" w:ascii="黑体" w:hAnsi="黑体" w:eastAsia="黑体" w:cs="黑体"/>
              <w:sz w:val="22"/>
              <w:szCs w:val="22"/>
            </w:rPr>
            <w:t>45</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_Toc29875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13.</w:t>
          </w:r>
          <w:r>
            <w:rPr>
              <w:rFonts w:hint="eastAsia" w:ascii="黑体" w:hAnsi="黑体" w:eastAsia="黑体" w:cs="黑体"/>
              <w:kern w:val="0"/>
              <w:sz w:val="22"/>
              <w:szCs w:val="22"/>
            </w:rPr>
            <w:t>上海电子信息职业技术学院校外实习基地建设管理办法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_Toc29875 \h </w:instrText>
          </w:r>
          <w:r>
            <w:rPr>
              <w:rFonts w:hint="eastAsia" w:ascii="黑体" w:hAnsi="黑体" w:eastAsia="黑体" w:cs="黑体"/>
              <w:sz w:val="22"/>
              <w:szCs w:val="22"/>
            </w:rPr>
            <w:fldChar w:fldCharType="separate"/>
          </w:r>
          <w:r>
            <w:rPr>
              <w:rFonts w:hint="eastAsia" w:ascii="黑体" w:hAnsi="黑体" w:eastAsia="黑体" w:cs="黑体"/>
              <w:sz w:val="22"/>
              <w:szCs w:val="22"/>
            </w:rPr>
            <w:t>48</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_Toc19127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14.</w:t>
          </w:r>
          <w:r>
            <w:rPr>
              <w:rFonts w:hint="eastAsia" w:ascii="黑体" w:hAnsi="黑体" w:eastAsia="黑体" w:cs="黑体"/>
              <w:kern w:val="0"/>
              <w:sz w:val="22"/>
              <w:szCs w:val="22"/>
            </w:rPr>
            <w:t>上海电子信息</w:t>
          </w:r>
          <w:r>
            <w:rPr>
              <w:rFonts w:hint="eastAsia" w:ascii="黑体" w:hAnsi="黑体" w:eastAsia="黑体" w:cs="黑体"/>
              <w:sz w:val="22"/>
              <w:szCs w:val="22"/>
            </w:rPr>
            <w:t>职业技术学院学分制管理规定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_Toc19127 \h </w:instrText>
          </w:r>
          <w:r>
            <w:rPr>
              <w:rFonts w:hint="eastAsia" w:ascii="黑体" w:hAnsi="黑体" w:eastAsia="黑体" w:cs="黑体"/>
              <w:sz w:val="22"/>
              <w:szCs w:val="22"/>
            </w:rPr>
            <w:fldChar w:fldCharType="separate"/>
          </w:r>
          <w:r>
            <w:rPr>
              <w:rFonts w:hint="eastAsia" w:ascii="黑体" w:hAnsi="黑体" w:eastAsia="黑体" w:cs="黑体"/>
              <w:sz w:val="22"/>
              <w:szCs w:val="22"/>
            </w:rPr>
            <w:t>52</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_Toc5717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15.</w:t>
          </w:r>
          <w:r>
            <w:rPr>
              <w:rFonts w:hint="eastAsia" w:ascii="黑体" w:hAnsi="黑体" w:eastAsia="黑体" w:cs="黑体"/>
              <w:kern w:val="0"/>
              <w:sz w:val="22"/>
              <w:szCs w:val="22"/>
            </w:rPr>
            <w:t>上海电子信息</w:t>
          </w:r>
          <w:r>
            <w:rPr>
              <w:rFonts w:hint="eastAsia" w:ascii="黑体" w:hAnsi="黑体" w:eastAsia="黑体" w:cs="黑体"/>
              <w:sz w:val="22"/>
              <w:szCs w:val="22"/>
            </w:rPr>
            <w:t>职业技术学院排课及调</w:t>
          </w:r>
          <w:r>
            <w:rPr>
              <w:rFonts w:hint="eastAsia" w:ascii="黑体" w:hAnsi="黑体" w:eastAsia="黑体" w:cs="黑体"/>
              <w:sz w:val="22"/>
              <w:szCs w:val="22"/>
              <w:lang w:eastAsia="zh-CN"/>
            </w:rPr>
            <w:t>、</w:t>
          </w:r>
          <w:r>
            <w:rPr>
              <w:rFonts w:hint="eastAsia" w:ascii="黑体" w:hAnsi="黑体" w:eastAsia="黑体" w:cs="黑体"/>
              <w:sz w:val="22"/>
              <w:szCs w:val="22"/>
            </w:rPr>
            <w:t>停课管理规定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_Toc5717 \h </w:instrText>
          </w:r>
          <w:r>
            <w:rPr>
              <w:rFonts w:hint="eastAsia" w:ascii="黑体" w:hAnsi="黑体" w:eastAsia="黑体" w:cs="黑体"/>
              <w:sz w:val="22"/>
              <w:szCs w:val="22"/>
            </w:rPr>
            <w:fldChar w:fldCharType="separate"/>
          </w:r>
          <w:r>
            <w:rPr>
              <w:rFonts w:hint="eastAsia" w:ascii="黑体" w:hAnsi="黑体" w:eastAsia="黑体" w:cs="黑体"/>
              <w:sz w:val="22"/>
              <w:szCs w:val="22"/>
            </w:rPr>
            <w:t>57</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_Toc27952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16.</w:t>
          </w:r>
          <w:r>
            <w:rPr>
              <w:rFonts w:hint="eastAsia" w:ascii="黑体" w:hAnsi="黑体" w:eastAsia="黑体" w:cs="黑体"/>
              <w:kern w:val="0"/>
              <w:sz w:val="22"/>
              <w:szCs w:val="22"/>
            </w:rPr>
            <w:t>上海电子信息</w:t>
          </w:r>
          <w:r>
            <w:rPr>
              <w:rFonts w:hint="eastAsia" w:ascii="黑体" w:hAnsi="黑体" w:eastAsia="黑体" w:cs="黑体"/>
              <w:sz w:val="22"/>
              <w:szCs w:val="22"/>
            </w:rPr>
            <w:t>职业技术学院</w:t>
          </w:r>
          <w:r>
            <w:rPr>
              <w:rFonts w:hint="eastAsia" w:ascii="黑体" w:hAnsi="黑体" w:eastAsia="黑体" w:cs="黑体"/>
              <w:bCs/>
              <w:sz w:val="22"/>
              <w:szCs w:val="22"/>
            </w:rPr>
            <w:t>课程考核管理规定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_Toc27952 \h </w:instrText>
          </w:r>
          <w:r>
            <w:rPr>
              <w:rFonts w:hint="eastAsia" w:ascii="黑体" w:hAnsi="黑体" w:eastAsia="黑体" w:cs="黑体"/>
              <w:sz w:val="22"/>
              <w:szCs w:val="22"/>
            </w:rPr>
            <w:fldChar w:fldCharType="separate"/>
          </w:r>
          <w:r>
            <w:rPr>
              <w:rFonts w:hint="eastAsia" w:ascii="黑体" w:hAnsi="黑体" w:eastAsia="黑体" w:cs="黑体"/>
              <w:sz w:val="22"/>
              <w:szCs w:val="22"/>
            </w:rPr>
            <w:t>61</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_Toc4975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17.</w:t>
          </w:r>
          <w:r>
            <w:rPr>
              <w:rFonts w:hint="eastAsia" w:ascii="黑体" w:hAnsi="黑体" w:eastAsia="黑体" w:cs="黑体"/>
              <w:kern w:val="0"/>
              <w:sz w:val="22"/>
              <w:szCs w:val="22"/>
            </w:rPr>
            <w:t>上海电子信息</w:t>
          </w:r>
          <w:r>
            <w:rPr>
              <w:rFonts w:hint="eastAsia" w:ascii="黑体" w:hAnsi="黑体" w:eastAsia="黑体" w:cs="黑体"/>
              <w:sz w:val="22"/>
              <w:szCs w:val="22"/>
            </w:rPr>
            <w:t>职业技术学院</w:t>
          </w:r>
          <w:r>
            <w:rPr>
              <w:rFonts w:hint="eastAsia" w:ascii="黑体" w:hAnsi="黑体" w:eastAsia="黑体" w:cs="黑体"/>
              <w:bCs/>
              <w:sz w:val="22"/>
              <w:szCs w:val="22"/>
            </w:rPr>
            <w:t>试卷管理规定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_Toc4975 \h </w:instrText>
          </w:r>
          <w:r>
            <w:rPr>
              <w:rFonts w:hint="eastAsia" w:ascii="黑体" w:hAnsi="黑体" w:eastAsia="黑体" w:cs="黑体"/>
              <w:sz w:val="22"/>
              <w:szCs w:val="22"/>
            </w:rPr>
            <w:fldChar w:fldCharType="separate"/>
          </w:r>
          <w:r>
            <w:rPr>
              <w:rFonts w:hint="eastAsia" w:ascii="黑体" w:hAnsi="黑体" w:eastAsia="黑体" w:cs="黑体"/>
              <w:sz w:val="22"/>
              <w:szCs w:val="22"/>
            </w:rPr>
            <w:t>66</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_Toc22640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18.</w:t>
          </w:r>
          <w:r>
            <w:rPr>
              <w:rFonts w:hint="eastAsia" w:ascii="黑体" w:hAnsi="黑体" w:eastAsia="黑体" w:cs="黑体"/>
              <w:kern w:val="0"/>
              <w:sz w:val="22"/>
              <w:szCs w:val="22"/>
            </w:rPr>
            <w:t>上海电子信息</w:t>
          </w:r>
          <w:r>
            <w:rPr>
              <w:rFonts w:hint="eastAsia" w:ascii="黑体" w:hAnsi="黑体" w:eastAsia="黑体" w:cs="黑体"/>
              <w:sz w:val="22"/>
              <w:szCs w:val="22"/>
            </w:rPr>
            <w:t>职业技术学院</w:t>
          </w:r>
          <w:r>
            <w:rPr>
              <w:rFonts w:hint="eastAsia" w:ascii="黑体" w:hAnsi="黑体" w:eastAsia="黑体" w:cs="黑体"/>
              <w:bCs/>
              <w:sz w:val="22"/>
              <w:szCs w:val="22"/>
            </w:rPr>
            <w:t>成绩管理规定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_Toc22640 \h </w:instrText>
          </w:r>
          <w:r>
            <w:rPr>
              <w:rFonts w:hint="eastAsia" w:ascii="黑体" w:hAnsi="黑体" w:eastAsia="黑体" w:cs="黑体"/>
              <w:sz w:val="22"/>
              <w:szCs w:val="22"/>
            </w:rPr>
            <w:fldChar w:fldCharType="separate"/>
          </w:r>
          <w:r>
            <w:rPr>
              <w:rFonts w:hint="eastAsia" w:ascii="黑体" w:hAnsi="黑体" w:eastAsia="黑体" w:cs="黑体"/>
              <w:sz w:val="22"/>
              <w:szCs w:val="22"/>
            </w:rPr>
            <w:t>75</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_Toc31135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19.</w:t>
          </w:r>
          <w:r>
            <w:rPr>
              <w:rFonts w:hint="eastAsia" w:ascii="黑体" w:hAnsi="黑体" w:eastAsia="黑体" w:cs="黑体"/>
              <w:kern w:val="0"/>
              <w:sz w:val="22"/>
              <w:szCs w:val="22"/>
            </w:rPr>
            <w:t>上海电子信息</w:t>
          </w:r>
          <w:r>
            <w:rPr>
              <w:rFonts w:hint="eastAsia" w:ascii="黑体" w:hAnsi="黑体" w:eastAsia="黑体" w:cs="黑体"/>
              <w:sz w:val="22"/>
              <w:szCs w:val="22"/>
            </w:rPr>
            <w:t>职业技术学院通识教育选修课教学</w:t>
          </w:r>
          <w:r>
            <w:rPr>
              <w:rFonts w:hint="eastAsia" w:ascii="黑体" w:hAnsi="黑体" w:eastAsia="黑体" w:cs="黑体"/>
              <w:bCs/>
              <w:sz w:val="22"/>
              <w:szCs w:val="22"/>
            </w:rPr>
            <w:t>管理规定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_Toc31135 \h </w:instrText>
          </w:r>
          <w:r>
            <w:rPr>
              <w:rFonts w:hint="eastAsia" w:ascii="黑体" w:hAnsi="黑体" w:eastAsia="黑体" w:cs="黑体"/>
              <w:sz w:val="22"/>
              <w:szCs w:val="22"/>
            </w:rPr>
            <w:fldChar w:fldCharType="separate"/>
          </w:r>
          <w:r>
            <w:rPr>
              <w:rFonts w:hint="eastAsia" w:ascii="黑体" w:hAnsi="黑体" w:eastAsia="黑体" w:cs="黑体"/>
              <w:sz w:val="22"/>
              <w:szCs w:val="22"/>
            </w:rPr>
            <w:t>79</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_Toc16170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20.</w:t>
          </w:r>
          <w:r>
            <w:rPr>
              <w:rFonts w:hint="eastAsia" w:ascii="黑体" w:hAnsi="黑体" w:eastAsia="黑体" w:cs="黑体"/>
              <w:kern w:val="0"/>
              <w:sz w:val="22"/>
              <w:szCs w:val="22"/>
            </w:rPr>
            <w:t>上海电子信息</w:t>
          </w:r>
          <w:r>
            <w:rPr>
              <w:rFonts w:hint="eastAsia" w:ascii="黑体" w:hAnsi="黑体" w:eastAsia="黑体" w:cs="黑体"/>
              <w:sz w:val="22"/>
              <w:szCs w:val="22"/>
            </w:rPr>
            <w:t>职业技术学院课程复读选课管理办法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_Toc16170 \h </w:instrText>
          </w:r>
          <w:r>
            <w:rPr>
              <w:rFonts w:hint="eastAsia" w:ascii="黑体" w:hAnsi="黑体" w:eastAsia="黑体" w:cs="黑体"/>
              <w:sz w:val="22"/>
              <w:szCs w:val="22"/>
            </w:rPr>
            <w:fldChar w:fldCharType="separate"/>
          </w:r>
          <w:r>
            <w:rPr>
              <w:rFonts w:hint="eastAsia" w:ascii="黑体" w:hAnsi="黑体" w:eastAsia="黑体" w:cs="黑体"/>
              <w:sz w:val="22"/>
              <w:szCs w:val="22"/>
            </w:rPr>
            <w:t>84</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_Toc17970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21.</w:t>
          </w:r>
          <w:r>
            <w:rPr>
              <w:rFonts w:hint="eastAsia" w:ascii="黑体" w:hAnsi="黑体" w:eastAsia="黑体" w:cs="黑体"/>
              <w:kern w:val="0"/>
              <w:sz w:val="22"/>
              <w:szCs w:val="22"/>
            </w:rPr>
            <w:t>上海电子信息</w:t>
          </w:r>
          <w:r>
            <w:rPr>
              <w:rFonts w:hint="eastAsia" w:ascii="黑体" w:hAnsi="黑体" w:eastAsia="黑体" w:cs="黑体"/>
              <w:sz w:val="22"/>
              <w:szCs w:val="22"/>
            </w:rPr>
            <w:t>职业技术学院“双证书”制度管理办法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_Toc17970 \h </w:instrText>
          </w:r>
          <w:r>
            <w:rPr>
              <w:rFonts w:hint="eastAsia" w:ascii="黑体" w:hAnsi="黑体" w:eastAsia="黑体" w:cs="黑体"/>
              <w:sz w:val="22"/>
              <w:szCs w:val="22"/>
            </w:rPr>
            <w:fldChar w:fldCharType="separate"/>
          </w:r>
          <w:r>
            <w:rPr>
              <w:rFonts w:hint="eastAsia" w:ascii="黑体" w:hAnsi="黑体" w:eastAsia="黑体" w:cs="黑体"/>
              <w:sz w:val="22"/>
              <w:szCs w:val="22"/>
            </w:rPr>
            <w:t>88</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_Toc29011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22.</w:t>
          </w:r>
          <w:r>
            <w:rPr>
              <w:rFonts w:hint="eastAsia" w:ascii="黑体" w:hAnsi="黑体" w:eastAsia="黑体" w:cs="黑体"/>
              <w:kern w:val="0"/>
              <w:sz w:val="22"/>
              <w:szCs w:val="22"/>
            </w:rPr>
            <w:t>上海电子信息职业技术学院内涵建设重大项目管理办法（修订）</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_Toc29011 \h </w:instrText>
          </w:r>
          <w:r>
            <w:rPr>
              <w:rFonts w:hint="eastAsia" w:ascii="黑体" w:hAnsi="黑体" w:eastAsia="黑体" w:cs="黑体"/>
              <w:sz w:val="22"/>
              <w:szCs w:val="22"/>
            </w:rPr>
            <w:fldChar w:fldCharType="separate"/>
          </w:r>
          <w:r>
            <w:rPr>
              <w:rFonts w:hint="eastAsia" w:ascii="黑体" w:hAnsi="黑体" w:eastAsia="黑体" w:cs="黑体"/>
              <w:sz w:val="22"/>
              <w:szCs w:val="22"/>
            </w:rPr>
            <w:t>93</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_Toc6584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23.</w:t>
          </w:r>
          <w:r>
            <w:rPr>
              <w:rFonts w:hint="eastAsia" w:ascii="黑体" w:hAnsi="黑体" w:eastAsia="黑体" w:cs="黑体"/>
              <w:sz w:val="22"/>
              <w:szCs w:val="22"/>
            </w:rPr>
            <w:t>上海电子信息职业技术学院优秀学生教学信息员评选实施办法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_Toc6584 \h </w:instrText>
          </w:r>
          <w:r>
            <w:rPr>
              <w:rFonts w:hint="eastAsia" w:ascii="黑体" w:hAnsi="黑体" w:eastAsia="黑体" w:cs="黑体"/>
              <w:sz w:val="22"/>
              <w:szCs w:val="22"/>
            </w:rPr>
            <w:fldChar w:fldCharType="separate"/>
          </w:r>
          <w:r>
            <w:rPr>
              <w:rFonts w:hint="eastAsia" w:ascii="黑体" w:hAnsi="黑体" w:eastAsia="黑体" w:cs="黑体"/>
              <w:sz w:val="22"/>
              <w:szCs w:val="22"/>
            </w:rPr>
            <w:t>99</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_Toc9183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24.</w:t>
          </w:r>
          <w:r>
            <w:rPr>
              <w:rFonts w:hint="eastAsia" w:ascii="黑体" w:hAnsi="黑体" w:eastAsia="黑体" w:cs="黑体"/>
              <w:bCs w:val="0"/>
              <w:sz w:val="22"/>
              <w:szCs w:val="22"/>
            </w:rPr>
            <w:t>上海电子信息职业技术学院实践教学管理规范</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_Toc9183 \h </w:instrText>
          </w:r>
          <w:r>
            <w:rPr>
              <w:rFonts w:hint="eastAsia" w:ascii="黑体" w:hAnsi="黑体" w:eastAsia="黑体" w:cs="黑体"/>
              <w:sz w:val="22"/>
              <w:szCs w:val="22"/>
            </w:rPr>
            <w:fldChar w:fldCharType="separate"/>
          </w:r>
          <w:r>
            <w:rPr>
              <w:rFonts w:hint="eastAsia" w:ascii="黑体" w:hAnsi="黑体" w:eastAsia="黑体" w:cs="黑体"/>
              <w:sz w:val="22"/>
              <w:szCs w:val="22"/>
            </w:rPr>
            <w:t>103</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_Toc14676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25.</w:t>
          </w:r>
          <w:r>
            <w:rPr>
              <w:rFonts w:hint="eastAsia" w:ascii="黑体" w:hAnsi="黑体" w:eastAsia="黑体" w:cs="黑体"/>
              <w:bCs w:val="0"/>
              <w:sz w:val="22"/>
              <w:szCs w:val="22"/>
            </w:rPr>
            <w:t>上海电子信息职业技术学院</w:t>
          </w:r>
          <w:r>
            <w:rPr>
              <w:rFonts w:hint="eastAsia" w:ascii="黑体" w:hAnsi="黑体" w:eastAsia="黑体" w:cs="黑体"/>
              <w:bCs w:val="0"/>
              <w:sz w:val="22"/>
              <w:szCs w:val="22"/>
              <w:lang w:eastAsia="zh-CN"/>
            </w:rPr>
            <w:t>教研室工作职责</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_Toc14676 \h </w:instrText>
          </w:r>
          <w:r>
            <w:rPr>
              <w:rFonts w:hint="eastAsia" w:ascii="黑体" w:hAnsi="黑体" w:eastAsia="黑体" w:cs="黑体"/>
              <w:sz w:val="22"/>
              <w:szCs w:val="22"/>
            </w:rPr>
            <w:fldChar w:fldCharType="separate"/>
          </w:r>
          <w:r>
            <w:rPr>
              <w:rFonts w:hint="eastAsia" w:ascii="黑体" w:hAnsi="黑体" w:eastAsia="黑体" w:cs="黑体"/>
              <w:sz w:val="22"/>
              <w:szCs w:val="22"/>
            </w:rPr>
            <w:t>111</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_Toc25442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26.</w:t>
          </w:r>
          <w:r>
            <w:rPr>
              <w:rFonts w:hint="eastAsia" w:ascii="黑体" w:hAnsi="黑体" w:eastAsia="黑体" w:cs="黑体"/>
              <w:kern w:val="0"/>
              <w:sz w:val="22"/>
              <w:szCs w:val="22"/>
              <w:lang w:eastAsia="zh-CN"/>
            </w:rPr>
            <w:t>上海电子信息职业技术学院关于课程标准制订的指导性意见</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_Toc25442 \h </w:instrText>
          </w:r>
          <w:r>
            <w:rPr>
              <w:rFonts w:hint="eastAsia" w:ascii="黑体" w:hAnsi="黑体" w:eastAsia="黑体" w:cs="黑体"/>
              <w:sz w:val="22"/>
              <w:szCs w:val="22"/>
            </w:rPr>
            <w:fldChar w:fldCharType="separate"/>
          </w:r>
          <w:r>
            <w:rPr>
              <w:rFonts w:hint="eastAsia" w:ascii="黑体" w:hAnsi="黑体" w:eastAsia="黑体" w:cs="黑体"/>
              <w:sz w:val="22"/>
              <w:szCs w:val="22"/>
            </w:rPr>
            <w:t>113</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_Toc21348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27.</w:t>
          </w:r>
          <w:r>
            <w:rPr>
              <w:rFonts w:hint="eastAsia" w:ascii="黑体" w:hAnsi="黑体" w:eastAsia="黑体" w:cs="黑体"/>
              <w:kern w:val="0"/>
              <w:sz w:val="22"/>
              <w:szCs w:val="22"/>
              <w:lang w:eastAsia="zh-CN"/>
            </w:rPr>
            <w:t>上海电子信息职业技术二级教学督导工作管理办法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_Toc21348 \h </w:instrText>
          </w:r>
          <w:r>
            <w:rPr>
              <w:rFonts w:hint="eastAsia" w:ascii="黑体" w:hAnsi="黑体" w:eastAsia="黑体" w:cs="黑体"/>
              <w:sz w:val="22"/>
              <w:szCs w:val="22"/>
            </w:rPr>
            <w:fldChar w:fldCharType="separate"/>
          </w:r>
          <w:r>
            <w:rPr>
              <w:rFonts w:hint="eastAsia" w:ascii="黑体" w:hAnsi="黑体" w:eastAsia="黑体" w:cs="黑体"/>
              <w:sz w:val="22"/>
              <w:szCs w:val="22"/>
            </w:rPr>
            <w:t>119</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_Toc28815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28.</w:t>
          </w:r>
          <w:r>
            <w:rPr>
              <w:rFonts w:hint="eastAsia" w:ascii="黑体" w:hAnsi="黑体" w:eastAsia="黑体" w:cs="黑体"/>
              <w:kern w:val="0"/>
              <w:sz w:val="22"/>
              <w:szCs w:val="22"/>
              <w:lang w:eastAsia="zh-CN"/>
            </w:rPr>
            <w:t>上海电子信息职业技术学院</w:t>
          </w:r>
          <w:r>
            <w:rPr>
              <w:rFonts w:hint="eastAsia" w:ascii="黑体" w:hAnsi="黑体" w:eastAsia="黑体" w:cs="黑体"/>
              <w:sz w:val="22"/>
              <w:szCs w:val="22"/>
            </w:rPr>
            <w:t>学生教学信息员制度实施办法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_Toc28815 \h </w:instrText>
          </w:r>
          <w:r>
            <w:rPr>
              <w:rFonts w:hint="eastAsia" w:ascii="黑体" w:hAnsi="黑体" w:eastAsia="黑体" w:cs="黑体"/>
              <w:sz w:val="22"/>
              <w:szCs w:val="22"/>
            </w:rPr>
            <w:fldChar w:fldCharType="separate"/>
          </w:r>
          <w:r>
            <w:rPr>
              <w:rFonts w:hint="eastAsia" w:ascii="黑体" w:hAnsi="黑体" w:eastAsia="黑体" w:cs="黑体"/>
              <w:sz w:val="22"/>
              <w:szCs w:val="22"/>
            </w:rPr>
            <w:t>123</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_Toc27242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29.</w:t>
          </w:r>
          <w:r>
            <w:rPr>
              <w:rFonts w:hint="eastAsia" w:ascii="黑体" w:hAnsi="黑体" w:eastAsia="黑体" w:cs="黑体"/>
              <w:kern w:val="0"/>
              <w:sz w:val="22"/>
              <w:szCs w:val="22"/>
              <w:lang w:eastAsia="zh-CN"/>
            </w:rPr>
            <w:t>上海电子信息职业技术学院</w:t>
          </w:r>
          <w:r>
            <w:rPr>
              <w:rFonts w:hint="eastAsia" w:ascii="黑体" w:hAnsi="黑体" w:eastAsia="黑体" w:cs="黑体"/>
              <w:bCs/>
              <w:sz w:val="22"/>
              <w:szCs w:val="22"/>
            </w:rPr>
            <w:t>校内考试考务管理规定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_Toc27242 \h </w:instrText>
          </w:r>
          <w:r>
            <w:rPr>
              <w:rFonts w:hint="eastAsia" w:ascii="黑体" w:hAnsi="黑体" w:eastAsia="黑体" w:cs="黑体"/>
              <w:sz w:val="22"/>
              <w:szCs w:val="22"/>
            </w:rPr>
            <w:fldChar w:fldCharType="separate"/>
          </w:r>
          <w:r>
            <w:rPr>
              <w:rFonts w:hint="eastAsia" w:ascii="黑体" w:hAnsi="黑体" w:eastAsia="黑体" w:cs="黑体"/>
              <w:sz w:val="22"/>
              <w:szCs w:val="22"/>
            </w:rPr>
            <w:t>128</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_Toc32245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30.</w:t>
          </w:r>
          <w:r>
            <w:rPr>
              <w:rFonts w:hint="eastAsia" w:ascii="黑体" w:hAnsi="黑体" w:eastAsia="黑体" w:cs="黑体"/>
              <w:kern w:val="0"/>
              <w:sz w:val="22"/>
              <w:szCs w:val="22"/>
              <w:lang w:eastAsia="zh-CN"/>
            </w:rPr>
            <w:t>上海电子信息职业技术学院</w:t>
          </w:r>
          <w:r>
            <w:rPr>
              <w:rFonts w:hint="eastAsia" w:ascii="黑体" w:hAnsi="黑体" w:eastAsia="黑体" w:cs="黑体"/>
              <w:bCs/>
              <w:sz w:val="22"/>
              <w:szCs w:val="22"/>
            </w:rPr>
            <w:t>校</w:t>
          </w:r>
          <w:r>
            <w:rPr>
              <w:rFonts w:hint="eastAsia" w:ascii="黑体" w:hAnsi="黑体" w:eastAsia="黑体" w:cs="黑体"/>
              <w:bCs/>
              <w:sz w:val="22"/>
              <w:szCs w:val="22"/>
              <w:lang w:eastAsia="zh-CN"/>
            </w:rPr>
            <w:t>外</w:t>
          </w:r>
          <w:r>
            <w:rPr>
              <w:rFonts w:hint="eastAsia" w:ascii="黑体" w:hAnsi="黑体" w:eastAsia="黑体" w:cs="黑体"/>
              <w:bCs/>
              <w:sz w:val="22"/>
              <w:szCs w:val="22"/>
            </w:rPr>
            <w:t>考试</w:t>
          </w:r>
          <w:r>
            <w:rPr>
              <w:rFonts w:hint="eastAsia" w:ascii="黑体" w:hAnsi="黑体" w:eastAsia="黑体" w:cs="黑体"/>
              <w:bCs/>
              <w:sz w:val="22"/>
              <w:szCs w:val="22"/>
              <w:lang w:eastAsia="zh-CN"/>
            </w:rPr>
            <w:t>工作</w:t>
          </w:r>
          <w:r>
            <w:rPr>
              <w:rFonts w:hint="eastAsia" w:ascii="黑体" w:hAnsi="黑体" w:eastAsia="黑体" w:cs="黑体"/>
              <w:bCs/>
              <w:sz w:val="22"/>
              <w:szCs w:val="22"/>
            </w:rPr>
            <w:t>管理规定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_Toc32245 \h </w:instrText>
          </w:r>
          <w:r>
            <w:rPr>
              <w:rFonts w:hint="eastAsia" w:ascii="黑体" w:hAnsi="黑体" w:eastAsia="黑体" w:cs="黑体"/>
              <w:sz w:val="22"/>
              <w:szCs w:val="22"/>
            </w:rPr>
            <w:fldChar w:fldCharType="separate"/>
          </w:r>
          <w:r>
            <w:rPr>
              <w:rFonts w:hint="eastAsia" w:ascii="黑体" w:hAnsi="黑体" w:eastAsia="黑体" w:cs="黑体"/>
              <w:sz w:val="22"/>
              <w:szCs w:val="22"/>
            </w:rPr>
            <w:t>133</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_Toc8301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31.</w:t>
          </w:r>
          <w:r>
            <w:rPr>
              <w:rFonts w:hint="eastAsia" w:ascii="黑体" w:hAnsi="黑体" w:eastAsia="黑体" w:cs="黑体"/>
              <w:bCs w:val="0"/>
              <w:sz w:val="22"/>
              <w:szCs w:val="22"/>
            </w:rPr>
            <w:t>上海电子信息职业技术学院</w:t>
          </w:r>
          <w:r>
            <w:rPr>
              <w:rFonts w:hint="eastAsia" w:ascii="黑体" w:hAnsi="黑体" w:eastAsia="黑体" w:cs="黑体"/>
              <w:bCs w:val="0"/>
              <w:sz w:val="22"/>
              <w:szCs w:val="22"/>
              <w:lang w:eastAsia="zh-CN"/>
            </w:rPr>
            <w:t>学生注册管理办法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_Toc8301 \h </w:instrText>
          </w:r>
          <w:r>
            <w:rPr>
              <w:rFonts w:hint="eastAsia" w:ascii="黑体" w:hAnsi="黑体" w:eastAsia="黑体" w:cs="黑体"/>
              <w:sz w:val="22"/>
              <w:szCs w:val="22"/>
            </w:rPr>
            <w:fldChar w:fldCharType="separate"/>
          </w:r>
          <w:r>
            <w:rPr>
              <w:rFonts w:hint="eastAsia" w:ascii="黑体" w:hAnsi="黑体" w:eastAsia="黑体" w:cs="黑体"/>
              <w:sz w:val="22"/>
              <w:szCs w:val="22"/>
            </w:rPr>
            <w:t>159</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_Toc16493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32.</w:t>
          </w:r>
          <w:r>
            <w:rPr>
              <w:rFonts w:hint="eastAsia" w:ascii="黑体" w:hAnsi="黑体" w:eastAsia="黑体" w:cs="黑体"/>
              <w:bCs w:val="0"/>
              <w:sz w:val="22"/>
              <w:szCs w:val="22"/>
            </w:rPr>
            <w:t>上海电子信息职业技术学院关于教学秩序检查的规定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_Toc16493 \h </w:instrText>
          </w:r>
          <w:r>
            <w:rPr>
              <w:rFonts w:hint="eastAsia" w:ascii="黑体" w:hAnsi="黑体" w:eastAsia="黑体" w:cs="黑体"/>
              <w:sz w:val="22"/>
              <w:szCs w:val="22"/>
            </w:rPr>
            <w:fldChar w:fldCharType="separate"/>
          </w:r>
          <w:r>
            <w:rPr>
              <w:rFonts w:hint="eastAsia" w:ascii="黑体" w:hAnsi="黑体" w:eastAsia="黑体" w:cs="黑体"/>
              <w:sz w:val="22"/>
              <w:szCs w:val="22"/>
            </w:rPr>
            <w:t>164</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_Toc11811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33.</w:t>
          </w:r>
          <w:r>
            <w:rPr>
              <w:rFonts w:hint="eastAsia" w:ascii="黑体" w:hAnsi="黑体" w:eastAsia="黑体" w:cs="黑体"/>
              <w:kern w:val="0"/>
              <w:sz w:val="22"/>
              <w:szCs w:val="22"/>
            </w:rPr>
            <w:t>上海电子信息职业技术学院订单教育教学管理有关规定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_Toc11811 \h </w:instrText>
          </w:r>
          <w:r>
            <w:rPr>
              <w:rFonts w:hint="eastAsia" w:ascii="黑体" w:hAnsi="黑体" w:eastAsia="黑体" w:cs="黑体"/>
              <w:sz w:val="22"/>
              <w:szCs w:val="22"/>
            </w:rPr>
            <w:fldChar w:fldCharType="separate"/>
          </w:r>
          <w:r>
            <w:rPr>
              <w:rFonts w:hint="eastAsia" w:ascii="黑体" w:hAnsi="黑体" w:eastAsia="黑体" w:cs="黑体"/>
              <w:sz w:val="22"/>
              <w:szCs w:val="22"/>
            </w:rPr>
            <w:t>168</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_Toc4108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34.</w:t>
          </w:r>
          <w:r>
            <w:rPr>
              <w:rFonts w:hint="eastAsia" w:ascii="黑体" w:hAnsi="黑体" w:eastAsia="黑体" w:cs="黑体"/>
              <w:kern w:val="0"/>
              <w:sz w:val="22"/>
              <w:szCs w:val="22"/>
            </w:rPr>
            <w:t>上海应用技术大学</w:t>
          </w:r>
          <w:r>
            <w:rPr>
              <w:rFonts w:hint="eastAsia" w:ascii="黑体" w:hAnsi="黑体" w:eastAsia="黑体" w:cs="黑体"/>
              <w:kern w:val="0"/>
              <w:sz w:val="22"/>
              <w:szCs w:val="22"/>
              <w:lang w:eastAsia="zh-CN"/>
            </w:rPr>
            <w:t>、</w:t>
          </w:r>
          <w:r>
            <w:rPr>
              <w:rFonts w:hint="eastAsia" w:ascii="黑体" w:hAnsi="黑体" w:eastAsia="黑体" w:cs="黑体"/>
              <w:kern w:val="0"/>
              <w:sz w:val="22"/>
              <w:szCs w:val="22"/>
            </w:rPr>
            <w:t>上海电子信息职业技术学院、上海城建职业学院高本贯通培养学生学籍管理暂行规定（修订稿）</w:t>
          </w:r>
          <w:r>
            <w:rPr>
              <w:rFonts w:hint="eastAsia" w:ascii="黑体" w:hAnsi="黑体" w:eastAsia="黑体" w:cs="黑体"/>
              <w:sz w:val="22"/>
              <w:szCs w:val="22"/>
            </w:rPr>
            <w:tab/>
          </w:r>
          <w:bookmarkStart w:id="397" w:name="_GoBack"/>
          <w:bookmarkEnd w:id="397"/>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_Toc4108 \h </w:instrText>
          </w:r>
          <w:r>
            <w:rPr>
              <w:rFonts w:hint="eastAsia" w:ascii="黑体" w:hAnsi="黑体" w:eastAsia="黑体" w:cs="黑体"/>
              <w:sz w:val="22"/>
              <w:szCs w:val="22"/>
            </w:rPr>
            <w:fldChar w:fldCharType="separate"/>
          </w:r>
          <w:r>
            <w:rPr>
              <w:rFonts w:hint="eastAsia" w:ascii="黑体" w:hAnsi="黑体" w:eastAsia="黑体" w:cs="黑体"/>
              <w:sz w:val="22"/>
              <w:szCs w:val="22"/>
            </w:rPr>
            <w:t>175</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_Toc27810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35.</w:t>
          </w:r>
          <w:r>
            <w:rPr>
              <w:rFonts w:hint="eastAsia" w:ascii="黑体" w:hAnsi="黑体" w:eastAsia="黑体" w:cs="黑体"/>
              <w:sz w:val="22"/>
              <w:szCs w:val="22"/>
            </w:rPr>
            <w:t>上海电子信息职业技术学院关于开展毒品预防教育课程的管理办法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_Toc27810 \h </w:instrText>
          </w:r>
          <w:r>
            <w:rPr>
              <w:rFonts w:hint="eastAsia" w:ascii="黑体" w:hAnsi="黑体" w:eastAsia="黑体" w:cs="黑体"/>
              <w:sz w:val="22"/>
              <w:szCs w:val="22"/>
            </w:rPr>
            <w:fldChar w:fldCharType="separate"/>
          </w:r>
          <w:r>
            <w:rPr>
              <w:rFonts w:hint="eastAsia" w:ascii="黑体" w:hAnsi="黑体" w:eastAsia="黑体" w:cs="黑体"/>
              <w:sz w:val="22"/>
              <w:szCs w:val="22"/>
            </w:rPr>
            <w:t>185</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_Toc1435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36.</w:t>
          </w:r>
          <w:r>
            <w:rPr>
              <w:rFonts w:hint="eastAsia" w:ascii="黑体" w:hAnsi="黑体" w:eastAsia="黑体" w:cs="黑体"/>
              <w:sz w:val="22"/>
              <w:szCs w:val="22"/>
            </w:rPr>
            <w:t>上海电子信息职业技术学院学生创新创业成果转化学分管理办法（暂行）</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_Toc1435 \h </w:instrText>
          </w:r>
          <w:r>
            <w:rPr>
              <w:rFonts w:hint="eastAsia" w:ascii="黑体" w:hAnsi="黑体" w:eastAsia="黑体" w:cs="黑体"/>
              <w:sz w:val="22"/>
              <w:szCs w:val="22"/>
            </w:rPr>
            <w:fldChar w:fldCharType="separate"/>
          </w:r>
          <w:r>
            <w:rPr>
              <w:rFonts w:hint="eastAsia" w:ascii="黑体" w:hAnsi="黑体" w:eastAsia="黑体" w:cs="黑体"/>
              <w:sz w:val="22"/>
              <w:szCs w:val="22"/>
            </w:rPr>
            <w:t>188</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_Toc19824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37.</w:t>
          </w:r>
          <w:r>
            <w:rPr>
              <w:rFonts w:hint="eastAsia" w:ascii="黑体" w:hAnsi="黑体" w:eastAsia="黑体" w:cs="黑体"/>
              <w:sz w:val="22"/>
              <w:szCs w:val="22"/>
            </w:rPr>
            <w:t>上海电子信息职业技术学院教学督导员工作管理办法（修订）</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_Toc19824 \h </w:instrText>
          </w:r>
          <w:r>
            <w:rPr>
              <w:rFonts w:hint="eastAsia" w:ascii="黑体" w:hAnsi="黑体" w:eastAsia="黑体" w:cs="黑体"/>
              <w:sz w:val="22"/>
              <w:szCs w:val="22"/>
            </w:rPr>
            <w:fldChar w:fldCharType="separate"/>
          </w:r>
          <w:r>
            <w:rPr>
              <w:rFonts w:hint="eastAsia" w:ascii="黑体" w:hAnsi="黑体" w:eastAsia="黑体" w:cs="黑体"/>
              <w:sz w:val="22"/>
              <w:szCs w:val="22"/>
            </w:rPr>
            <w:t>198</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_Toc8420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38.</w:t>
          </w:r>
          <w:r>
            <w:rPr>
              <w:rFonts w:hint="eastAsia" w:ascii="黑体" w:hAnsi="黑体" w:eastAsia="黑体" w:cs="黑体"/>
              <w:kern w:val="0"/>
              <w:sz w:val="22"/>
              <w:szCs w:val="22"/>
            </w:rPr>
            <w:t>上海电子信息职业技术学院关于加强学风建设的实施细则（修订）</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_Toc8420 \h </w:instrText>
          </w:r>
          <w:r>
            <w:rPr>
              <w:rFonts w:hint="eastAsia" w:ascii="黑体" w:hAnsi="黑体" w:eastAsia="黑体" w:cs="黑体"/>
              <w:sz w:val="22"/>
              <w:szCs w:val="22"/>
            </w:rPr>
            <w:fldChar w:fldCharType="separate"/>
          </w:r>
          <w:r>
            <w:rPr>
              <w:rFonts w:hint="eastAsia" w:ascii="黑体" w:hAnsi="黑体" w:eastAsia="黑体" w:cs="黑体"/>
              <w:sz w:val="22"/>
              <w:szCs w:val="22"/>
            </w:rPr>
            <w:t>205</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_Toc15392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39.</w:t>
          </w:r>
          <w:r>
            <w:rPr>
              <w:rFonts w:hint="eastAsia" w:ascii="黑体" w:hAnsi="黑体" w:eastAsia="黑体" w:cs="黑体"/>
              <w:kern w:val="0"/>
              <w:sz w:val="22"/>
              <w:szCs w:val="22"/>
            </w:rPr>
            <w:t>上海电子信息职业技术学院教师教学工作规范（修订）</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_Toc15392 \h </w:instrText>
          </w:r>
          <w:r>
            <w:rPr>
              <w:rFonts w:hint="eastAsia" w:ascii="黑体" w:hAnsi="黑体" w:eastAsia="黑体" w:cs="黑体"/>
              <w:sz w:val="22"/>
              <w:szCs w:val="22"/>
            </w:rPr>
            <w:fldChar w:fldCharType="separate"/>
          </w:r>
          <w:r>
            <w:rPr>
              <w:rFonts w:hint="eastAsia" w:ascii="黑体" w:hAnsi="黑体" w:eastAsia="黑体" w:cs="黑体"/>
              <w:sz w:val="22"/>
              <w:szCs w:val="22"/>
            </w:rPr>
            <w:t>210</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_Toc9813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40.</w:t>
          </w:r>
          <w:r>
            <w:rPr>
              <w:rFonts w:hint="eastAsia" w:ascii="黑体" w:hAnsi="黑体" w:eastAsia="黑体" w:cs="黑体"/>
              <w:sz w:val="22"/>
              <w:szCs w:val="22"/>
            </w:rPr>
            <w:t>上海电子信息职业技术学院听课制度（修订）</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_Toc9813 \h </w:instrText>
          </w:r>
          <w:r>
            <w:rPr>
              <w:rFonts w:hint="eastAsia" w:ascii="黑体" w:hAnsi="黑体" w:eastAsia="黑体" w:cs="黑体"/>
              <w:sz w:val="22"/>
              <w:szCs w:val="22"/>
            </w:rPr>
            <w:fldChar w:fldCharType="separate"/>
          </w:r>
          <w:r>
            <w:rPr>
              <w:rFonts w:hint="eastAsia" w:ascii="黑体" w:hAnsi="黑体" w:eastAsia="黑体" w:cs="黑体"/>
              <w:sz w:val="22"/>
              <w:szCs w:val="22"/>
            </w:rPr>
            <w:t>217</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_Toc32232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41.</w:t>
          </w:r>
          <w:r>
            <w:rPr>
              <w:rFonts w:hint="eastAsia" w:ascii="黑体" w:hAnsi="黑体" w:eastAsia="黑体" w:cs="黑体"/>
              <w:kern w:val="0"/>
              <w:sz w:val="22"/>
              <w:szCs w:val="22"/>
            </w:rPr>
            <w:t>上海电子信息职业技术学院教学管理规范（修订）</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_Toc32232 \h </w:instrText>
          </w:r>
          <w:r>
            <w:rPr>
              <w:rFonts w:hint="eastAsia" w:ascii="黑体" w:hAnsi="黑体" w:eastAsia="黑体" w:cs="黑体"/>
              <w:sz w:val="22"/>
              <w:szCs w:val="22"/>
            </w:rPr>
            <w:fldChar w:fldCharType="separate"/>
          </w:r>
          <w:r>
            <w:rPr>
              <w:rFonts w:hint="eastAsia" w:ascii="黑体" w:hAnsi="黑体" w:eastAsia="黑体" w:cs="黑体"/>
              <w:sz w:val="22"/>
              <w:szCs w:val="22"/>
            </w:rPr>
            <w:t>229</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_Toc5832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42.</w:t>
          </w:r>
          <w:r>
            <w:rPr>
              <w:rFonts w:hint="eastAsia" w:ascii="黑体" w:hAnsi="黑体" w:eastAsia="黑体" w:cs="黑体"/>
              <w:kern w:val="0"/>
              <w:sz w:val="22"/>
              <w:szCs w:val="22"/>
            </w:rPr>
            <w:t>上海电子信息</w:t>
          </w:r>
          <w:r>
            <w:rPr>
              <w:rFonts w:hint="eastAsia" w:ascii="黑体" w:hAnsi="黑体" w:eastAsia="黑体" w:cs="黑体"/>
              <w:sz w:val="22"/>
              <w:szCs w:val="22"/>
            </w:rPr>
            <w:t>职业技术学院课程教学质量评价实施办法（修订）</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_Toc5832 \h </w:instrText>
          </w:r>
          <w:r>
            <w:rPr>
              <w:rFonts w:hint="eastAsia" w:ascii="黑体" w:hAnsi="黑体" w:eastAsia="黑体" w:cs="黑体"/>
              <w:sz w:val="22"/>
              <w:szCs w:val="22"/>
            </w:rPr>
            <w:fldChar w:fldCharType="separate"/>
          </w:r>
          <w:r>
            <w:rPr>
              <w:rFonts w:hint="eastAsia" w:ascii="黑体" w:hAnsi="黑体" w:eastAsia="黑体" w:cs="黑体"/>
              <w:sz w:val="22"/>
              <w:szCs w:val="22"/>
            </w:rPr>
            <w:t>245</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_Toc1744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43.</w:t>
          </w:r>
          <w:r>
            <w:rPr>
              <w:rFonts w:hint="eastAsia" w:ascii="黑体" w:hAnsi="黑体" w:eastAsia="黑体" w:cs="黑体"/>
              <w:sz w:val="22"/>
              <w:szCs w:val="22"/>
            </w:rPr>
            <w:t>上海电子信息职业技术学院</w:t>
          </w:r>
          <w:r>
            <w:rPr>
              <w:rFonts w:hint="eastAsia" w:ascii="黑体" w:hAnsi="黑体" w:eastAsia="黑体" w:cs="黑体"/>
              <w:sz w:val="22"/>
              <w:szCs w:val="22"/>
              <w:lang w:val="en-US" w:eastAsia="zh-CN"/>
            </w:rPr>
            <w:t>三年制学生学籍管理规定</w:t>
          </w:r>
          <w:r>
            <w:rPr>
              <w:rFonts w:hint="eastAsia" w:ascii="黑体" w:hAnsi="黑体" w:eastAsia="黑体" w:cs="黑体"/>
              <w:sz w:val="22"/>
              <w:szCs w:val="22"/>
            </w:rPr>
            <w:t>（修订）</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_Toc1744 \h </w:instrText>
          </w:r>
          <w:r>
            <w:rPr>
              <w:rFonts w:hint="eastAsia" w:ascii="黑体" w:hAnsi="黑体" w:eastAsia="黑体" w:cs="黑体"/>
              <w:sz w:val="22"/>
              <w:szCs w:val="22"/>
            </w:rPr>
            <w:fldChar w:fldCharType="separate"/>
          </w:r>
          <w:r>
            <w:rPr>
              <w:rFonts w:hint="eastAsia" w:ascii="黑体" w:hAnsi="黑体" w:eastAsia="黑体" w:cs="黑体"/>
              <w:sz w:val="22"/>
              <w:szCs w:val="22"/>
            </w:rPr>
            <w:t>261</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_Toc31341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44.</w:t>
          </w:r>
          <w:r>
            <w:rPr>
              <w:rFonts w:hint="eastAsia" w:ascii="黑体" w:hAnsi="黑体" w:eastAsia="黑体" w:cs="黑体"/>
              <w:sz w:val="22"/>
              <w:szCs w:val="22"/>
            </w:rPr>
            <w:t>上海电子信息职业技术学院五年一贯制学生学籍管理规定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_Toc31341 \h </w:instrText>
          </w:r>
          <w:r>
            <w:rPr>
              <w:rFonts w:hint="eastAsia" w:ascii="黑体" w:hAnsi="黑体" w:eastAsia="黑体" w:cs="黑体"/>
              <w:sz w:val="22"/>
              <w:szCs w:val="22"/>
            </w:rPr>
            <w:fldChar w:fldCharType="separate"/>
          </w:r>
          <w:r>
            <w:rPr>
              <w:rFonts w:hint="eastAsia" w:ascii="黑体" w:hAnsi="黑体" w:eastAsia="黑体" w:cs="黑体"/>
              <w:sz w:val="22"/>
              <w:szCs w:val="22"/>
            </w:rPr>
            <w:t>277</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_Toc14698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45.</w:t>
          </w:r>
          <w:r>
            <w:rPr>
              <w:rFonts w:hint="eastAsia" w:ascii="黑体" w:hAnsi="黑体" w:eastAsia="黑体" w:cs="黑体"/>
              <w:kern w:val="0"/>
              <w:sz w:val="22"/>
              <w:szCs w:val="22"/>
            </w:rPr>
            <w:t>上海电子信息</w:t>
          </w:r>
          <w:r>
            <w:rPr>
              <w:rFonts w:hint="eastAsia" w:ascii="黑体" w:hAnsi="黑体" w:eastAsia="黑体" w:cs="黑体"/>
              <w:sz w:val="22"/>
              <w:szCs w:val="22"/>
            </w:rPr>
            <w:t>职业技术学院教学档案管理规定（修订）</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_Toc14698 \h </w:instrText>
          </w:r>
          <w:r>
            <w:rPr>
              <w:rFonts w:hint="eastAsia" w:ascii="黑体" w:hAnsi="黑体" w:eastAsia="黑体" w:cs="黑体"/>
              <w:sz w:val="22"/>
              <w:szCs w:val="22"/>
            </w:rPr>
            <w:fldChar w:fldCharType="separate"/>
          </w:r>
          <w:r>
            <w:rPr>
              <w:rFonts w:hint="eastAsia" w:ascii="黑体" w:hAnsi="黑体" w:eastAsia="黑体" w:cs="黑体"/>
              <w:sz w:val="22"/>
              <w:szCs w:val="22"/>
            </w:rPr>
            <w:t>292</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_Toc16426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46.</w:t>
          </w:r>
          <w:r>
            <w:rPr>
              <w:rFonts w:hint="eastAsia" w:ascii="黑体" w:hAnsi="黑体" w:eastAsia="黑体" w:cs="黑体"/>
              <w:sz w:val="22"/>
              <w:szCs w:val="22"/>
            </w:rPr>
            <w:t>上海电子信息职业技术学院关于网络课程建设规范及管理办法（试行）</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_Toc16426 \h </w:instrText>
          </w:r>
          <w:r>
            <w:rPr>
              <w:rFonts w:hint="eastAsia" w:ascii="黑体" w:hAnsi="黑体" w:eastAsia="黑体" w:cs="黑体"/>
              <w:sz w:val="22"/>
              <w:szCs w:val="22"/>
            </w:rPr>
            <w:fldChar w:fldCharType="separate"/>
          </w:r>
          <w:r>
            <w:rPr>
              <w:rFonts w:hint="eastAsia" w:ascii="黑体" w:hAnsi="黑体" w:eastAsia="黑体" w:cs="黑体"/>
              <w:sz w:val="22"/>
              <w:szCs w:val="22"/>
            </w:rPr>
            <w:t>300</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31"/>
            <w:keepNext w:val="0"/>
            <w:keepLines w:val="0"/>
            <w:pageBreakBefore w:val="0"/>
            <w:widowControl/>
            <w:tabs>
              <w:tab w:val="right" w:leader="dot" w:pos="8306"/>
              <w:tab w:val="clear" w:pos="8290"/>
            </w:tabs>
            <w:kinsoku/>
            <w:wordWrap/>
            <w:overflowPunct/>
            <w:topLinePunct w:val="0"/>
            <w:autoSpaceDE/>
            <w:autoSpaceDN/>
            <w:bidi w:val="0"/>
            <w:adjustRightInd/>
            <w:snapToGrid/>
            <w:ind w:left="0" w:leftChars="0" w:firstLine="0" w:firstLineChars="0"/>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_Toc27953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47.</w:t>
          </w:r>
          <w:r>
            <w:rPr>
              <w:rFonts w:hint="eastAsia" w:ascii="黑体" w:hAnsi="黑体" w:eastAsia="黑体" w:cs="黑体"/>
              <w:sz w:val="22"/>
              <w:szCs w:val="22"/>
            </w:rPr>
            <w:t>上海电子信息职业技术学院“1+X”证书制度管理办法（试行）</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_Toc27953 \h </w:instrText>
          </w:r>
          <w:r>
            <w:rPr>
              <w:rFonts w:hint="eastAsia" w:ascii="黑体" w:hAnsi="黑体" w:eastAsia="黑体" w:cs="黑体"/>
              <w:sz w:val="22"/>
              <w:szCs w:val="22"/>
            </w:rPr>
            <w:fldChar w:fldCharType="separate"/>
          </w:r>
          <w:r>
            <w:rPr>
              <w:rFonts w:hint="eastAsia" w:ascii="黑体" w:hAnsi="黑体" w:eastAsia="黑体" w:cs="黑体"/>
              <w:sz w:val="22"/>
              <w:szCs w:val="22"/>
            </w:rPr>
            <w:t>308</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lang w:val="en-US" w:eastAsia="zh-CN"/>
            </w:rPr>
            <w:t>48.</w:t>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_Toc15607 </w:instrText>
          </w:r>
          <w:r>
            <w:rPr>
              <w:rFonts w:hint="eastAsia" w:ascii="黑体" w:hAnsi="黑体" w:eastAsia="黑体" w:cs="黑体"/>
              <w:sz w:val="22"/>
              <w:szCs w:val="22"/>
            </w:rPr>
            <w:fldChar w:fldCharType="separate"/>
          </w:r>
          <w:r>
            <w:rPr>
              <w:rFonts w:hint="eastAsia" w:ascii="黑体" w:hAnsi="黑体" w:eastAsia="黑体" w:cs="黑体"/>
              <w:sz w:val="22"/>
              <w:szCs w:val="22"/>
            </w:rPr>
            <w:t>上海电子信息职业技术学院关于制订高职专业人才培养方案的</w:t>
          </w:r>
          <w:r>
            <w:rPr>
              <w:rFonts w:hint="eastAsia" w:ascii="黑体" w:hAnsi="黑体" w:eastAsia="黑体" w:cs="黑体"/>
              <w:sz w:val="22"/>
              <w:szCs w:val="22"/>
              <w:lang w:val="en-US" w:eastAsia="zh-CN"/>
            </w:rPr>
            <w:t>指导</w:t>
          </w:r>
          <w:r>
            <w:rPr>
              <w:rFonts w:hint="eastAsia" w:ascii="黑体" w:hAnsi="黑体" w:eastAsia="黑体" w:cs="黑体"/>
              <w:sz w:val="22"/>
              <w:szCs w:val="22"/>
              <w:lang w:val="zh-CN"/>
            </w:rPr>
            <w:t>意见</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_Toc15607 \h </w:instrText>
          </w:r>
          <w:r>
            <w:rPr>
              <w:rFonts w:hint="eastAsia" w:ascii="黑体" w:hAnsi="黑体" w:eastAsia="黑体" w:cs="黑体"/>
              <w:sz w:val="22"/>
              <w:szCs w:val="22"/>
            </w:rPr>
            <w:fldChar w:fldCharType="separate"/>
          </w:r>
          <w:r>
            <w:rPr>
              <w:rFonts w:hint="eastAsia" w:ascii="黑体" w:hAnsi="黑体" w:eastAsia="黑体" w:cs="黑体"/>
              <w:sz w:val="22"/>
              <w:szCs w:val="22"/>
            </w:rPr>
            <w:t>313</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_Toc14596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49.</w:t>
          </w:r>
          <w:r>
            <w:rPr>
              <w:rFonts w:hint="eastAsia" w:ascii="黑体" w:hAnsi="黑体" w:eastAsia="黑体" w:cs="黑体"/>
              <w:kern w:val="0"/>
              <w:sz w:val="22"/>
              <w:szCs w:val="22"/>
            </w:rPr>
            <w:t>上海电子信息</w:t>
          </w:r>
          <w:r>
            <w:rPr>
              <w:rFonts w:hint="eastAsia" w:ascii="黑体" w:hAnsi="黑体" w:eastAsia="黑体" w:cs="黑体"/>
              <w:sz w:val="22"/>
              <w:szCs w:val="22"/>
            </w:rPr>
            <w:t>职业技术学院专业人才培养方案修订工作管理规定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_Toc14596 \h </w:instrText>
          </w:r>
          <w:r>
            <w:rPr>
              <w:rFonts w:hint="eastAsia" w:ascii="黑体" w:hAnsi="黑体" w:eastAsia="黑体" w:cs="黑体"/>
              <w:sz w:val="22"/>
              <w:szCs w:val="22"/>
            </w:rPr>
            <w:fldChar w:fldCharType="separate"/>
          </w:r>
          <w:r>
            <w:rPr>
              <w:rFonts w:hint="eastAsia" w:ascii="黑体" w:hAnsi="黑体" w:eastAsia="黑体" w:cs="黑体"/>
              <w:sz w:val="22"/>
              <w:szCs w:val="22"/>
            </w:rPr>
            <w:t>324</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_Toc29426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50.</w:t>
          </w:r>
          <w:r>
            <w:rPr>
              <w:rFonts w:hint="eastAsia" w:ascii="黑体" w:hAnsi="黑体" w:eastAsia="黑体" w:cs="黑体"/>
              <w:sz w:val="22"/>
              <w:szCs w:val="22"/>
            </w:rPr>
            <w:t>上海电子信息职业技术学院五年一贯制学生学籍管理规定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_Toc29426 \h </w:instrText>
          </w:r>
          <w:r>
            <w:rPr>
              <w:rFonts w:hint="eastAsia" w:ascii="黑体" w:hAnsi="黑体" w:eastAsia="黑体" w:cs="黑体"/>
              <w:sz w:val="22"/>
              <w:szCs w:val="22"/>
            </w:rPr>
            <w:fldChar w:fldCharType="separate"/>
          </w:r>
          <w:r>
            <w:rPr>
              <w:rFonts w:hint="eastAsia" w:ascii="黑体" w:hAnsi="黑体" w:eastAsia="黑体" w:cs="黑体"/>
              <w:sz w:val="22"/>
              <w:szCs w:val="22"/>
            </w:rPr>
            <w:t>331</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_Toc10840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51.</w:t>
          </w:r>
          <w:r>
            <w:rPr>
              <w:rFonts w:hint="eastAsia" w:ascii="黑体" w:hAnsi="黑体" w:eastAsia="黑体" w:cs="黑体"/>
              <w:sz w:val="22"/>
              <w:szCs w:val="22"/>
            </w:rPr>
            <w:t>上海电子信息职业技术学院学生学籍管理规定</w:t>
          </w:r>
          <w:r>
            <w:rPr>
              <w:rFonts w:hint="eastAsia" w:ascii="黑体" w:hAnsi="黑体" w:eastAsia="黑体" w:cs="黑体"/>
              <w:sz w:val="22"/>
              <w:szCs w:val="22"/>
              <w:lang w:eastAsia="zh-CN"/>
            </w:rPr>
            <w:t>（</w:t>
          </w:r>
          <w:r>
            <w:rPr>
              <w:rFonts w:hint="eastAsia" w:ascii="黑体" w:hAnsi="黑体" w:eastAsia="黑体" w:cs="黑体"/>
              <w:sz w:val="22"/>
              <w:szCs w:val="22"/>
              <w:lang w:val="en-US" w:eastAsia="zh-CN"/>
            </w:rPr>
            <w:t>修订</w:t>
          </w:r>
          <w:r>
            <w:rPr>
              <w:rFonts w:hint="eastAsia" w:ascii="黑体" w:hAnsi="黑体" w:eastAsia="黑体" w:cs="黑体"/>
              <w:sz w:val="22"/>
              <w:szCs w:val="22"/>
              <w:lang w:eastAsia="zh-CN"/>
            </w:rPr>
            <w:t>）</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_Toc10840 \h </w:instrText>
          </w:r>
          <w:r>
            <w:rPr>
              <w:rFonts w:hint="eastAsia" w:ascii="黑体" w:hAnsi="黑体" w:eastAsia="黑体" w:cs="黑体"/>
              <w:sz w:val="22"/>
              <w:szCs w:val="22"/>
            </w:rPr>
            <w:fldChar w:fldCharType="separate"/>
          </w:r>
          <w:r>
            <w:rPr>
              <w:rFonts w:hint="eastAsia" w:ascii="黑体" w:hAnsi="黑体" w:eastAsia="黑体" w:cs="黑体"/>
              <w:sz w:val="22"/>
              <w:szCs w:val="22"/>
            </w:rPr>
            <w:t>344</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_Toc17989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52.</w:t>
          </w:r>
          <w:r>
            <w:rPr>
              <w:rFonts w:hint="eastAsia" w:ascii="黑体" w:hAnsi="黑体" w:eastAsia="黑体" w:cs="黑体"/>
              <w:kern w:val="0"/>
              <w:sz w:val="22"/>
              <w:szCs w:val="22"/>
            </w:rPr>
            <w:t>上海电子信息</w:t>
          </w:r>
          <w:r>
            <w:rPr>
              <w:rFonts w:hint="eastAsia" w:ascii="黑体" w:hAnsi="黑体" w:eastAsia="黑体" w:cs="黑体"/>
              <w:sz w:val="22"/>
              <w:szCs w:val="22"/>
            </w:rPr>
            <w:t>职业技术学院招生工作制度</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_Toc17989 \h </w:instrText>
          </w:r>
          <w:r>
            <w:rPr>
              <w:rFonts w:hint="eastAsia" w:ascii="黑体" w:hAnsi="黑体" w:eastAsia="黑体" w:cs="黑体"/>
              <w:sz w:val="22"/>
              <w:szCs w:val="22"/>
            </w:rPr>
            <w:fldChar w:fldCharType="separate"/>
          </w:r>
          <w:r>
            <w:rPr>
              <w:rFonts w:hint="eastAsia" w:ascii="黑体" w:hAnsi="黑体" w:eastAsia="黑体" w:cs="黑体"/>
              <w:sz w:val="22"/>
              <w:szCs w:val="22"/>
            </w:rPr>
            <w:t>361</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_Toc5907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53.</w:t>
          </w:r>
          <w:r>
            <w:rPr>
              <w:rFonts w:hint="eastAsia" w:ascii="黑体" w:hAnsi="黑体" w:eastAsia="黑体" w:cs="黑体"/>
              <w:kern w:val="0"/>
              <w:sz w:val="22"/>
              <w:szCs w:val="22"/>
            </w:rPr>
            <w:t>上海电子信息职业技术学院教材管理办法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_Toc5907 \h </w:instrText>
          </w:r>
          <w:r>
            <w:rPr>
              <w:rFonts w:hint="eastAsia" w:ascii="黑体" w:hAnsi="黑体" w:eastAsia="黑体" w:cs="黑体"/>
              <w:sz w:val="22"/>
              <w:szCs w:val="22"/>
            </w:rPr>
            <w:fldChar w:fldCharType="separate"/>
          </w:r>
          <w:r>
            <w:rPr>
              <w:rFonts w:hint="eastAsia" w:ascii="黑体" w:hAnsi="黑体" w:eastAsia="黑体" w:cs="黑体"/>
              <w:sz w:val="22"/>
              <w:szCs w:val="22"/>
            </w:rPr>
            <w:t>366</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_Toc13846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54.</w:t>
          </w:r>
          <w:r>
            <w:rPr>
              <w:rFonts w:hint="eastAsia" w:ascii="黑体" w:hAnsi="黑体" w:eastAsia="黑体" w:cs="黑体"/>
              <w:kern w:val="0"/>
              <w:sz w:val="22"/>
              <w:szCs w:val="22"/>
            </w:rPr>
            <w:t>上海电子信息</w:t>
          </w:r>
          <w:r>
            <w:rPr>
              <w:rFonts w:hint="eastAsia" w:ascii="黑体" w:hAnsi="黑体" w:eastAsia="黑体" w:cs="黑体"/>
              <w:sz w:val="22"/>
              <w:szCs w:val="22"/>
            </w:rPr>
            <w:t>职业技术学院</w:t>
          </w:r>
          <w:r>
            <w:rPr>
              <w:rFonts w:hint="eastAsia" w:ascii="黑体" w:hAnsi="黑体" w:eastAsia="黑体" w:cs="黑体"/>
              <w:bCs/>
              <w:sz w:val="22"/>
              <w:szCs w:val="22"/>
            </w:rPr>
            <w:t>教材选用实施细则</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_Toc13846 \h </w:instrText>
          </w:r>
          <w:r>
            <w:rPr>
              <w:rFonts w:hint="eastAsia" w:ascii="黑体" w:hAnsi="黑体" w:eastAsia="黑体" w:cs="黑体"/>
              <w:sz w:val="22"/>
              <w:szCs w:val="22"/>
            </w:rPr>
            <w:fldChar w:fldCharType="separate"/>
          </w:r>
          <w:r>
            <w:rPr>
              <w:rFonts w:hint="eastAsia" w:ascii="黑体" w:hAnsi="黑体" w:eastAsia="黑体" w:cs="黑体"/>
              <w:sz w:val="22"/>
              <w:szCs w:val="22"/>
            </w:rPr>
            <w:t>375</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_Toc26421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55.</w:t>
          </w:r>
          <w:r>
            <w:rPr>
              <w:rFonts w:hint="eastAsia" w:ascii="黑体" w:hAnsi="黑体" w:eastAsia="黑体" w:cs="黑体"/>
              <w:kern w:val="0"/>
              <w:sz w:val="22"/>
              <w:szCs w:val="22"/>
            </w:rPr>
            <w:t>上海电子信息职业技术学院关于校本教材建设的若干意见</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_Toc26421 \h </w:instrText>
          </w:r>
          <w:r>
            <w:rPr>
              <w:rFonts w:hint="eastAsia" w:ascii="黑体" w:hAnsi="黑体" w:eastAsia="黑体" w:cs="黑体"/>
              <w:sz w:val="22"/>
              <w:szCs w:val="22"/>
            </w:rPr>
            <w:fldChar w:fldCharType="separate"/>
          </w:r>
          <w:r>
            <w:rPr>
              <w:rFonts w:hint="eastAsia" w:ascii="黑体" w:hAnsi="黑体" w:eastAsia="黑体" w:cs="黑体"/>
              <w:sz w:val="22"/>
              <w:szCs w:val="22"/>
            </w:rPr>
            <w:t>382</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_Toc8726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56.</w:t>
          </w:r>
          <w:r>
            <w:rPr>
              <w:rFonts w:hint="eastAsia" w:ascii="黑体" w:hAnsi="黑体" w:eastAsia="黑体" w:cs="黑体"/>
              <w:kern w:val="0"/>
              <w:sz w:val="22"/>
              <w:szCs w:val="22"/>
            </w:rPr>
            <w:t>上海电子信息职业技术学院</w:t>
          </w:r>
          <w:r>
            <w:rPr>
              <w:rFonts w:hint="eastAsia" w:ascii="黑体" w:hAnsi="黑体" w:eastAsia="黑体" w:cs="黑体"/>
              <w:sz w:val="22"/>
              <w:szCs w:val="22"/>
            </w:rPr>
            <w:t>深入推进课程思政建设的实施意见(试行)</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_Toc8726 \h </w:instrText>
          </w:r>
          <w:r>
            <w:rPr>
              <w:rFonts w:hint="eastAsia" w:ascii="黑体" w:hAnsi="黑体" w:eastAsia="黑体" w:cs="黑体"/>
              <w:sz w:val="22"/>
              <w:szCs w:val="22"/>
            </w:rPr>
            <w:fldChar w:fldCharType="separate"/>
          </w:r>
          <w:r>
            <w:rPr>
              <w:rFonts w:hint="eastAsia" w:ascii="黑体" w:hAnsi="黑体" w:eastAsia="黑体" w:cs="黑体"/>
              <w:sz w:val="22"/>
              <w:szCs w:val="22"/>
            </w:rPr>
            <w:t>399</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_Toc23724 </w:instrText>
          </w:r>
          <w:r>
            <w:rPr>
              <w:rFonts w:hint="eastAsia" w:ascii="黑体" w:hAnsi="黑体" w:eastAsia="黑体" w:cs="黑体"/>
              <w:sz w:val="22"/>
              <w:szCs w:val="22"/>
            </w:rPr>
            <w:fldChar w:fldCharType="separate"/>
          </w:r>
          <w:r>
            <w:rPr>
              <w:rFonts w:hint="eastAsia" w:ascii="黑体" w:hAnsi="黑体" w:eastAsia="黑体" w:cs="黑体"/>
              <w:bCs w:val="0"/>
              <w:spacing w:val="-4"/>
              <w:sz w:val="22"/>
              <w:szCs w:val="22"/>
              <w:lang w:val="en-US" w:eastAsia="zh-CN"/>
            </w:rPr>
            <w:t>57.</w:t>
          </w:r>
          <w:r>
            <w:rPr>
              <w:rFonts w:hint="eastAsia" w:ascii="黑体" w:hAnsi="黑体" w:eastAsia="黑体" w:cs="黑体"/>
              <w:bCs w:val="0"/>
              <w:spacing w:val="-4"/>
              <w:sz w:val="22"/>
              <w:szCs w:val="22"/>
            </w:rPr>
            <w:t>上海电子信息职业技术学院非全日制教育</w:t>
          </w:r>
          <w:r>
            <w:rPr>
              <w:rFonts w:hint="eastAsia" w:ascii="黑体" w:hAnsi="黑体" w:eastAsia="黑体" w:cs="黑体"/>
              <w:bCs w:val="0"/>
              <w:spacing w:val="-12"/>
              <w:sz w:val="22"/>
              <w:szCs w:val="22"/>
            </w:rPr>
            <w:t>课时津贴计算办法（修订）</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_Toc23724 \h </w:instrText>
          </w:r>
          <w:r>
            <w:rPr>
              <w:rFonts w:hint="eastAsia" w:ascii="黑体" w:hAnsi="黑体" w:eastAsia="黑体" w:cs="黑体"/>
              <w:sz w:val="22"/>
              <w:szCs w:val="22"/>
            </w:rPr>
            <w:fldChar w:fldCharType="separate"/>
          </w:r>
          <w:r>
            <w:rPr>
              <w:rFonts w:hint="eastAsia" w:ascii="黑体" w:hAnsi="黑体" w:eastAsia="黑体" w:cs="黑体"/>
              <w:sz w:val="22"/>
              <w:szCs w:val="22"/>
            </w:rPr>
            <w:t>407</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_Toc10603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58.</w:t>
          </w:r>
          <w:r>
            <w:rPr>
              <w:rFonts w:hint="eastAsia" w:ascii="黑体" w:hAnsi="黑体" w:eastAsia="黑体" w:cs="黑体"/>
              <w:kern w:val="0"/>
              <w:sz w:val="22"/>
              <w:szCs w:val="22"/>
            </w:rPr>
            <w:t>上海电子信息职业技术学院专业建设指导委员会章程</w:t>
          </w:r>
          <w:r>
            <w:rPr>
              <w:rFonts w:hint="eastAsia" w:ascii="黑体" w:hAnsi="黑体" w:eastAsia="黑体" w:cs="黑体"/>
              <w:kern w:val="0"/>
              <w:sz w:val="22"/>
              <w:szCs w:val="22"/>
              <w:lang w:eastAsia="zh-CN"/>
            </w:rPr>
            <w:t>（</w:t>
          </w:r>
          <w:r>
            <w:rPr>
              <w:rFonts w:hint="eastAsia" w:ascii="黑体" w:hAnsi="黑体" w:eastAsia="黑体" w:cs="黑体"/>
              <w:kern w:val="0"/>
              <w:sz w:val="22"/>
              <w:szCs w:val="22"/>
              <w:lang w:val="en-US" w:eastAsia="zh-CN"/>
            </w:rPr>
            <w:t>修订</w:t>
          </w:r>
          <w:r>
            <w:rPr>
              <w:rFonts w:hint="eastAsia" w:ascii="黑体" w:hAnsi="黑体" w:eastAsia="黑体" w:cs="黑体"/>
              <w:kern w:val="0"/>
              <w:sz w:val="22"/>
              <w:szCs w:val="22"/>
              <w:lang w:eastAsia="zh-CN"/>
            </w:rPr>
            <w:t>）</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_Toc10603 \h </w:instrText>
          </w:r>
          <w:r>
            <w:rPr>
              <w:rFonts w:hint="eastAsia" w:ascii="黑体" w:hAnsi="黑体" w:eastAsia="黑体" w:cs="黑体"/>
              <w:sz w:val="22"/>
              <w:szCs w:val="22"/>
            </w:rPr>
            <w:fldChar w:fldCharType="separate"/>
          </w:r>
          <w:r>
            <w:rPr>
              <w:rFonts w:hint="eastAsia" w:ascii="黑体" w:hAnsi="黑体" w:eastAsia="黑体" w:cs="黑体"/>
              <w:sz w:val="22"/>
              <w:szCs w:val="22"/>
            </w:rPr>
            <w:t>411</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_Toc21271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59.</w:t>
          </w:r>
          <w:r>
            <w:rPr>
              <w:rFonts w:hint="eastAsia" w:ascii="黑体" w:hAnsi="黑体" w:eastAsia="黑体" w:cs="黑体"/>
              <w:sz w:val="22"/>
              <w:szCs w:val="22"/>
            </w:rPr>
            <w:t>上海电子信息职业技术学院教师教学工作量计算办法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_Toc21271 \h </w:instrText>
          </w:r>
          <w:r>
            <w:rPr>
              <w:rFonts w:hint="eastAsia" w:ascii="黑体" w:hAnsi="黑体" w:eastAsia="黑体" w:cs="黑体"/>
              <w:sz w:val="22"/>
              <w:szCs w:val="22"/>
            </w:rPr>
            <w:fldChar w:fldCharType="separate"/>
          </w:r>
          <w:r>
            <w:rPr>
              <w:rFonts w:hint="eastAsia" w:ascii="黑体" w:hAnsi="黑体" w:eastAsia="黑体" w:cs="黑体"/>
              <w:sz w:val="22"/>
              <w:szCs w:val="22"/>
            </w:rPr>
            <w:t>418</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_Toc22026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60.</w:t>
          </w:r>
          <w:r>
            <w:rPr>
              <w:rFonts w:hint="eastAsia" w:ascii="黑体" w:hAnsi="黑体" w:eastAsia="黑体" w:cs="黑体"/>
              <w:kern w:val="0"/>
              <w:sz w:val="22"/>
              <w:szCs w:val="22"/>
            </w:rPr>
            <w:t>上海电子信息职业技术学院课程教学资源</w:t>
          </w:r>
          <w:r>
            <w:rPr>
              <w:rFonts w:hint="eastAsia" w:ascii="黑体" w:hAnsi="黑体" w:eastAsia="黑体" w:cs="黑体"/>
              <w:sz w:val="22"/>
              <w:szCs w:val="22"/>
            </w:rPr>
            <w:fldChar w:fldCharType="end"/>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_Toc32315 </w:instrText>
          </w:r>
          <w:r>
            <w:rPr>
              <w:rFonts w:hint="eastAsia" w:ascii="黑体" w:hAnsi="黑体" w:eastAsia="黑体" w:cs="黑体"/>
              <w:sz w:val="22"/>
              <w:szCs w:val="22"/>
            </w:rPr>
            <w:fldChar w:fldCharType="separate"/>
          </w:r>
          <w:r>
            <w:rPr>
              <w:rFonts w:hint="eastAsia" w:ascii="黑体" w:hAnsi="黑体" w:eastAsia="黑体" w:cs="黑体"/>
              <w:kern w:val="0"/>
              <w:sz w:val="22"/>
              <w:szCs w:val="22"/>
            </w:rPr>
            <w:t>建设</w:t>
          </w:r>
          <w:r>
            <w:rPr>
              <w:rFonts w:hint="eastAsia" w:ascii="黑体" w:hAnsi="黑体" w:eastAsia="黑体" w:cs="黑体"/>
              <w:kern w:val="0"/>
              <w:sz w:val="22"/>
              <w:szCs w:val="22"/>
              <w:lang w:val="en-US" w:eastAsia="zh-CN"/>
            </w:rPr>
            <w:t>指导意见</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_Toc32315 \h </w:instrText>
          </w:r>
          <w:r>
            <w:rPr>
              <w:rFonts w:hint="eastAsia" w:ascii="黑体" w:hAnsi="黑体" w:eastAsia="黑体" w:cs="黑体"/>
              <w:sz w:val="22"/>
              <w:szCs w:val="22"/>
            </w:rPr>
            <w:fldChar w:fldCharType="separate"/>
          </w:r>
          <w:r>
            <w:rPr>
              <w:rFonts w:hint="eastAsia" w:ascii="黑体" w:hAnsi="黑体" w:eastAsia="黑体" w:cs="黑体"/>
              <w:sz w:val="22"/>
              <w:szCs w:val="22"/>
            </w:rPr>
            <w:t>423</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_Toc8123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61.</w:t>
          </w:r>
          <w:r>
            <w:rPr>
              <w:rFonts w:hint="eastAsia" w:ascii="黑体" w:hAnsi="黑体" w:eastAsia="黑体" w:cs="黑体"/>
              <w:kern w:val="0"/>
              <w:sz w:val="22"/>
              <w:szCs w:val="22"/>
            </w:rPr>
            <w:t>上海电子信息</w:t>
          </w:r>
          <w:r>
            <w:rPr>
              <w:rFonts w:hint="eastAsia" w:ascii="黑体" w:hAnsi="黑体" w:eastAsia="黑体" w:cs="黑体"/>
              <w:sz w:val="22"/>
              <w:szCs w:val="22"/>
            </w:rPr>
            <w:t>职业技术学院学生参加校外职业技能竞赛管理办法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_Toc8123 \h </w:instrText>
          </w:r>
          <w:r>
            <w:rPr>
              <w:rFonts w:hint="eastAsia" w:ascii="黑体" w:hAnsi="黑体" w:eastAsia="黑体" w:cs="黑体"/>
              <w:sz w:val="22"/>
              <w:szCs w:val="22"/>
            </w:rPr>
            <w:fldChar w:fldCharType="separate"/>
          </w:r>
          <w:r>
            <w:rPr>
              <w:rFonts w:hint="eastAsia" w:ascii="黑体" w:hAnsi="黑体" w:eastAsia="黑体" w:cs="黑体"/>
              <w:sz w:val="22"/>
              <w:szCs w:val="22"/>
            </w:rPr>
            <w:t>447</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_Toc9586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62.</w:t>
          </w:r>
          <w:r>
            <w:rPr>
              <w:rFonts w:hint="eastAsia" w:ascii="黑体" w:hAnsi="黑体" w:eastAsia="黑体" w:cs="黑体"/>
              <w:sz w:val="22"/>
              <w:szCs w:val="22"/>
            </w:rPr>
            <w:t>上海电子信息职业技术学院五年一贯制学生学籍管理规定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_Toc9586 \h </w:instrText>
          </w:r>
          <w:r>
            <w:rPr>
              <w:rFonts w:hint="eastAsia" w:ascii="黑体" w:hAnsi="黑体" w:eastAsia="黑体" w:cs="黑体"/>
              <w:sz w:val="22"/>
              <w:szCs w:val="22"/>
            </w:rPr>
            <w:fldChar w:fldCharType="separate"/>
          </w:r>
          <w:r>
            <w:rPr>
              <w:rFonts w:hint="eastAsia" w:ascii="黑体" w:hAnsi="黑体" w:eastAsia="黑体" w:cs="黑体"/>
              <w:sz w:val="22"/>
              <w:szCs w:val="22"/>
            </w:rPr>
            <w:t>456</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_Toc27737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63.</w:t>
          </w:r>
          <w:r>
            <w:rPr>
              <w:rFonts w:hint="eastAsia" w:ascii="黑体" w:hAnsi="黑体" w:eastAsia="黑体" w:cs="黑体"/>
              <w:sz w:val="22"/>
              <w:szCs w:val="22"/>
            </w:rPr>
            <w:t>上海电子信息职业技术学院学生学籍管理规定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_Toc27737 \h </w:instrText>
          </w:r>
          <w:r>
            <w:rPr>
              <w:rFonts w:hint="eastAsia" w:ascii="黑体" w:hAnsi="黑体" w:eastAsia="黑体" w:cs="黑体"/>
              <w:sz w:val="22"/>
              <w:szCs w:val="22"/>
            </w:rPr>
            <w:fldChar w:fldCharType="separate"/>
          </w:r>
          <w:r>
            <w:rPr>
              <w:rFonts w:hint="eastAsia" w:ascii="黑体" w:hAnsi="黑体" w:eastAsia="黑体" w:cs="黑体"/>
              <w:sz w:val="22"/>
              <w:szCs w:val="22"/>
            </w:rPr>
            <w:t>471</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lang w:val="en-US" w:eastAsia="zh-CN"/>
            </w:rPr>
            <w:t>64.</w:t>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_Toc2922 </w:instrText>
          </w:r>
          <w:r>
            <w:rPr>
              <w:rFonts w:hint="eastAsia" w:ascii="黑体" w:hAnsi="黑体" w:eastAsia="黑体" w:cs="黑体"/>
              <w:sz w:val="22"/>
              <w:szCs w:val="22"/>
            </w:rPr>
            <w:fldChar w:fldCharType="separate"/>
          </w:r>
          <w:r>
            <w:rPr>
              <w:rFonts w:hint="eastAsia" w:ascii="黑体" w:hAnsi="黑体" w:eastAsia="黑体" w:cs="黑体"/>
              <w:bCs/>
              <w:w w:val="90"/>
              <w:kern w:val="2"/>
              <w:sz w:val="22"/>
              <w:szCs w:val="22"/>
              <w:lang w:val="en-US" w:eastAsia="zh-CN" w:bidi="ar-SA"/>
            </w:rPr>
            <w:t>上海电子信息职业技术学院关于加强学籍学历档案相关管理工作的办法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_Toc2922 \h </w:instrText>
          </w:r>
          <w:r>
            <w:rPr>
              <w:rFonts w:hint="eastAsia" w:ascii="黑体" w:hAnsi="黑体" w:eastAsia="黑体" w:cs="黑体"/>
              <w:sz w:val="22"/>
              <w:szCs w:val="22"/>
            </w:rPr>
            <w:fldChar w:fldCharType="separate"/>
          </w:r>
          <w:r>
            <w:rPr>
              <w:rFonts w:hint="eastAsia" w:ascii="黑体" w:hAnsi="黑体" w:eastAsia="黑体" w:cs="黑体"/>
              <w:sz w:val="22"/>
              <w:szCs w:val="22"/>
            </w:rPr>
            <w:t>486</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_Toc27873 </w:instrText>
          </w:r>
          <w:r>
            <w:rPr>
              <w:rFonts w:hint="eastAsia" w:ascii="黑体" w:hAnsi="黑体" w:eastAsia="黑体" w:cs="黑体"/>
              <w:sz w:val="22"/>
              <w:szCs w:val="22"/>
            </w:rPr>
            <w:fldChar w:fldCharType="separate"/>
          </w:r>
          <w:r>
            <w:rPr>
              <w:rFonts w:hint="eastAsia" w:ascii="黑体" w:hAnsi="黑体" w:eastAsia="黑体" w:cs="黑体"/>
              <w:kern w:val="2"/>
              <w:sz w:val="22"/>
              <w:szCs w:val="22"/>
              <w:lang w:val="en-US" w:eastAsia="zh-CN" w:bidi="ar-SA"/>
            </w:rPr>
            <w:t>65.</w:t>
          </w:r>
          <w:r>
            <w:rPr>
              <w:rFonts w:hint="eastAsia" w:ascii="黑体" w:hAnsi="黑体" w:eastAsia="黑体" w:cs="黑体"/>
              <w:kern w:val="2"/>
              <w:sz w:val="22"/>
              <w:szCs w:val="22"/>
              <w:lang w:val="en-US" w:bidi="ar-SA"/>
            </w:rPr>
            <w:t>上海电机学院、上海电机学院高职学院、上海电子信息职业技术学院高本贯通培养学生学籍管理暂行规定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_Toc27873 \h </w:instrText>
          </w:r>
          <w:r>
            <w:rPr>
              <w:rFonts w:hint="eastAsia" w:ascii="黑体" w:hAnsi="黑体" w:eastAsia="黑体" w:cs="黑体"/>
              <w:sz w:val="22"/>
              <w:szCs w:val="22"/>
            </w:rPr>
            <w:fldChar w:fldCharType="separate"/>
          </w:r>
          <w:r>
            <w:rPr>
              <w:rFonts w:hint="eastAsia" w:ascii="黑体" w:hAnsi="黑体" w:eastAsia="黑体" w:cs="黑体"/>
              <w:sz w:val="22"/>
              <w:szCs w:val="22"/>
            </w:rPr>
            <w:t>493</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_Toc5829 </w:instrText>
          </w:r>
          <w:r>
            <w:rPr>
              <w:rFonts w:hint="eastAsia" w:ascii="黑体" w:hAnsi="黑体" w:eastAsia="黑体" w:cs="黑体"/>
              <w:sz w:val="22"/>
              <w:szCs w:val="22"/>
            </w:rPr>
            <w:fldChar w:fldCharType="separate"/>
          </w:r>
          <w:r>
            <w:rPr>
              <w:rFonts w:hint="eastAsia" w:ascii="黑体" w:hAnsi="黑体" w:eastAsia="黑体" w:cs="黑体"/>
              <w:bCs w:val="0"/>
              <w:kern w:val="0"/>
              <w:sz w:val="22"/>
              <w:szCs w:val="22"/>
              <w:lang w:val="en-US" w:eastAsia="zh-CN" w:bidi="ar-SA"/>
            </w:rPr>
            <w:t>66.上海电子信息职业技术学院新生入学资格审查和录取资格审查工作的实施方案</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_Toc5829 \h </w:instrText>
          </w:r>
          <w:r>
            <w:rPr>
              <w:rFonts w:hint="eastAsia" w:ascii="黑体" w:hAnsi="黑体" w:eastAsia="黑体" w:cs="黑体"/>
              <w:sz w:val="22"/>
              <w:szCs w:val="22"/>
            </w:rPr>
            <w:fldChar w:fldCharType="separate"/>
          </w:r>
          <w:r>
            <w:rPr>
              <w:rFonts w:hint="eastAsia" w:ascii="黑体" w:hAnsi="黑体" w:eastAsia="黑体" w:cs="黑体"/>
              <w:sz w:val="22"/>
              <w:szCs w:val="22"/>
            </w:rPr>
            <w:t>503</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_Toc5701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67.</w:t>
          </w:r>
          <w:r>
            <w:rPr>
              <w:rFonts w:hint="eastAsia" w:ascii="黑体" w:hAnsi="黑体" w:eastAsia="黑体" w:cs="黑体"/>
              <w:kern w:val="0"/>
              <w:sz w:val="22"/>
              <w:szCs w:val="22"/>
            </w:rPr>
            <w:t>上海电子信息职业技术学院兼课教师管理规定</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_Toc5701 \h </w:instrText>
          </w:r>
          <w:r>
            <w:rPr>
              <w:rFonts w:hint="eastAsia" w:ascii="黑体" w:hAnsi="黑体" w:eastAsia="黑体" w:cs="黑体"/>
              <w:sz w:val="22"/>
              <w:szCs w:val="22"/>
            </w:rPr>
            <w:fldChar w:fldCharType="separate"/>
          </w:r>
          <w:r>
            <w:rPr>
              <w:rFonts w:hint="eastAsia" w:ascii="黑体" w:hAnsi="黑体" w:eastAsia="黑体" w:cs="黑体"/>
              <w:sz w:val="22"/>
              <w:szCs w:val="22"/>
            </w:rPr>
            <w:t>507</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_Toc15214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68.</w:t>
          </w:r>
          <w:r>
            <w:rPr>
              <w:rFonts w:hint="eastAsia" w:ascii="黑体" w:hAnsi="黑体" w:eastAsia="黑体" w:cs="黑体"/>
              <w:kern w:val="0"/>
              <w:sz w:val="22"/>
              <w:szCs w:val="22"/>
            </w:rPr>
            <w:t>上海电子信息职业技术学院非学历教育和培训办班管理办法（试行）</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_Toc15214 \h </w:instrText>
          </w:r>
          <w:r>
            <w:rPr>
              <w:rFonts w:hint="eastAsia" w:ascii="黑体" w:hAnsi="黑体" w:eastAsia="黑体" w:cs="黑体"/>
              <w:sz w:val="22"/>
              <w:szCs w:val="22"/>
            </w:rPr>
            <w:fldChar w:fldCharType="separate"/>
          </w:r>
          <w:r>
            <w:rPr>
              <w:rFonts w:hint="eastAsia" w:ascii="黑体" w:hAnsi="黑体" w:eastAsia="黑体" w:cs="黑体"/>
              <w:sz w:val="22"/>
              <w:szCs w:val="22"/>
            </w:rPr>
            <w:t>516</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_Toc20327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69.</w:t>
          </w:r>
          <w:r>
            <w:rPr>
              <w:rFonts w:hint="eastAsia" w:ascii="黑体" w:hAnsi="黑体" w:eastAsia="黑体" w:cs="黑体"/>
              <w:sz w:val="22"/>
              <w:szCs w:val="22"/>
            </w:rPr>
            <w:t>上海电子信息职业技术学院专业分类管理和专业动态调整实施办法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_Toc20327 \h </w:instrText>
          </w:r>
          <w:r>
            <w:rPr>
              <w:rFonts w:hint="eastAsia" w:ascii="黑体" w:hAnsi="黑体" w:eastAsia="黑体" w:cs="黑体"/>
              <w:sz w:val="22"/>
              <w:szCs w:val="22"/>
            </w:rPr>
            <w:fldChar w:fldCharType="separate"/>
          </w:r>
          <w:r>
            <w:rPr>
              <w:rFonts w:hint="eastAsia" w:ascii="黑体" w:hAnsi="黑体" w:eastAsia="黑体" w:cs="黑体"/>
              <w:sz w:val="22"/>
              <w:szCs w:val="22"/>
            </w:rPr>
            <w:t>524</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eastAsia" w:ascii="黑体" w:hAnsi="黑体" w:eastAsia="黑体" w:cs="黑体"/>
              <w:sz w:val="22"/>
              <w:szCs w:val="22"/>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_Toc32205 </w:instrText>
          </w:r>
          <w:r>
            <w:rPr>
              <w:rFonts w:hint="eastAsia" w:ascii="黑体" w:hAnsi="黑体" w:eastAsia="黑体" w:cs="黑体"/>
              <w:sz w:val="22"/>
              <w:szCs w:val="22"/>
            </w:rPr>
            <w:fldChar w:fldCharType="separate"/>
          </w:r>
          <w:r>
            <w:rPr>
              <w:rFonts w:hint="eastAsia" w:ascii="黑体" w:hAnsi="黑体" w:eastAsia="黑体" w:cs="黑体"/>
              <w:kern w:val="0"/>
              <w:sz w:val="22"/>
              <w:szCs w:val="22"/>
              <w:lang w:val="en-US" w:eastAsia="zh-CN"/>
            </w:rPr>
            <w:t>70.</w:t>
          </w:r>
          <w:r>
            <w:rPr>
              <w:rFonts w:hint="eastAsia" w:ascii="黑体" w:hAnsi="黑体" w:eastAsia="黑体" w:cs="黑体"/>
              <w:kern w:val="0"/>
              <w:sz w:val="22"/>
              <w:szCs w:val="22"/>
            </w:rPr>
            <w:t>上海电子信息职业技术学院教学事故认定及处理办法</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_Toc32205 \h </w:instrText>
          </w:r>
          <w:r>
            <w:rPr>
              <w:rFonts w:hint="eastAsia" w:ascii="黑体" w:hAnsi="黑体" w:eastAsia="黑体" w:cs="黑体"/>
              <w:sz w:val="22"/>
              <w:szCs w:val="22"/>
            </w:rPr>
            <w:fldChar w:fldCharType="separate"/>
          </w:r>
          <w:r>
            <w:rPr>
              <w:rFonts w:hint="eastAsia" w:ascii="黑体" w:hAnsi="黑体" w:eastAsia="黑体" w:cs="黑体"/>
              <w:sz w:val="22"/>
              <w:szCs w:val="22"/>
            </w:rPr>
            <w:t>536</w:t>
          </w:r>
          <w:r>
            <w:rPr>
              <w:rFonts w:hint="eastAsia" w:ascii="黑体" w:hAnsi="黑体" w:eastAsia="黑体" w:cs="黑体"/>
              <w:sz w:val="22"/>
              <w:szCs w:val="22"/>
            </w:rPr>
            <w:fldChar w:fldCharType="end"/>
          </w:r>
          <w:r>
            <w:rPr>
              <w:rFonts w:hint="eastAsia" w:ascii="黑体" w:hAnsi="黑体" w:eastAsia="黑体" w:cs="黑体"/>
              <w:sz w:val="22"/>
              <w:szCs w:val="22"/>
            </w:rPr>
            <w:fldChar w:fldCharType="end"/>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default" w:ascii="黑体" w:hAnsi="黑体" w:eastAsia="黑体" w:cs="黑体"/>
              <w:sz w:val="22"/>
              <w:szCs w:val="22"/>
              <w:lang w:val="en-US" w:eastAsia="zh-CN"/>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_Toc5531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71.</w:t>
          </w:r>
          <w:r>
            <w:rPr>
              <w:rFonts w:hint="eastAsia" w:ascii="黑体" w:hAnsi="黑体" w:eastAsia="黑体" w:cs="黑体"/>
              <w:sz w:val="22"/>
              <w:szCs w:val="22"/>
            </w:rPr>
            <w:t>教师指导学生参加职业技能竞赛获奖的奖励办法知</w:t>
          </w:r>
          <w:r>
            <w:rPr>
              <w:rFonts w:hint="eastAsia" w:ascii="黑体" w:hAnsi="黑体" w:eastAsia="黑体" w:cs="黑体"/>
              <w:sz w:val="22"/>
              <w:szCs w:val="22"/>
            </w:rPr>
            <w:tab/>
          </w:r>
          <w:r>
            <w:rPr>
              <w:rFonts w:hint="eastAsia" w:ascii="黑体" w:hAnsi="黑体" w:eastAsia="黑体" w:cs="黑体"/>
              <w:sz w:val="22"/>
              <w:szCs w:val="22"/>
              <w:lang w:val="en-US" w:eastAsia="zh-CN"/>
            </w:rPr>
            <w:t>5</w:t>
          </w:r>
          <w:r>
            <w:rPr>
              <w:rFonts w:hint="eastAsia" w:ascii="黑体" w:hAnsi="黑体" w:eastAsia="黑体" w:cs="黑体"/>
              <w:sz w:val="22"/>
              <w:szCs w:val="22"/>
            </w:rPr>
            <w:fldChar w:fldCharType="end"/>
          </w:r>
          <w:r>
            <w:rPr>
              <w:rFonts w:hint="eastAsia" w:ascii="黑体" w:hAnsi="黑体" w:eastAsia="黑体" w:cs="黑体"/>
              <w:sz w:val="22"/>
              <w:szCs w:val="22"/>
              <w:lang w:val="en-US" w:eastAsia="zh-CN"/>
            </w:rPr>
            <w:t>47</w:t>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default" w:ascii="黑体" w:hAnsi="黑体" w:eastAsia="黑体" w:cs="黑体"/>
              <w:sz w:val="22"/>
              <w:szCs w:val="22"/>
              <w:lang w:val="en-US" w:eastAsia="zh-CN"/>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_Toc32607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72.</w:t>
          </w:r>
          <w:r>
            <w:rPr>
              <w:rFonts w:hint="eastAsia" w:ascii="黑体" w:hAnsi="黑体" w:eastAsia="黑体" w:cs="黑体"/>
              <w:sz w:val="22"/>
              <w:szCs w:val="22"/>
            </w:rPr>
            <w:t>上海电子信息职业技术学院“质量工程”与“教学改革工程”专项奖励实施细则</w:t>
          </w:r>
          <w:r>
            <w:rPr>
              <w:rFonts w:hint="eastAsia" w:ascii="黑体" w:hAnsi="黑体" w:eastAsia="黑体" w:cs="黑体"/>
              <w:sz w:val="22"/>
              <w:szCs w:val="22"/>
            </w:rPr>
            <w:tab/>
          </w:r>
          <w:r>
            <w:rPr>
              <w:rFonts w:hint="eastAsia" w:ascii="黑体" w:hAnsi="黑体" w:eastAsia="黑体" w:cs="黑体"/>
              <w:sz w:val="22"/>
              <w:szCs w:val="22"/>
              <w:lang w:val="en-US" w:eastAsia="zh-CN"/>
            </w:rPr>
            <w:t>5</w:t>
          </w:r>
          <w:r>
            <w:rPr>
              <w:rFonts w:hint="eastAsia" w:ascii="黑体" w:hAnsi="黑体" w:eastAsia="黑体" w:cs="黑体"/>
              <w:sz w:val="22"/>
              <w:szCs w:val="22"/>
            </w:rPr>
            <w:fldChar w:fldCharType="end"/>
          </w:r>
          <w:r>
            <w:rPr>
              <w:rFonts w:hint="eastAsia" w:ascii="黑体" w:hAnsi="黑体" w:eastAsia="黑体" w:cs="黑体"/>
              <w:sz w:val="22"/>
              <w:szCs w:val="22"/>
              <w:lang w:val="en-US" w:eastAsia="zh-CN"/>
            </w:rPr>
            <w:t>51</w:t>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default" w:ascii="黑体" w:hAnsi="黑体" w:eastAsia="黑体" w:cs="黑体"/>
              <w:sz w:val="22"/>
              <w:szCs w:val="22"/>
              <w:lang w:val="en-US" w:eastAsia="zh-CN"/>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_Toc8186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73.上海电子信息职业技术学院学生实习管理规定</w:t>
          </w:r>
          <w:r>
            <w:rPr>
              <w:rFonts w:hint="eastAsia" w:ascii="黑体" w:hAnsi="黑体" w:eastAsia="黑体" w:cs="黑体"/>
              <w:sz w:val="22"/>
              <w:szCs w:val="22"/>
            </w:rPr>
            <w:tab/>
          </w:r>
          <w:r>
            <w:rPr>
              <w:rFonts w:hint="eastAsia" w:ascii="黑体" w:hAnsi="黑体" w:eastAsia="黑体" w:cs="黑体"/>
              <w:sz w:val="22"/>
              <w:szCs w:val="22"/>
              <w:lang w:val="en-US" w:eastAsia="zh-CN"/>
            </w:rPr>
            <w:t>5</w:t>
          </w:r>
          <w:r>
            <w:rPr>
              <w:rFonts w:hint="eastAsia" w:ascii="黑体" w:hAnsi="黑体" w:eastAsia="黑体" w:cs="黑体"/>
              <w:sz w:val="22"/>
              <w:szCs w:val="22"/>
            </w:rPr>
            <w:fldChar w:fldCharType="end"/>
          </w:r>
          <w:r>
            <w:rPr>
              <w:rFonts w:hint="eastAsia" w:ascii="黑体" w:hAnsi="黑体" w:eastAsia="黑体" w:cs="黑体"/>
              <w:sz w:val="22"/>
              <w:szCs w:val="22"/>
              <w:lang w:val="en-US" w:eastAsia="zh-CN"/>
            </w:rPr>
            <w:t>58</w:t>
          </w:r>
        </w:p>
        <w:p>
          <w:pPr>
            <w:pStyle w:val="26"/>
            <w:keepNext w:val="0"/>
            <w:keepLines w:val="0"/>
            <w:pageBreakBefore w:val="0"/>
            <w:widowControl/>
            <w:tabs>
              <w:tab w:val="right" w:leader="dot" w:pos="8306"/>
            </w:tabs>
            <w:kinsoku/>
            <w:wordWrap/>
            <w:overflowPunct/>
            <w:topLinePunct w:val="0"/>
            <w:autoSpaceDE/>
            <w:autoSpaceDN/>
            <w:bidi w:val="0"/>
            <w:adjustRightInd/>
            <w:snapToGrid/>
            <w:textAlignment w:val="auto"/>
            <w:rPr>
              <w:rFonts w:hint="default" w:eastAsia="黑体"/>
              <w:lang w:val="en-US" w:eastAsia="zh-CN"/>
            </w:rPr>
          </w:pP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HYPERLINK \l _Toc4132 </w:instrText>
          </w:r>
          <w:r>
            <w:rPr>
              <w:rFonts w:hint="eastAsia" w:ascii="黑体" w:hAnsi="黑体" w:eastAsia="黑体" w:cs="黑体"/>
              <w:sz w:val="22"/>
              <w:szCs w:val="22"/>
            </w:rPr>
            <w:fldChar w:fldCharType="separate"/>
          </w:r>
          <w:r>
            <w:rPr>
              <w:rFonts w:hint="eastAsia" w:ascii="黑体" w:hAnsi="黑体" w:eastAsia="黑体" w:cs="黑体"/>
              <w:sz w:val="22"/>
              <w:szCs w:val="22"/>
              <w:lang w:val="en-US" w:eastAsia="zh-CN"/>
            </w:rPr>
            <w:t>74.上海电子信息职业技术学院学生实习教学管理办法</w:t>
          </w:r>
          <w:r>
            <w:rPr>
              <w:rFonts w:hint="eastAsia" w:ascii="黑体" w:hAnsi="黑体" w:eastAsia="黑体" w:cs="黑体"/>
              <w:sz w:val="22"/>
              <w:szCs w:val="22"/>
            </w:rPr>
            <w:tab/>
          </w:r>
          <w:r>
            <w:rPr>
              <w:rFonts w:hint="eastAsia" w:ascii="黑体" w:hAnsi="黑体" w:eastAsia="黑体" w:cs="黑体"/>
              <w:sz w:val="22"/>
              <w:szCs w:val="22"/>
              <w:lang w:val="en-US" w:eastAsia="zh-CN"/>
            </w:rPr>
            <w:t>5</w:t>
          </w:r>
          <w:r>
            <w:rPr>
              <w:rFonts w:hint="eastAsia" w:ascii="黑体" w:hAnsi="黑体" w:eastAsia="黑体" w:cs="黑体"/>
              <w:sz w:val="22"/>
              <w:szCs w:val="22"/>
            </w:rPr>
            <w:fldChar w:fldCharType="end"/>
          </w:r>
          <w:r>
            <w:rPr>
              <w:rFonts w:hint="eastAsia" w:ascii="黑体" w:hAnsi="黑体" w:eastAsia="黑体" w:cs="黑体"/>
              <w:sz w:val="22"/>
              <w:szCs w:val="22"/>
              <w:lang w:val="en-US" w:eastAsia="zh-CN"/>
            </w:rPr>
            <w:t>68</w:t>
          </w:r>
        </w:p>
        <w:p>
          <w:pPr>
            <w:pageBreakBefore w:val="0"/>
            <w:tabs>
              <w:tab w:val="right" w:leader="dot" w:pos="8306"/>
            </w:tabs>
            <w:topLinePunct w:val="0"/>
            <w:bidi w:val="0"/>
            <w:spacing w:before="0" w:beforeLines="0" w:after="0" w:afterLines="0" w:line="20" w:lineRule="exact"/>
            <w:ind w:left="0" w:leftChars="0" w:right="0" w:rightChars="0" w:firstLine="0" w:firstLineChars="0"/>
            <w:jc w:val="center"/>
            <w:outlineLvl w:val="9"/>
            <w:rPr>
              <w:rFonts w:hint="eastAsia"/>
              <w:lang w:val="en-US" w:eastAsia="zh-CN"/>
            </w:rPr>
          </w:pPr>
          <w:r>
            <w:rPr>
              <w:rFonts w:eastAsia="仿宋_GB2312"/>
              <w:szCs w:val="32"/>
            </w:rPr>
            <w:fldChar w:fldCharType="end"/>
          </w:r>
        </w:p>
      </w:sdtContent>
    </w:sdt>
    <w:p>
      <w:pPr>
        <w:tabs>
          <w:tab w:val="left" w:pos="5363"/>
        </w:tabs>
        <w:bidi w:val="0"/>
        <w:jc w:val="left"/>
        <w:rPr>
          <w:rFonts w:hint="eastAsia"/>
          <w:lang w:val="en-US" w:eastAsia="zh-CN"/>
        </w:rPr>
      </w:pPr>
    </w:p>
    <w:p>
      <w:pPr>
        <w:tabs>
          <w:tab w:val="left" w:pos="5363"/>
        </w:tabs>
        <w:bidi w:val="0"/>
        <w:jc w:val="left"/>
        <w:rPr>
          <w:rFonts w:hint="eastAsia"/>
          <w:lang w:val="en-US" w:eastAsia="zh-CN"/>
        </w:rPr>
      </w:pPr>
    </w:p>
    <w:p>
      <w:pPr>
        <w:pageBreakBefore w:val="0"/>
        <w:topLinePunct w:val="0"/>
        <w:bidi w:val="0"/>
        <w:outlineLvl w:val="9"/>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spacing w:line="420" w:lineRule="exact"/>
        <w:outlineLvl w:val="9"/>
        <w:rPr>
          <w:rFonts w:hint="eastAsia" w:eastAsia="黑体"/>
          <w:color w:val="FF0000"/>
          <w:sz w:val="30"/>
          <w:szCs w:val="30"/>
        </w:rPr>
      </w:pPr>
    </w:p>
    <w:p>
      <w:pPr>
        <w:pageBreakBefore w:val="0"/>
        <w:topLinePunct w:val="0"/>
        <w:bidi w:val="0"/>
        <w:spacing w:line="420" w:lineRule="exact"/>
        <w:outlineLvl w:val="9"/>
        <w:rPr>
          <w:rFonts w:eastAsia="黑体"/>
          <w:color w:val="FF0000"/>
          <w:sz w:val="30"/>
          <w:szCs w:val="30"/>
        </w:rPr>
      </w:pPr>
    </w:p>
    <w:p>
      <w:pPr>
        <w:pageBreakBefore w:val="0"/>
        <w:topLinePunct w:val="0"/>
        <w:bidi w:val="0"/>
        <w:spacing w:before="156" w:beforeLines="50"/>
        <w:jc w:val="center"/>
        <w:outlineLvl w:val="9"/>
        <w:rPr>
          <w:rFonts w:eastAsia="华文仿宋"/>
          <w:color w:val="000000"/>
          <w:sz w:val="32"/>
          <w:szCs w:val="32"/>
        </w:rPr>
      </w:pPr>
      <w:r>
        <w:rPr>
          <w:rFonts w:ascii="华文仿宋" w:hAnsi="华文仿宋" w:eastAsia="华文仿宋"/>
          <w:color w:val="000000"/>
          <w:kern w:val="0"/>
          <w:sz w:val="32"/>
          <w:szCs w:val="28"/>
        </w:rPr>
        <w:t>沪</w:t>
      </w:r>
      <w:r>
        <w:rPr>
          <w:rFonts w:eastAsia="华文仿宋"/>
          <w:color w:val="000000"/>
          <w:kern w:val="0"/>
          <w:sz w:val="32"/>
          <w:szCs w:val="28"/>
        </w:rPr>
        <w:t>电信职院〔2015〕</w:t>
      </w:r>
      <w:r>
        <w:rPr>
          <w:rFonts w:hint="eastAsia" w:eastAsia="华文仿宋"/>
          <w:color w:val="000000"/>
          <w:kern w:val="0"/>
          <w:sz w:val="32"/>
          <w:szCs w:val="28"/>
        </w:rPr>
        <w:t>35</w:t>
      </w:r>
      <w:r>
        <w:rPr>
          <w:rFonts w:eastAsia="华文仿宋"/>
          <w:color w:val="000000"/>
          <w:kern w:val="0"/>
          <w:sz w:val="32"/>
          <w:szCs w:val="28"/>
        </w:rPr>
        <w:t xml:space="preserve">号    </w:t>
      </w:r>
    </w:p>
    <w:p>
      <w:pPr>
        <w:pageBreakBefore w:val="0"/>
        <w:topLinePunct w:val="0"/>
        <w:bidi w:val="0"/>
        <w:spacing w:line="360" w:lineRule="auto"/>
        <w:outlineLvl w:val="9"/>
        <w:rPr>
          <w:rFonts w:eastAsia="仿宋_GB2312"/>
          <w:b/>
          <w:color w:val="FF0000"/>
          <w:kern w:val="0"/>
          <w:sz w:val="36"/>
          <w:szCs w:val="36"/>
        </w:rPr>
      </w:pPr>
      <w:r>
        <w:rPr>
          <w:rFonts w:eastAsia="仿宋_GB2312"/>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bCs/>
          <w:sz w:val="36"/>
          <w:szCs w:val="36"/>
        </w:rPr>
      </w:pPr>
      <w:bookmarkStart w:id="1" w:name="_Toc30705"/>
      <w:r>
        <w:rPr>
          <w:rFonts w:hint="eastAsia" w:ascii="黑体" w:hAnsi="黑体" w:eastAsia="黑体" w:cs="黑体"/>
          <w:b/>
          <w:bCs/>
          <w:sz w:val="36"/>
          <w:szCs w:val="36"/>
        </w:rPr>
        <w:t>上海电子信息职业技术学院关于实行教师坐班答疑制度的意见</w:t>
      </w:r>
      <w:bookmarkEnd w:id="1"/>
    </w:p>
    <w:p>
      <w:pPr>
        <w:pageBreakBefore w:val="0"/>
        <w:topLinePunct w:val="0"/>
        <w:bidi w:val="0"/>
        <w:spacing w:before="312" w:beforeLines="100" w:line="58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58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了进一步规范教学工作，提高教师队伍专业化水平，帮助学生答疑解惑，帮助学生提升自主学习能力，促进学院教学质量的提升，根据上海市教育委员会《关于上海高校教师教育教学岗位职责的指导意见（试行）》的文件精神，现就我院实行教师坐班答疑制度提出如下意见。</w:t>
      </w:r>
    </w:p>
    <w:p>
      <w:pPr>
        <w:pageBreakBefore w:val="0"/>
        <w:topLinePunct w:val="0"/>
        <w:bidi w:val="0"/>
        <w:spacing w:line="58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一、教学答疑属于教学工作的一部分，所有专任教师在完成课堂教学以外均应安排课外教学答疑。</w:t>
      </w:r>
    </w:p>
    <w:p>
      <w:pPr>
        <w:pageBreakBefore w:val="0"/>
        <w:topLinePunct w:val="0"/>
        <w:bidi w:val="0"/>
        <w:spacing w:line="58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二、教学答疑的时间：每周一至周四的16:10—17:30、18:30—19:50（国定节假日除外）。</w:t>
      </w:r>
    </w:p>
    <w:p>
      <w:pPr>
        <w:pageBreakBefore w:val="0"/>
        <w:topLinePunct w:val="0"/>
        <w:bidi w:val="0"/>
        <w:spacing w:line="58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三、教学答疑的频次：每月不少于一次（每天的上述时段为一次，该时段安排有授课任务的，不可作为答疑计数）。</w:t>
      </w:r>
    </w:p>
    <w:p>
      <w:pPr>
        <w:pageBreakBefore w:val="0"/>
        <w:topLinePunct w:val="0"/>
        <w:bidi w:val="0"/>
        <w:spacing w:line="58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四、教学答疑的工作量计算：答疑一次计算工作量2课时，每学期末集中结算一次。</w:t>
      </w:r>
    </w:p>
    <w:p>
      <w:pPr>
        <w:pageBreakBefore w:val="0"/>
        <w:topLinePunct w:val="0"/>
        <w:bidi w:val="0"/>
        <w:spacing w:line="58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五、教学答疑的基本形式：个性化辅导、专题讲解、探究式课程、小组讨论、预约辅导等。</w:t>
      </w:r>
    </w:p>
    <w:p>
      <w:pPr>
        <w:pageBreakBefore w:val="0"/>
        <w:topLinePunct w:val="0"/>
        <w:bidi w:val="0"/>
        <w:spacing w:line="58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六、教学答疑应在固定场所进行，具体答疑地点包括办公室、教室等（固定场所一般应设在奉贤校区）。</w:t>
      </w:r>
    </w:p>
    <w:p>
      <w:pPr>
        <w:pageBreakBefore w:val="0"/>
        <w:topLinePunct w:val="0"/>
        <w:bidi w:val="0"/>
        <w:spacing w:line="58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教师应在每学期排课时将本人下一学期的答疑安排报给所在的教学单位，各教学单位汇总后报学院教务处备案。因参加教学培训、企业见习、国内外访学等原因无法安排坐班答疑的教师，由各教学单位统一报备给教务处。</w:t>
      </w:r>
    </w:p>
    <w:p>
      <w:pPr>
        <w:pageBreakBefore w:val="0"/>
        <w:topLinePunct w:val="0"/>
        <w:bidi w:val="0"/>
        <w:spacing w:line="58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八、各教学单位应于每学期开学两周内将教师坐班答疑的时间安排统一在网上公开发布。发布内容包括坐班答疑的时间和地点，同时还须公开教师的工作电话、工作邮箱、办公室地址，确保学生有问题能够向其咨询。</w:t>
      </w:r>
    </w:p>
    <w:p>
      <w:pPr>
        <w:pageBreakBefore w:val="0"/>
        <w:topLinePunct w:val="0"/>
        <w:bidi w:val="0"/>
        <w:spacing w:line="58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九、教师因特殊情况需要变更答疑安排的，须经所在教学单位批准并报教务处备案，同时应在网上公布相关变更信息，确保学生知晓。</w:t>
      </w:r>
    </w:p>
    <w:p>
      <w:pPr>
        <w:pageBreakBefore w:val="0"/>
        <w:topLinePunct w:val="0"/>
        <w:bidi w:val="0"/>
        <w:spacing w:line="58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十、教师坐班答疑作为教师岗位职责纳入教师考核体系，并与绩效工资、年终考核挂钩。</w:t>
      </w:r>
    </w:p>
    <w:p>
      <w:pPr>
        <w:pageBreakBefore w:val="0"/>
        <w:topLinePunct w:val="0"/>
        <w:bidi w:val="0"/>
        <w:spacing w:line="58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十一、各教学单位应根据本单位的实际情况建立教师坐班答疑制度，并督促和协调教师做好坐班答疑工作，自主安排好坐班答疑场所。</w:t>
      </w:r>
    </w:p>
    <w:p>
      <w:pPr>
        <w:pageBreakBefore w:val="0"/>
        <w:topLinePunct w:val="0"/>
        <w:bidi w:val="0"/>
        <w:spacing w:line="58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十二、学院组织督导小组定期或不定期检查各教学单位对教师坐班答疑制度的执行情况，反馈给相关职能部门，作为年终考核的依据。</w:t>
      </w:r>
    </w:p>
    <w:p>
      <w:pPr>
        <w:pageBreakBefore w:val="0"/>
        <w:topLinePunct w:val="0"/>
        <w:bidi w:val="0"/>
        <w:spacing w:line="58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十三、其他未尽事宜，另行通知。</w:t>
      </w:r>
    </w:p>
    <w:p>
      <w:pPr>
        <w:pageBreakBefore w:val="0"/>
        <w:topLinePunct w:val="0"/>
        <w:bidi w:val="0"/>
        <w:spacing w:line="580" w:lineRule="exact"/>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上海电子信息职业技术学院</w:t>
      </w:r>
    </w:p>
    <w:p>
      <w:pPr>
        <w:pageBreakBefore w:val="0"/>
        <w:topLinePunct w:val="0"/>
        <w:bidi w:val="0"/>
        <w:spacing w:line="580" w:lineRule="exact"/>
        <w:jc w:val="right"/>
        <w:outlineLvl w:val="9"/>
        <w:rPr>
          <w:rFonts w:hint="eastAsia" w:eastAsia="仿宋_GB2312"/>
          <w:color w:val="000000"/>
          <w:kern w:val="0"/>
          <w:sz w:val="32"/>
          <w:szCs w:val="28"/>
        </w:rPr>
      </w:pPr>
      <w:r>
        <w:rPr>
          <w:rFonts w:hint="eastAsia" w:ascii="仿宋_GB2312" w:hAnsi="仿宋_GB2312" w:eastAsia="仿宋_GB2312" w:cs="仿宋_GB2312"/>
          <w:kern w:val="2"/>
          <w:sz w:val="28"/>
          <w:szCs w:val="28"/>
          <w:highlight w:val="none"/>
          <w:lang w:val="en-US" w:eastAsia="zh-CN" w:bidi="ar-SA"/>
        </w:rPr>
        <w:t>　　　　　　　　　　　　  2015年6月10 日</w:t>
      </w:r>
    </w:p>
    <w:p>
      <w:pPr>
        <w:pageBreakBefore w:val="0"/>
        <w:topLinePunct w:val="0"/>
        <w:bidi w:val="0"/>
        <w:spacing w:line="520" w:lineRule="exact"/>
        <w:ind w:firstLine="640" w:firstLineChars="200"/>
        <w:outlineLvl w:val="9"/>
        <w:rPr>
          <w:rFonts w:hint="eastAsia" w:eastAsia="仿宋_GB2312"/>
          <w:color w:val="000000"/>
          <w:kern w:val="0"/>
          <w:sz w:val="32"/>
          <w:szCs w:val="28"/>
        </w:rPr>
      </w:pPr>
    </w:p>
    <w:p>
      <w:pPr>
        <w:pageBreakBefore w:val="0"/>
        <w:topLinePunct w:val="0"/>
        <w:bidi w:val="0"/>
        <w:jc w:val="both"/>
        <w:outlineLvl w:val="9"/>
        <w:rPr>
          <w:rFonts w:ascii="黑体" w:hAnsi="黑体" w:eastAsia="黑体"/>
          <w:color w:val="FF0000"/>
          <w:kern w:val="0"/>
          <w:sz w:val="72"/>
          <w:szCs w:val="72"/>
        </w:rPr>
      </w:pPr>
      <w:bookmarkStart w:id="2" w:name="_Toc295991839"/>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spacing w:line="420" w:lineRule="exact"/>
        <w:outlineLvl w:val="9"/>
        <w:rPr>
          <w:rFonts w:eastAsia="黑体"/>
          <w:color w:val="FF0000"/>
          <w:sz w:val="30"/>
          <w:szCs w:val="30"/>
        </w:rPr>
      </w:pPr>
    </w:p>
    <w:p>
      <w:pPr>
        <w:pageBreakBefore w:val="0"/>
        <w:topLinePunct w:val="0"/>
        <w:bidi w:val="0"/>
        <w:spacing w:line="420" w:lineRule="exact"/>
        <w:outlineLvl w:val="9"/>
        <w:rPr>
          <w:rFonts w:eastAsia="黑体"/>
          <w:color w:val="FF0000"/>
          <w:sz w:val="30"/>
          <w:szCs w:val="30"/>
        </w:rPr>
      </w:pPr>
    </w:p>
    <w:p>
      <w:pPr>
        <w:pageBreakBefore w:val="0"/>
        <w:topLinePunct w:val="0"/>
        <w:bidi w:val="0"/>
        <w:spacing w:before="156" w:beforeLines="50"/>
        <w:jc w:val="center"/>
        <w:outlineLvl w:val="9"/>
        <w:rPr>
          <w:rFonts w:ascii="仿宋" w:hAnsi="仿宋" w:eastAsia="仿宋"/>
          <w:color w:val="000000"/>
          <w:sz w:val="32"/>
          <w:szCs w:val="32"/>
        </w:rPr>
      </w:pPr>
      <w:r>
        <w:rPr>
          <w:rFonts w:ascii="仿宋" w:hAnsi="仿宋" w:eastAsia="仿宋"/>
          <w:color w:val="000000"/>
          <w:kern w:val="0"/>
          <w:sz w:val="32"/>
          <w:szCs w:val="28"/>
        </w:rPr>
        <w:t>沪电信职院〔201</w:t>
      </w:r>
      <w:r>
        <w:rPr>
          <w:rFonts w:hint="eastAsia" w:ascii="仿宋" w:hAnsi="仿宋" w:eastAsia="仿宋"/>
          <w:color w:val="000000"/>
          <w:kern w:val="0"/>
          <w:sz w:val="32"/>
          <w:szCs w:val="28"/>
        </w:rPr>
        <w:t>5</w:t>
      </w:r>
      <w:r>
        <w:rPr>
          <w:rFonts w:ascii="仿宋" w:hAnsi="仿宋" w:eastAsia="仿宋"/>
          <w:color w:val="000000"/>
          <w:kern w:val="0"/>
          <w:sz w:val="32"/>
          <w:szCs w:val="28"/>
        </w:rPr>
        <w:t>〕</w:t>
      </w:r>
      <w:r>
        <w:rPr>
          <w:rFonts w:hint="eastAsia" w:ascii="仿宋" w:hAnsi="仿宋" w:eastAsia="仿宋"/>
          <w:color w:val="000000"/>
          <w:kern w:val="0"/>
          <w:sz w:val="32"/>
          <w:szCs w:val="28"/>
        </w:rPr>
        <w:t>50</w:t>
      </w:r>
      <w:r>
        <w:rPr>
          <w:rFonts w:ascii="仿宋" w:hAnsi="仿宋" w:eastAsia="仿宋"/>
          <w:color w:val="000000"/>
          <w:kern w:val="0"/>
          <w:sz w:val="32"/>
          <w:szCs w:val="28"/>
        </w:rPr>
        <w:t xml:space="preserve">号    </w:t>
      </w:r>
    </w:p>
    <w:p>
      <w:pPr>
        <w:pageBreakBefore w:val="0"/>
        <w:topLinePunct w:val="0"/>
        <w:bidi w:val="0"/>
        <w:outlineLvl w:val="9"/>
        <w:rPr>
          <w:rFonts w:ascii="华文中宋" w:hAnsi="华文中宋" w:eastAsia="华文中宋"/>
          <w:b/>
          <w:sz w:val="36"/>
          <w:szCs w:val="36"/>
        </w:rPr>
      </w:pPr>
      <w:r>
        <w:rPr>
          <w:rFonts w:eastAsia="仿宋_GB2312"/>
          <w:color w:val="FF0000"/>
          <w:sz w:val="28"/>
          <w:szCs w:val="28"/>
          <w:u w:val="thick"/>
        </w:rPr>
        <w:t xml:space="preserve">              </w:t>
      </w:r>
      <w:r>
        <w:rPr>
          <w:rFonts w:ascii="黑体" w:hAnsi="黑体" w:eastAsia="黑体"/>
          <w:color w:val="FF0000"/>
          <w:sz w:val="36"/>
          <w:szCs w:val="36"/>
          <w:u w:val="thick"/>
        </w:rPr>
        <w:t xml:space="preserve">                                      </w:t>
      </w:r>
    </w:p>
    <w:p>
      <w:pPr>
        <w:pageBreakBefore w:val="0"/>
        <w:widowControl/>
        <w:topLinePunct w:val="0"/>
        <w:bidi w:val="0"/>
        <w:adjustRightInd w:val="0"/>
        <w:snapToGrid w:val="0"/>
        <w:outlineLvl w:val="9"/>
        <w:rPr>
          <w:rFonts w:ascii="黑体" w:hAnsi="黑体" w:eastAsia="黑体"/>
          <w:sz w:val="36"/>
          <w:szCs w:val="36"/>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bCs/>
          <w:sz w:val="36"/>
          <w:szCs w:val="36"/>
        </w:rPr>
      </w:pPr>
      <w:bookmarkStart w:id="3" w:name="_Toc22223"/>
      <w:r>
        <w:rPr>
          <w:rFonts w:hint="eastAsia" w:ascii="黑体" w:hAnsi="黑体" w:eastAsia="黑体" w:cs="黑体"/>
          <w:b/>
          <w:bCs/>
          <w:sz w:val="36"/>
          <w:szCs w:val="36"/>
        </w:rPr>
        <w:t>关于印发《上海电子信息职业技术学院教材采购管理办法（修订）》的通知</w:t>
      </w:r>
      <w:bookmarkEnd w:id="3"/>
    </w:p>
    <w:p>
      <w:pPr>
        <w:pageBreakBefore w:val="0"/>
        <w:widowControl/>
        <w:topLinePunct w:val="0"/>
        <w:bidi w:val="0"/>
        <w:adjustRightInd w:val="0"/>
        <w:snapToGrid w:val="0"/>
        <w:spacing w:line="560" w:lineRule="exact"/>
        <w:jc w:val="center"/>
        <w:outlineLvl w:val="9"/>
        <w:rPr>
          <w:rFonts w:ascii="华文中宋" w:hAnsi="华文中宋" w:eastAsia="华文中宋"/>
          <w:b/>
          <w:sz w:val="36"/>
          <w:szCs w:val="36"/>
        </w:rPr>
      </w:pP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各教学单位、职能部门： </w:t>
      </w:r>
    </w:p>
    <w:p>
      <w:pPr>
        <w:keepNext w:val="0"/>
        <w:keepLines w:val="0"/>
        <w:pageBreakBefore w:val="0"/>
        <w:widowControl/>
        <w:kinsoku/>
        <w:wordWrap/>
        <w:overflowPunct/>
        <w:topLinePunct w:val="0"/>
        <w:autoSpaceDE/>
        <w:autoSpaceDN/>
        <w:bidi w:val="0"/>
        <w:adjustRightInd/>
        <w:snapToGrid/>
        <w:spacing w:after="312" w:afterLines="100" w:line="52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现将《上海电子信息职业技术学院教材采购管理办法（修订）》印发给你们，请结合本部门工作实际，认真研究执行。</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附件：上海电子信息职业技术学院教材采购管理办法（修订）           </w:t>
      </w:r>
    </w:p>
    <w:p>
      <w:pPr>
        <w:pageBreakBefore w:val="0"/>
        <w:topLinePunct w:val="0"/>
        <w:bidi w:val="0"/>
        <w:spacing w:line="560" w:lineRule="exact"/>
        <w:ind w:firstLine="3080" w:firstLineChars="11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firstLine="3080" w:firstLineChars="11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r>
        <w:rPr>
          <w:rFonts w:hint="eastAsia" w:ascii="仿宋_GB2312" w:hAnsi="仿宋_GB2312" w:eastAsia="仿宋_GB2312" w:cs="仿宋_GB2312"/>
          <w:kern w:val="2"/>
          <w:sz w:val="28"/>
          <w:szCs w:val="28"/>
          <w:highlight w:val="none"/>
          <w:lang w:val="en-US" w:eastAsia="zh-CN" w:bidi="ar-SA"/>
        </w:rPr>
        <w:br w:type="textWrapping"/>
      </w:r>
      <w:r>
        <w:rPr>
          <w:rFonts w:hint="eastAsia" w:ascii="仿宋_GB2312" w:hAnsi="仿宋_GB2312" w:eastAsia="仿宋_GB2312" w:cs="仿宋_GB2312"/>
          <w:kern w:val="2"/>
          <w:sz w:val="28"/>
          <w:szCs w:val="28"/>
          <w:highlight w:val="none"/>
          <w:lang w:val="en-US" w:eastAsia="zh-CN" w:bidi="ar-SA"/>
        </w:rPr>
        <w:t xml:space="preserve">                          2015年9月10日</w:t>
      </w:r>
    </w:p>
    <w:p>
      <w:pPr>
        <w:pageBreakBefore w:val="0"/>
        <w:widowControl/>
        <w:topLinePunct w:val="0"/>
        <w:bidi w:val="0"/>
        <w:spacing w:line="520" w:lineRule="exact"/>
        <w:jc w:val="center"/>
        <w:outlineLvl w:val="9"/>
        <w:rPr>
          <w:rFonts w:hint="eastAsia" w:ascii="方正舒体" w:hAnsi="Arial" w:eastAsia="方正舒体" w:cs="Arial"/>
          <w:b/>
          <w:bCs/>
          <w:color w:val="000000"/>
          <w:kern w:val="0"/>
          <w:sz w:val="32"/>
          <w:szCs w:val="32"/>
        </w:rPr>
      </w:pPr>
    </w:p>
    <w:bookmarkEnd w:id="2"/>
    <w:p>
      <w:pPr>
        <w:pageBreakBefore w:val="0"/>
        <w:topLinePunct w:val="0"/>
        <w:bidi w:val="0"/>
        <w:spacing w:line="360" w:lineRule="auto"/>
        <w:jc w:val="both"/>
        <w:outlineLvl w:val="9"/>
        <w:rPr>
          <w:rFonts w:hint="eastAsia" w:ascii="黑体" w:hAnsi="黑体" w:eastAsia="黑体" w:cs="黑体"/>
          <w:b/>
          <w:bCs/>
          <w:sz w:val="36"/>
          <w:szCs w:val="36"/>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黑体" w:hAnsi="黑体" w:eastAsia="黑体" w:cs="黑体"/>
          <w:b/>
          <w:bCs/>
          <w:sz w:val="36"/>
          <w:szCs w:val="36"/>
        </w:rPr>
        <w:t>教材采购管理办法（修订）</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教材采购是学校教学管理工作的重要组成部分。为进一步加强教材采购管理，提高教材采购质量，根据上海市教委《关于加强上海高校教材和图书资料采购管理工作的若干意见》（</w:t>
      </w:r>
      <w:r>
        <w:rPr>
          <w:rFonts w:hint="eastAsia" w:ascii="仿宋_GB2312" w:hAnsi="仿宋_GB2312" w:eastAsia="仿宋_GB2312" w:cs="仿宋_GB2312"/>
          <w:color w:val="auto"/>
          <w:kern w:val="2"/>
          <w:sz w:val="24"/>
          <w:szCs w:val="24"/>
          <w:highlight w:val="none"/>
          <w:lang w:val="zh-CN" w:eastAsia="zh-CN" w:bidi="ar-SA"/>
        </w:rPr>
        <w:t>沪教委高[2008]18号）文件精神</w:t>
      </w:r>
      <w:r>
        <w:rPr>
          <w:rFonts w:hint="eastAsia" w:ascii="仿宋_GB2312" w:hAnsi="仿宋_GB2312" w:eastAsia="仿宋_GB2312" w:cs="仿宋_GB2312"/>
          <w:color w:val="auto"/>
          <w:kern w:val="2"/>
          <w:sz w:val="24"/>
          <w:szCs w:val="24"/>
          <w:highlight w:val="none"/>
          <w:lang w:val="en-US" w:eastAsia="zh-CN" w:bidi="ar-SA"/>
        </w:rPr>
        <w:t>，经学院研究决定，采用公开招标方式选定教材供应商。为规范教材采购管理流程，特制定教材采购管理办法。</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一、总则</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（一）教材采购采用公开招标形式，坚持公开、公正、公平、诚实信用和竞争择优的原则，严格按照《招标法》规定和程序进行。</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（二）教材采购工作程序积极引入市场竞争机制。一般情况下至少应引入两家以上供应商参与竞争。要从维护学校、学生利益出发，本着“诚实、信用、平等互利、协商一致”的原则处理各种商务关系。</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二、教材采购投标工作程序</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（一）教务处发布教材招标公告，吸引优秀的供应商单位参加竞标。</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（二）对投标单位背景进行审查，对有不满足以下条件的投标方不能进入评标程序：</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投方须在上海市注册，具有独立法人资格和独立批发权并具有相应的经营规模，注册资金不低于150万元，成立时间不低于两年，并具备下列条件：</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1．投标人必须具有一般纳税人的企业资格；须能直接从出版社购进，无中间环节；遵纪守法，不经营盗版教材、劣质教材；</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具有从事大中专教材经营权及相关教材代理权（国家有规定的按照国家规定）或中华人民共和国二级以上出版物发行书刊批发许可证；同时具备两家以上（含两家）国家一级出版社（高等教育出版社、人民教育出版社、电子工业出版社、机械工业出版社、人民邮电出版社等）的上海A级代理资格或发行网点资格；</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3．具有一定的储运规模，库房面积应不少于500平方米（出示库房合同或产权证）；</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4．有至少两年以上为高校学生提供教材采购服务的良好业绩，在近两年内无违纪违法经营记录（因行贿、盗版等行为被公共媒体曝光或被行业主管部门处罚等）；无偷漏税等不良记录且具有良好服务信誉；</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5．能提供符合财务制度要求的售书发票（增值税普通发票）；</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6．能提供营业执照、组织机构代码证、图书经营许可证（或二级批发零售经营许可证）、出版物发行许可证、税务登记证、库房租赁合同或产权证、法人代表和委托代理人（委托代理时）身份证等资质证明、代理商具有的出版社授权证明或委托书，近两年与各大专院校的合作情况证明。</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（三）教务处组织评标会（评标会成员由教务处、纪律检查委员会、财务处与系部代表组成）进行评标，评标原则如下：</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1．以满足教学需要为前提；</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2．商务标和技术标结合，贯彻“合理低价中标”原则；</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3．评标委员会按照“少数服从多数”的原则形成小组决议，小组投票的票数多少决定哪些单位成为中标单位；</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（四）评标委员会选定中标单位后，根据学院的实际情况，以中标价与中标单位签订《教材购销合同》，教务处、中标单位与院办各留一份。</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（五）中标单位需严格按照合同履行其服务承诺及要求，对违反合同者，除按合同规定追究经济和法律责任外，取消下次投标资格。</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（六）确定中标单位后，双方签订教材购销合同，合同一经签订，双方将按照合同要求履行合同。</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（七）高职学生：进入教材征订、数据录入平台、学生线上征订、发放等流程；</w:t>
      </w:r>
    </w:p>
    <w:p>
      <w:pPr>
        <w:pStyle w:val="51"/>
        <w:pageBreakBefore w:val="0"/>
        <w:topLinePunct w:val="0"/>
        <w:bidi w:val="0"/>
        <w:spacing w:line="400" w:lineRule="exact"/>
        <w:ind w:firstLine="1200" w:firstLineChars="50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中职学生：仍按原流程进行，即进入教材征订、入库、发放与费用结算流程。</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三、纪律和监督</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（一）纪律要求</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1．教材采购必须遵守“集体研究、民主决策”的工作制度，禁止暗箱操作，严禁个人决断，坚决杜绝商业贿赂。教材和图书的招投标和财务情况应在校内公开；</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参与采购的工作人员不得接受供应商任何形式的回扣、馈赠及影响公正执行公务的宴请，不得与供应商串通以获取好处或损害学校利益，不得在供应商处报销应由个人支付的费用，不得借用个人权威发表有可能影响采购公正的意见；</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3．供应商的一切让利性承诺均须反映在订立的合同之中；</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4．教材采购工作人员中，凡与供应商有亲友关系或有关其他个人切身利益关系的，应主动回避，不得参与采购或评标活动；未主动回避的，其他工作人员可以提出回避申请；</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5．供应商和其他利害关系人认为采购活动不符合本办法有关规定的，有权向学校有关监督部门投诉。</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（二）下列现象属于采购违规行为</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1．违反集体采购原则的；</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2．违反采购工作程序，规避监督检查的；</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3．未按规定形成采购工作文书或归档备案的；</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4．向投标人透漏其它潜在供应商有关情况的；</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5．接受供应商好处，谋取个人或小团体利益的；</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6．违反本规范有关条目的其它行为。</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（三）教材采购工作人员在采购过程中有违纪违规行为的，学校依据有关规定给予党纪政纪处分。情节严重构成犯罪的，移送司法机关依法追究刑事责任。</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四、 附则</w:t>
      </w:r>
    </w:p>
    <w:p>
      <w:pPr>
        <w:pStyle w:val="51"/>
        <w:pageBreakBefore w:val="0"/>
        <w:topLinePunct w:val="0"/>
        <w:bidi w:val="0"/>
        <w:spacing w:line="400" w:lineRule="exact"/>
        <w:ind w:firstLine="420"/>
        <w:jc w:val="both"/>
        <w:outlineLvl w:val="9"/>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kern w:val="2"/>
          <w:sz w:val="24"/>
          <w:szCs w:val="24"/>
          <w:highlight w:val="none"/>
          <w:lang w:val="en-US" w:eastAsia="zh-CN" w:bidi="ar-SA"/>
        </w:rPr>
        <w:t>本办法自通过之日起在电子信息学院系统内实行，解释权归属教务处。</w:t>
      </w:r>
    </w:p>
    <w:p>
      <w:pPr>
        <w:pageBreakBefore w:val="0"/>
        <w:topLinePunct w:val="0"/>
        <w:bidi w:val="0"/>
        <w:outlineLvl w:val="9"/>
        <w:rPr>
          <w:rFonts w:ascii="宋体" w:hAnsi="宋体"/>
          <w:b/>
          <w:szCs w:val="21"/>
        </w:rPr>
      </w:pPr>
    </w:p>
    <w:p>
      <w:pPr>
        <w:pageBreakBefore w:val="0"/>
        <w:topLinePunct w:val="0"/>
        <w:bidi w:val="0"/>
        <w:outlineLvl w:val="9"/>
        <w:rPr>
          <w:rFonts w:hint="eastAsia" w:ascii="宋体" w:hAnsi="宋体"/>
          <w:b/>
          <w:szCs w:val="21"/>
        </w:rPr>
      </w:pPr>
    </w:p>
    <w:p>
      <w:pPr>
        <w:pageBreakBefore w:val="0"/>
        <w:topLinePunct w:val="0"/>
        <w:bidi w:val="0"/>
        <w:outlineLvl w:val="9"/>
        <w:rPr>
          <w:rFonts w:hint="eastAsia" w:ascii="宋体" w:hAnsi="宋体"/>
          <w:b/>
          <w:szCs w:val="21"/>
        </w:rPr>
      </w:pPr>
    </w:p>
    <w:p>
      <w:pPr>
        <w:pageBreakBefore w:val="0"/>
        <w:topLinePunct w:val="0"/>
        <w:bidi w:val="0"/>
        <w:outlineLvl w:val="9"/>
        <w:rPr>
          <w:rFonts w:hint="eastAsia" w:ascii="宋体" w:hAnsi="宋体"/>
          <w:b/>
          <w:szCs w:val="21"/>
        </w:rPr>
      </w:pPr>
    </w:p>
    <w:p>
      <w:pPr>
        <w:pageBreakBefore w:val="0"/>
        <w:topLinePunct w:val="0"/>
        <w:bidi w:val="0"/>
        <w:outlineLvl w:val="9"/>
        <w:rPr>
          <w:rFonts w:hint="eastAsia" w:ascii="宋体" w:hAnsi="宋体"/>
          <w:b/>
          <w:szCs w:val="21"/>
        </w:rPr>
      </w:pPr>
    </w:p>
    <w:p>
      <w:pPr>
        <w:pageBreakBefore w:val="0"/>
        <w:topLinePunct w:val="0"/>
        <w:bidi w:val="0"/>
        <w:outlineLvl w:val="9"/>
        <w:rPr>
          <w:rFonts w:hint="eastAsia" w:ascii="宋体" w:hAnsi="宋体"/>
          <w:b/>
          <w:szCs w:val="21"/>
        </w:rPr>
      </w:pPr>
    </w:p>
    <w:p>
      <w:pPr>
        <w:pageBreakBefore w:val="0"/>
        <w:topLinePunct w:val="0"/>
        <w:bidi w:val="0"/>
        <w:outlineLvl w:val="9"/>
        <w:rPr>
          <w:rFonts w:hint="eastAsia" w:ascii="宋体" w:hAnsi="宋体"/>
          <w:b/>
          <w:szCs w:val="21"/>
        </w:rPr>
      </w:pPr>
    </w:p>
    <w:p>
      <w:pPr>
        <w:pageBreakBefore w:val="0"/>
        <w:topLinePunct w:val="0"/>
        <w:bidi w:val="0"/>
        <w:outlineLvl w:val="9"/>
        <w:rPr>
          <w:rFonts w:hint="eastAsia" w:ascii="宋体" w:hAnsi="宋体"/>
          <w:b/>
          <w:szCs w:val="21"/>
        </w:rPr>
      </w:pPr>
    </w:p>
    <w:p>
      <w:pPr>
        <w:pageBreakBefore w:val="0"/>
        <w:topLinePunct w:val="0"/>
        <w:bidi w:val="0"/>
        <w:outlineLvl w:val="9"/>
        <w:rPr>
          <w:rFonts w:hint="eastAsia" w:ascii="宋体" w:hAnsi="宋体"/>
          <w:b/>
          <w:szCs w:val="21"/>
        </w:rPr>
      </w:pPr>
    </w:p>
    <w:p>
      <w:pPr>
        <w:pageBreakBefore w:val="0"/>
        <w:topLinePunct w:val="0"/>
        <w:bidi w:val="0"/>
        <w:outlineLvl w:val="9"/>
        <w:rPr>
          <w:rFonts w:hint="eastAsia" w:ascii="宋体" w:hAnsi="宋体"/>
          <w:b/>
          <w:szCs w:val="21"/>
        </w:rPr>
      </w:pPr>
    </w:p>
    <w:p>
      <w:pPr>
        <w:pageBreakBefore w:val="0"/>
        <w:topLinePunct w:val="0"/>
        <w:bidi w:val="0"/>
        <w:outlineLvl w:val="9"/>
        <w:rPr>
          <w:rFonts w:hint="eastAsia" w:ascii="宋体" w:hAnsi="宋体"/>
          <w:b/>
          <w:szCs w:val="21"/>
        </w:rPr>
      </w:pPr>
    </w:p>
    <w:p>
      <w:pPr>
        <w:pageBreakBefore w:val="0"/>
        <w:topLinePunct w:val="0"/>
        <w:bidi w:val="0"/>
        <w:outlineLvl w:val="9"/>
        <w:rPr>
          <w:rFonts w:ascii="宋体" w:hAnsi="宋体"/>
          <w:b/>
          <w:sz w:val="24"/>
        </w:rPr>
      </w:pPr>
      <w:r>
        <w:rPr>
          <w:rFonts w:hint="eastAsia" w:ascii="宋体" w:hAnsi="宋体"/>
          <w:b/>
          <w:szCs w:val="21"/>
        </w:rPr>
        <w:t>附：教材采购工作流程图</w:t>
      </w:r>
    </w:p>
    <w:p>
      <w:pPr>
        <w:pageBreakBefore w:val="0"/>
        <w:topLinePunct w:val="0"/>
        <w:bidi w:val="0"/>
        <w:jc w:val="center"/>
        <w:outlineLvl w:val="9"/>
        <w:rPr>
          <w:rFonts w:hint="eastAsia" w:ascii="宋体" w:hAnsi="宋体"/>
          <w:b/>
          <w:sz w:val="32"/>
          <w:szCs w:val="32"/>
        </w:rPr>
      </w:pPr>
    </w:p>
    <w:p>
      <w:pPr>
        <w:pageBreakBefore w:val="0"/>
        <w:topLinePunct w:val="0"/>
        <w:bidi w:val="0"/>
        <w:jc w:val="center"/>
        <w:outlineLvl w:val="9"/>
        <w:rPr>
          <w:rFonts w:ascii="宋体" w:hAnsi="宋体"/>
          <w:b/>
          <w:sz w:val="24"/>
        </w:rPr>
      </w:pPr>
      <w:r>
        <w:rPr>
          <w:rFonts w:hint="eastAsia" w:ascii="宋体" w:hAnsi="宋体"/>
          <w:b/>
          <w:sz w:val="32"/>
          <w:szCs w:val="32"/>
        </w:rPr>
        <w:t>教材采购流程图</w:t>
      </w:r>
    </w:p>
    <w:p>
      <w:pPr>
        <w:pageBreakBefore w:val="0"/>
        <w:topLinePunct w:val="0"/>
        <w:bidi w:val="0"/>
        <w:outlineLvl w:val="9"/>
        <w:rPr>
          <w:rFonts w:ascii="宋体" w:hAnsi="宋体"/>
          <w:b/>
          <w:sz w:val="24"/>
        </w:rPr>
      </w:pPr>
    </w:p>
    <w:p>
      <w:pPr>
        <w:pageBreakBefore w:val="0"/>
        <w:topLinePunct w:val="0"/>
        <w:bidi w:val="0"/>
        <w:outlineLvl w:val="9"/>
        <w:rPr>
          <w:rFonts w:ascii="宋体" w:hAnsi="宋体"/>
          <w:b/>
          <w:sz w:val="24"/>
        </w:rPr>
      </w:pPr>
      <w:r>
        <w:rPr>
          <w:rFonts w:ascii="宋体" w:hAnsi="宋体"/>
          <w:b/>
          <w:sz w:val="24"/>
        </w:rPr>
        <w:pict>
          <v:shape id="自选图形 45" o:spid="_x0000_s1026" o:spt="109" type="#_x0000_t109" style="position:absolute;left:0pt;margin-left:156.7pt;margin-top:5.7pt;height:37.5pt;width:94.9pt;z-index:251675648;mso-width-relative:page;mso-height-relative:page;" coordsize="21600,21600">
            <v:path/>
            <v:fill focussize="0,0"/>
            <v:stroke/>
            <v:imagedata o:title=""/>
            <o:lock v:ext="edit"/>
            <v:textbox>
              <w:txbxContent>
                <w:p>
                  <w:pPr>
                    <w:jc w:val="center"/>
                    <w:rPr>
                      <w:sz w:val="18"/>
                      <w:szCs w:val="18"/>
                    </w:rPr>
                  </w:pPr>
                  <w:r>
                    <w:rPr>
                      <w:rFonts w:hint="eastAsia"/>
                      <w:sz w:val="18"/>
                      <w:szCs w:val="18"/>
                    </w:rPr>
                    <w:t>教务处发布</w:t>
                  </w:r>
                </w:p>
                <w:p>
                  <w:pPr>
                    <w:jc w:val="center"/>
                    <w:rPr>
                      <w:sz w:val="18"/>
                      <w:szCs w:val="18"/>
                    </w:rPr>
                  </w:pPr>
                  <w:r>
                    <w:rPr>
                      <w:rFonts w:hint="eastAsia"/>
                      <w:sz w:val="18"/>
                      <w:szCs w:val="18"/>
                    </w:rPr>
                    <w:t>教材招标公告</w:t>
                  </w:r>
                </w:p>
                <w:p>
                  <w:pPr>
                    <w:jc w:val="center"/>
                    <w:rPr>
                      <w:sz w:val="18"/>
                      <w:szCs w:val="18"/>
                    </w:rPr>
                  </w:pPr>
                  <w:r>
                    <w:rPr>
                      <w:sz w:val="18"/>
                      <w:szCs w:val="18"/>
                    </w:rPr>
                    <w:t>教材征订通知</w:t>
                  </w:r>
                </w:p>
              </w:txbxContent>
            </v:textbox>
          </v:shape>
        </w:pict>
      </w:r>
    </w:p>
    <w:p>
      <w:pPr>
        <w:pageBreakBefore w:val="0"/>
        <w:topLinePunct w:val="0"/>
        <w:bidi w:val="0"/>
        <w:outlineLvl w:val="9"/>
        <w:rPr>
          <w:rFonts w:ascii="宋体" w:hAnsi="宋体"/>
          <w:b/>
          <w:sz w:val="24"/>
        </w:rPr>
      </w:pPr>
    </w:p>
    <w:p>
      <w:pPr>
        <w:pageBreakBefore w:val="0"/>
        <w:topLinePunct w:val="0"/>
        <w:bidi w:val="0"/>
        <w:outlineLvl w:val="9"/>
        <w:rPr>
          <w:rFonts w:ascii="宋体" w:hAnsi="宋体"/>
          <w:b/>
          <w:sz w:val="24"/>
        </w:rPr>
      </w:pPr>
      <w:r>
        <w:rPr>
          <w:rFonts w:ascii="宋体" w:hAnsi="宋体"/>
          <w:b/>
          <w:sz w:val="24"/>
        </w:rPr>
        <w:pict>
          <v:shape id="自选图形 46" o:spid="_x0000_s1027" o:spt="32" type="#_x0000_t32" style="position:absolute;left:0pt;margin-left:203.25pt;margin-top:12pt;height:36.6pt;width:0pt;z-index:251676672;mso-width-relative:page;mso-height-relative:page;" o:connectortype="straight" filled="f" coordsize="21600,21600">
            <v:path arrowok="t"/>
            <v:fill on="f" focussize="0,0"/>
            <v:stroke endarrow="block"/>
            <v:imagedata o:title=""/>
            <o:lock v:ext="edit"/>
          </v:shape>
        </w:pict>
      </w:r>
    </w:p>
    <w:p>
      <w:pPr>
        <w:pageBreakBefore w:val="0"/>
        <w:topLinePunct w:val="0"/>
        <w:bidi w:val="0"/>
        <w:outlineLvl w:val="9"/>
        <w:rPr>
          <w:rFonts w:ascii="宋体" w:hAnsi="宋体"/>
          <w:b/>
          <w:sz w:val="24"/>
        </w:rPr>
      </w:pPr>
    </w:p>
    <w:p>
      <w:pPr>
        <w:pageBreakBefore w:val="0"/>
        <w:topLinePunct w:val="0"/>
        <w:bidi w:val="0"/>
        <w:outlineLvl w:val="9"/>
        <w:rPr>
          <w:rFonts w:ascii="宋体" w:hAnsi="宋体"/>
          <w:b/>
          <w:sz w:val="24"/>
        </w:rPr>
      </w:pPr>
    </w:p>
    <w:p>
      <w:pPr>
        <w:pageBreakBefore w:val="0"/>
        <w:topLinePunct w:val="0"/>
        <w:bidi w:val="0"/>
        <w:outlineLvl w:val="9"/>
        <w:rPr>
          <w:rFonts w:ascii="宋体" w:hAnsi="宋体"/>
          <w:b/>
          <w:sz w:val="24"/>
        </w:rPr>
      </w:pPr>
      <w:r>
        <w:rPr>
          <w:rFonts w:ascii="宋体" w:hAnsi="宋体"/>
          <w:b/>
          <w:sz w:val="24"/>
        </w:rPr>
        <w:pict>
          <v:shape id="自选图形 51" o:spid="_x0000_s1028" o:spt="32" type="#_x0000_t32" style="position:absolute;left:0pt;margin-left:204.75pt;margin-top:1.8pt;height:58.95pt;width:0.75pt;z-index:251669504;mso-width-relative:page;mso-height-relative:page;" o:connectortype="straight" filled="f" coordsize="21600,21600">
            <v:path arrowok="t"/>
            <v:fill on="f" focussize="0,0"/>
            <v:stroke endarrow="block"/>
            <v:imagedata o:title=""/>
            <o:lock v:ext="edit"/>
          </v:shape>
        </w:pict>
      </w:r>
      <w:r>
        <w:rPr>
          <w:rFonts w:ascii="宋体" w:hAnsi="宋体"/>
          <w:b/>
          <w:sz w:val="24"/>
        </w:rPr>
        <w:pict>
          <v:shape id="自选图形 54" o:spid="_x0000_s1029" o:spt="109" type="#_x0000_t109" style="position:absolute;left:0pt;margin-left:156.7pt;margin-top:1.8pt;height:22.5pt;width:93.4pt;z-index:251670528;mso-width-relative:page;mso-height-relative:page;" coordsize="21600,21600">
            <v:path/>
            <v:fill focussize="0,0"/>
            <v:stroke/>
            <v:imagedata o:title=""/>
            <o:lock v:ext="edit"/>
            <v:textbox>
              <w:txbxContent>
                <w:p>
                  <w:pPr>
                    <w:jc w:val="center"/>
                    <w:rPr>
                      <w:sz w:val="18"/>
                      <w:szCs w:val="18"/>
                    </w:rPr>
                  </w:pPr>
                  <w:r>
                    <w:rPr>
                      <w:rFonts w:hint="eastAsia"/>
                      <w:sz w:val="18"/>
                      <w:szCs w:val="18"/>
                    </w:rPr>
                    <w:t>接收供应商投标书</w:t>
                  </w:r>
                </w:p>
              </w:txbxContent>
            </v:textbox>
          </v:shape>
        </w:pict>
      </w:r>
    </w:p>
    <w:p>
      <w:pPr>
        <w:pageBreakBefore w:val="0"/>
        <w:topLinePunct w:val="0"/>
        <w:bidi w:val="0"/>
        <w:outlineLvl w:val="9"/>
        <w:rPr>
          <w:rFonts w:ascii="宋体" w:hAnsi="宋体"/>
          <w:b/>
          <w:sz w:val="24"/>
        </w:rPr>
      </w:pPr>
    </w:p>
    <w:p>
      <w:pPr>
        <w:pageBreakBefore w:val="0"/>
        <w:topLinePunct w:val="0"/>
        <w:bidi w:val="0"/>
        <w:outlineLvl w:val="9"/>
        <w:rPr>
          <w:rFonts w:ascii="宋体" w:hAnsi="宋体"/>
          <w:b/>
          <w:sz w:val="24"/>
        </w:rPr>
      </w:pPr>
    </w:p>
    <w:p>
      <w:pPr>
        <w:pageBreakBefore w:val="0"/>
        <w:topLinePunct w:val="0"/>
        <w:bidi w:val="0"/>
        <w:outlineLvl w:val="9"/>
        <w:rPr>
          <w:rFonts w:ascii="宋体" w:hAnsi="宋体"/>
          <w:b/>
          <w:sz w:val="24"/>
        </w:rPr>
      </w:pPr>
    </w:p>
    <w:p>
      <w:pPr>
        <w:pageBreakBefore w:val="0"/>
        <w:topLinePunct w:val="0"/>
        <w:bidi w:val="0"/>
        <w:outlineLvl w:val="9"/>
        <w:rPr>
          <w:rFonts w:ascii="宋体" w:hAnsi="宋体"/>
          <w:b/>
          <w:sz w:val="24"/>
        </w:rPr>
      </w:pPr>
      <w:r>
        <w:rPr>
          <w:rFonts w:ascii="宋体" w:hAnsi="宋体"/>
          <w:b/>
          <w:sz w:val="24"/>
        </w:rPr>
        <w:pict>
          <v:shape id="自选图形 71" o:spid="_x0000_s1030" o:spt="109" type="#_x0000_t109" style="position:absolute;left:0pt;margin-left:156.7pt;margin-top:1.35pt;height:24.75pt;width:104.65pt;z-index:251680768;mso-width-relative:page;mso-height-relative:page;" coordsize="21600,21600">
            <v:path/>
            <v:fill focussize="0,0"/>
            <v:stroke/>
            <v:imagedata o:title=""/>
            <o:lock v:ext="edit"/>
            <v:textbox>
              <w:txbxContent>
                <w:p>
                  <w:pPr>
                    <w:jc w:val="center"/>
                    <w:rPr>
                      <w:sz w:val="18"/>
                      <w:szCs w:val="18"/>
                    </w:rPr>
                  </w:pPr>
                  <w:r>
                    <w:rPr>
                      <w:rFonts w:hint="eastAsia"/>
                      <w:sz w:val="18"/>
                      <w:szCs w:val="18"/>
                    </w:rPr>
                    <w:t>组织评标</w:t>
                  </w:r>
                </w:p>
              </w:txbxContent>
            </v:textbox>
          </v:shape>
        </w:pict>
      </w:r>
    </w:p>
    <w:p>
      <w:pPr>
        <w:pageBreakBefore w:val="0"/>
        <w:topLinePunct w:val="0"/>
        <w:bidi w:val="0"/>
        <w:outlineLvl w:val="9"/>
        <w:rPr>
          <w:rFonts w:ascii="宋体" w:hAnsi="宋体"/>
          <w:b/>
          <w:sz w:val="24"/>
        </w:rPr>
      </w:pPr>
      <w:r>
        <w:rPr>
          <w:rFonts w:ascii="宋体" w:hAnsi="宋体"/>
          <w:b/>
          <w:sz w:val="24"/>
        </w:rPr>
        <w:pict>
          <v:shape id="自选图形 86" o:spid="_x0000_s1031" o:spt="32" type="#_x0000_t32" style="position:absolute;left:0pt;margin-left:204.75pt;margin-top:10.5pt;height:48.3pt;width:0pt;z-index:251674624;mso-width-relative:page;mso-height-relative:page;" o:connectortype="straight" filled="f" coordsize="21600,21600">
            <v:path arrowok="t"/>
            <v:fill on="f" focussize="0,0"/>
            <v:stroke endarrow="block"/>
            <v:imagedata o:title=""/>
            <o:lock v:ext="edit"/>
          </v:shape>
        </w:pict>
      </w:r>
    </w:p>
    <w:p>
      <w:pPr>
        <w:pageBreakBefore w:val="0"/>
        <w:topLinePunct w:val="0"/>
        <w:bidi w:val="0"/>
        <w:outlineLvl w:val="9"/>
        <w:rPr>
          <w:rFonts w:ascii="宋体" w:hAnsi="宋体"/>
          <w:b/>
          <w:sz w:val="24"/>
        </w:rPr>
      </w:pPr>
    </w:p>
    <w:p>
      <w:pPr>
        <w:pageBreakBefore w:val="0"/>
        <w:topLinePunct w:val="0"/>
        <w:bidi w:val="0"/>
        <w:outlineLvl w:val="9"/>
        <w:rPr>
          <w:rFonts w:ascii="宋体" w:hAnsi="宋体"/>
          <w:b/>
          <w:sz w:val="24"/>
        </w:rPr>
      </w:pPr>
    </w:p>
    <w:p>
      <w:pPr>
        <w:pageBreakBefore w:val="0"/>
        <w:topLinePunct w:val="0"/>
        <w:bidi w:val="0"/>
        <w:outlineLvl w:val="9"/>
        <w:rPr>
          <w:rFonts w:ascii="宋体" w:hAnsi="宋体"/>
          <w:b/>
          <w:sz w:val="24"/>
        </w:rPr>
      </w:pPr>
      <w:r>
        <w:rPr>
          <w:rFonts w:ascii="宋体" w:hAnsi="宋体"/>
          <w:b/>
          <w:sz w:val="24"/>
        </w:rPr>
        <w:pict>
          <v:shape id="自选图形 72" o:spid="_x0000_s1032" o:spt="109" type="#_x0000_t109" style="position:absolute;left:0pt;margin-left:152.6pt;margin-top:12pt;height:24.15pt;width:108.75pt;z-index:251677696;mso-width-relative:page;mso-height-relative:page;" coordsize="21600,21600">
            <v:path/>
            <v:fill focussize="0,0"/>
            <v:stroke/>
            <v:imagedata o:title=""/>
            <o:lock v:ext="edit"/>
            <v:textbox>
              <w:txbxContent>
                <w:p>
                  <w:pPr>
                    <w:jc w:val="center"/>
                    <w:rPr>
                      <w:sz w:val="18"/>
                      <w:szCs w:val="18"/>
                    </w:rPr>
                  </w:pPr>
                  <w:r>
                    <w:rPr>
                      <w:rFonts w:hint="eastAsia"/>
                      <w:sz w:val="18"/>
                      <w:szCs w:val="18"/>
                    </w:rPr>
                    <w:t>确定中标单位</w:t>
                  </w:r>
                </w:p>
              </w:txbxContent>
            </v:textbox>
          </v:shape>
        </w:pict>
      </w:r>
    </w:p>
    <w:p>
      <w:pPr>
        <w:pageBreakBefore w:val="0"/>
        <w:topLinePunct w:val="0"/>
        <w:bidi w:val="0"/>
        <w:outlineLvl w:val="9"/>
        <w:rPr>
          <w:rFonts w:ascii="宋体" w:hAnsi="宋体"/>
          <w:b/>
          <w:sz w:val="24"/>
        </w:rPr>
      </w:pPr>
      <w:r>
        <w:rPr>
          <w:rFonts w:ascii="宋体" w:hAnsi="宋体"/>
          <w:b/>
          <w:sz w:val="24"/>
        </w:rPr>
        <w:pict>
          <v:rect id="矩形 85" o:spid="_x0000_s1033" o:spt="1" style="position:absolute;left:0pt;margin-left:142.45pt;margin-top:7.95pt;height:19.5pt;width:18.75pt;z-index:251673600;mso-width-relative:page;mso-height-relative:page;" filled="f" stroked="f" coordsize="21600,21600">
            <v:path/>
            <v:fill on="f" focussize="0,0"/>
            <v:stroke on="f"/>
            <v:imagedata o:title=""/>
            <o:lock v:ext="edit"/>
            <v:textbox>
              <w:txbxContent>
                <w:p/>
              </w:txbxContent>
            </v:textbox>
          </v:rect>
        </w:pict>
      </w:r>
    </w:p>
    <w:p>
      <w:pPr>
        <w:pageBreakBefore w:val="0"/>
        <w:topLinePunct w:val="0"/>
        <w:bidi w:val="0"/>
        <w:outlineLvl w:val="9"/>
        <w:rPr>
          <w:rFonts w:ascii="宋体" w:hAnsi="宋体"/>
          <w:b/>
          <w:sz w:val="24"/>
        </w:rPr>
      </w:pPr>
      <w:r>
        <w:rPr>
          <w:rFonts w:ascii="宋体" w:hAnsi="宋体"/>
          <w:b/>
          <w:sz w:val="24"/>
        </w:rPr>
        <w:pict>
          <v:shape id="自选图形 68" o:spid="_x0000_s1034" o:spt="32" type="#_x0000_t32" style="position:absolute;left:0pt;margin-left:203.25pt;margin-top:4.95pt;height:36.15pt;width:0pt;z-index:251671552;mso-width-relative:page;mso-height-relative:page;" o:connectortype="straight" filled="f" coordsize="21600,21600">
            <v:path arrowok="t"/>
            <v:fill on="f" focussize="0,0"/>
            <v:stroke endarrow="block"/>
            <v:imagedata o:title=""/>
            <o:lock v:ext="edit"/>
          </v:shape>
        </w:pict>
      </w:r>
    </w:p>
    <w:p>
      <w:pPr>
        <w:pageBreakBefore w:val="0"/>
        <w:topLinePunct w:val="0"/>
        <w:bidi w:val="0"/>
        <w:outlineLvl w:val="9"/>
        <w:rPr>
          <w:rFonts w:ascii="宋体" w:hAnsi="宋体"/>
          <w:b/>
          <w:sz w:val="24"/>
        </w:rPr>
      </w:pPr>
    </w:p>
    <w:p>
      <w:pPr>
        <w:pageBreakBefore w:val="0"/>
        <w:topLinePunct w:val="0"/>
        <w:bidi w:val="0"/>
        <w:outlineLvl w:val="9"/>
        <w:rPr>
          <w:rFonts w:ascii="宋体" w:hAnsi="宋体"/>
          <w:b/>
          <w:sz w:val="24"/>
        </w:rPr>
      </w:pPr>
      <w:r>
        <w:rPr>
          <w:rFonts w:ascii="宋体" w:hAnsi="宋体"/>
          <w:b/>
          <w:sz w:val="24"/>
        </w:rPr>
        <w:pict>
          <v:shape id="_x0000_s1035" o:spid="_x0000_s1035" o:spt="109" type="#_x0000_t109" style="position:absolute;left:0pt;margin-left:153.35pt;margin-top:9.9pt;height:23.85pt;width:108pt;z-index:251679744;mso-width-relative:page;mso-height-relative:page;" coordsize="21600,21600">
            <v:path/>
            <v:fill focussize="0,0"/>
            <v:stroke/>
            <v:imagedata o:title=""/>
            <o:lock v:ext="edit"/>
            <v:textbox>
              <w:txbxContent>
                <w:p>
                  <w:pPr>
                    <w:jc w:val="center"/>
                    <w:rPr>
                      <w:sz w:val="18"/>
                      <w:szCs w:val="18"/>
                    </w:rPr>
                  </w:pPr>
                  <w:r>
                    <w:rPr>
                      <w:rFonts w:hint="eastAsia"/>
                      <w:sz w:val="18"/>
                      <w:szCs w:val="18"/>
                    </w:rPr>
                    <w:t>教材购销合同签订</w:t>
                  </w:r>
                </w:p>
              </w:txbxContent>
            </v:textbox>
          </v:shape>
        </w:pict>
      </w:r>
    </w:p>
    <w:p>
      <w:pPr>
        <w:pageBreakBefore w:val="0"/>
        <w:topLinePunct w:val="0"/>
        <w:bidi w:val="0"/>
        <w:outlineLvl w:val="9"/>
        <w:rPr>
          <w:rFonts w:ascii="宋体" w:hAnsi="宋体"/>
          <w:b/>
          <w:sz w:val="24"/>
        </w:rPr>
      </w:pPr>
    </w:p>
    <w:p>
      <w:pPr>
        <w:pageBreakBefore w:val="0"/>
        <w:topLinePunct w:val="0"/>
        <w:bidi w:val="0"/>
        <w:outlineLvl w:val="9"/>
        <w:rPr>
          <w:rFonts w:ascii="宋体" w:hAnsi="宋体"/>
          <w:b/>
          <w:sz w:val="24"/>
        </w:rPr>
      </w:pPr>
      <w:r>
        <w:rPr>
          <w:rFonts w:ascii="宋体" w:hAnsi="宋体"/>
          <w:b/>
          <w:sz w:val="24"/>
        </w:rPr>
        <w:pict>
          <v:shape id="自选图形 55" o:spid="_x0000_s1036" o:spt="32" type="#_x0000_t32" style="position:absolute;left:0pt;margin-left:204.75pt;margin-top:2.55pt;height:32.95pt;width:0pt;z-index:251678720;mso-width-relative:page;mso-height-relative:page;" o:connectortype="straight" filled="f" coordsize="21600,21600">
            <v:path arrowok="t"/>
            <v:fill on="f" focussize="0,0"/>
            <v:stroke endarrow="block"/>
            <v:imagedata o:title=""/>
            <o:lock v:ext="edit"/>
          </v:shape>
        </w:pict>
      </w:r>
    </w:p>
    <w:p>
      <w:pPr>
        <w:pageBreakBefore w:val="0"/>
        <w:topLinePunct w:val="0"/>
        <w:bidi w:val="0"/>
        <w:outlineLvl w:val="9"/>
        <w:rPr>
          <w:rFonts w:ascii="宋体" w:hAnsi="宋体"/>
          <w:b/>
          <w:sz w:val="24"/>
        </w:rPr>
      </w:pPr>
    </w:p>
    <w:p>
      <w:pPr>
        <w:pageBreakBefore w:val="0"/>
        <w:widowControl/>
        <w:topLinePunct w:val="0"/>
        <w:bidi w:val="0"/>
        <w:spacing w:line="380" w:lineRule="exact"/>
        <w:ind w:firstLine="482" w:firstLineChars="200"/>
        <w:outlineLvl w:val="9"/>
        <w:rPr>
          <w:rFonts w:eastAsia="仿宋_GB2312"/>
        </w:rPr>
      </w:pPr>
      <w:r>
        <w:rPr>
          <w:rFonts w:ascii="宋体" w:hAnsi="宋体"/>
          <w:b/>
          <w:sz w:val="24"/>
        </w:rPr>
        <w:pict>
          <v:shape id="自选图形 77" o:spid="_x0000_s1037" o:spt="116" type="#_x0000_t116" style="position:absolute;left:0pt;margin-left:149.25pt;margin-top:4.3pt;height:29.4pt;width:131.25pt;z-index:251672576;mso-width-relative:page;mso-height-relative:page;" coordsize="21600,21600">
            <v:path/>
            <v:fill focussize="0,0"/>
            <v:stroke/>
            <v:imagedata o:title=""/>
            <o:lock v:ext="edit"/>
            <v:textbox>
              <w:txbxContent>
                <w:p>
                  <w:pPr>
                    <w:jc w:val="center"/>
                  </w:pPr>
                  <w:r>
                    <w:rPr>
                      <w:rFonts w:hint="eastAsia"/>
                      <w:sz w:val="18"/>
                      <w:szCs w:val="18"/>
                    </w:rPr>
                    <w:t>按照合同组织</w:t>
                  </w:r>
                  <w:r>
                    <w:rPr>
                      <w:sz w:val="18"/>
                      <w:szCs w:val="18"/>
                    </w:rPr>
                    <w:t>教材</w:t>
                  </w:r>
                  <w:r>
                    <w:rPr>
                      <w:rFonts w:hint="eastAsia"/>
                      <w:sz w:val="18"/>
                      <w:szCs w:val="18"/>
                    </w:rPr>
                    <w:t>采购</w:t>
                  </w:r>
                </w:p>
              </w:txbxContent>
            </v:textbox>
          </v:shape>
        </w:pict>
      </w:r>
    </w:p>
    <w:p>
      <w:pPr>
        <w:pStyle w:val="51"/>
        <w:pageBreakBefore w:val="0"/>
        <w:topLinePunct w:val="0"/>
        <w:bidi w:val="0"/>
        <w:spacing w:line="300" w:lineRule="auto"/>
        <w:ind w:firstLine="420"/>
        <w:jc w:val="both"/>
        <w:outlineLvl w:val="9"/>
        <w:rPr>
          <w:rFonts w:hAnsi="宋体"/>
        </w:rPr>
      </w:pPr>
    </w:p>
    <w:p>
      <w:pPr>
        <w:pageBreakBefore w:val="0"/>
        <w:topLinePunct w:val="0"/>
        <w:bidi w:val="0"/>
        <w:jc w:val="left"/>
        <w:outlineLvl w:val="9"/>
      </w:pPr>
    </w:p>
    <w:p>
      <w:pPr>
        <w:pageBreakBefore w:val="0"/>
        <w:widowControl/>
        <w:tabs>
          <w:tab w:val="left" w:pos="5593"/>
        </w:tabs>
        <w:topLinePunct w:val="0"/>
        <w:bidi w:val="0"/>
        <w:spacing w:line="380" w:lineRule="exact"/>
        <w:ind w:firstLine="420" w:firstLineChars="200"/>
        <w:outlineLvl w:val="9"/>
        <w:rPr>
          <w:rFonts w:hint="eastAsia" w:eastAsia="仿宋_GB2312"/>
        </w:rPr>
      </w:pPr>
    </w:p>
    <w:p>
      <w:pPr>
        <w:pageBreakBefore w:val="0"/>
        <w:widowControl/>
        <w:tabs>
          <w:tab w:val="left" w:pos="5593"/>
        </w:tabs>
        <w:topLinePunct w:val="0"/>
        <w:bidi w:val="0"/>
        <w:spacing w:line="380" w:lineRule="exact"/>
        <w:ind w:firstLine="420" w:firstLineChars="200"/>
        <w:outlineLvl w:val="9"/>
        <w:rPr>
          <w:rFonts w:hint="eastAsia" w:eastAsia="仿宋_GB2312"/>
        </w:rPr>
      </w:pPr>
    </w:p>
    <w:p>
      <w:pPr>
        <w:pageBreakBefore w:val="0"/>
        <w:widowControl/>
        <w:tabs>
          <w:tab w:val="left" w:pos="5593"/>
        </w:tabs>
        <w:topLinePunct w:val="0"/>
        <w:bidi w:val="0"/>
        <w:spacing w:line="380" w:lineRule="exact"/>
        <w:ind w:firstLine="420" w:firstLineChars="200"/>
        <w:outlineLvl w:val="9"/>
        <w:rPr>
          <w:rFonts w:hint="eastAsia" w:eastAsia="仿宋_GB2312"/>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outlineLvl w:val="9"/>
        <w:rPr>
          <w:rFonts w:hint="eastAsia"/>
          <w:color w:val="FF0000"/>
          <w:sz w:val="24"/>
        </w:rPr>
      </w:pPr>
    </w:p>
    <w:p>
      <w:pPr>
        <w:pageBreakBefore w:val="0"/>
        <w:topLinePunct w:val="0"/>
        <w:bidi w:val="0"/>
        <w:outlineLvl w:val="9"/>
        <w:rPr>
          <w:rFonts w:hint="eastAsia"/>
          <w:color w:val="FF0000"/>
          <w:sz w:val="24"/>
        </w:rPr>
      </w:pPr>
    </w:p>
    <w:p>
      <w:pPr>
        <w:pageBreakBefore w:val="0"/>
        <w:topLinePunct w:val="0"/>
        <w:bidi w:val="0"/>
        <w:outlineLvl w:val="9"/>
        <w:rPr>
          <w:rFonts w:hint="eastAsia"/>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color w:val="FF0000"/>
          <w:sz w:val="24"/>
        </w:rPr>
      </w:pPr>
    </w:p>
    <w:p>
      <w:pPr>
        <w:pageBreakBefore w:val="0"/>
        <w:topLinePunct w:val="0"/>
        <w:bidi w:val="0"/>
        <w:jc w:val="center"/>
        <w:outlineLvl w:val="9"/>
        <w:rPr>
          <w:rFonts w:hint="eastAsia"/>
          <w:sz w:val="24"/>
        </w:rPr>
      </w:pPr>
    </w:p>
    <w:p>
      <w:pPr>
        <w:pageBreakBefore w:val="0"/>
        <w:topLinePunct w:val="0"/>
        <w:bidi w:val="0"/>
        <w:spacing w:before="156" w:beforeLines="50"/>
        <w:ind w:left="-735" w:leftChars="-3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eastAsia="仿宋_GB2312"/>
          <w:color w:val="000000"/>
          <w:kern w:val="0"/>
          <w:sz w:val="32"/>
          <w:szCs w:val="28"/>
        </w:rPr>
        <w:t>201</w:t>
      </w:r>
      <w:r>
        <w:rPr>
          <w:rFonts w:hint="eastAsia" w:eastAsia="仿宋_GB2312"/>
          <w:color w:val="000000"/>
          <w:kern w:val="0"/>
          <w:sz w:val="32"/>
          <w:szCs w:val="28"/>
        </w:rPr>
        <w:t>7</w:t>
      </w:r>
      <w:r>
        <w:rPr>
          <w:rFonts w:hint="eastAsia" w:ascii="仿宋_GB2312" w:eastAsia="仿宋_GB2312"/>
          <w:color w:val="000000"/>
          <w:kern w:val="0"/>
          <w:sz w:val="32"/>
          <w:szCs w:val="28"/>
        </w:rPr>
        <w:t>〕</w:t>
      </w:r>
      <w:r>
        <w:rPr>
          <w:rFonts w:ascii="仿宋_GB2312" w:eastAsia="仿宋_GB2312"/>
          <w:color w:val="000000"/>
          <w:kern w:val="0"/>
          <w:sz w:val="32"/>
          <w:szCs w:val="28"/>
        </w:rPr>
        <w:t>84</w:t>
      </w:r>
      <w:r>
        <w:rPr>
          <w:rFonts w:eastAsia="仿宋_GB2312"/>
          <w:color w:val="000000"/>
          <w:kern w:val="0"/>
          <w:sz w:val="32"/>
          <w:szCs w:val="28"/>
        </w:rPr>
        <w:t>号</w:t>
      </w:r>
    </w:p>
    <w:p>
      <w:pPr>
        <w:pageBreakBefore w:val="0"/>
        <w:topLinePunct w:val="0"/>
        <w:bidi w:val="0"/>
        <w:spacing w:line="4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pageBreakBefore w:val="0"/>
        <w:topLinePunct w:val="0"/>
        <w:bidi w:val="0"/>
        <w:spacing w:line="400" w:lineRule="exact"/>
        <w:outlineLvl w:val="9"/>
        <w:rPr>
          <w:rFonts w:ascii="黑体" w:eastAsia="黑体"/>
          <w:color w:val="FF0000"/>
          <w:sz w:val="28"/>
          <w:szCs w:val="28"/>
          <w:u w:val="thick"/>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bCs/>
          <w:sz w:val="36"/>
          <w:szCs w:val="36"/>
        </w:rPr>
      </w:pPr>
      <w:bookmarkStart w:id="4" w:name="_Toc24169"/>
      <w:r>
        <w:rPr>
          <w:rFonts w:hint="eastAsia" w:ascii="黑体" w:hAnsi="黑体" w:eastAsia="黑体" w:cs="黑体"/>
          <w:b/>
          <w:bCs/>
          <w:sz w:val="36"/>
          <w:szCs w:val="36"/>
        </w:rPr>
        <w:t>关于印发《上海电子信息职业技术学院学历管理实施细则》的通知</w:t>
      </w:r>
      <w:bookmarkEnd w:id="4"/>
    </w:p>
    <w:p>
      <w:pPr>
        <w:pageBreakBefore w:val="0"/>
        <w:topLinePunct w:val="0"/>
        <w:bidi w:val="0"/>
        <w:spacing w:line="50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50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现将《上海电子信息职业技术学院学历管理实施细则》</w:t>
      </w:r>
    </w:p>
    <w:p>
      <w:pPr>
        <w:pageBreakBefore w:val="0"/>
        <w:topLinePunct w:val="0"/>
        <w:bidi w:val="0"/>
        <w:spacing w:line="50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发给你们，请结合本部门工作实际，认真研究执行。</w:t>
      </w:r>
    </w:p>
    <w:p>
      <w:pPr>
        <w:pageBreakBefore w:val="0"/>
        <w:topLinePunct w:val="0"/>
        <w:bidi w:val="0"/>
        <w:spacing w:line="500" w:lineRule="exact"/>
        <w:ind w:firstLine="660"/>
        <w:jc w:val="center"/>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jc w:val="lef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jc w:val="lef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附件：上海电子信息职业技术学院学历管理实施细则         </w:t>
      </w:r>
    </w:p>
    <w:p>
      <w:pPr>
        <w:pageBreakBefore w:val="0"/>
        <w:topLinePunct w:val="0"/>
        <w:bidi w:val="0"/>
        <w:spacing w:line="500" w:lineRule="exact"/>
        <w:ind w:firstLine="66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00" w:lineRule="exact"/>
        <w:ind w:firstLine="66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00" w:lineRule="exact"/>
        <w:ind w:firstLine="66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00" w:lineRule="exact"/>
        <w:ind w:firstLine="66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上海电子信息职业技术学院                  </w:t>
      </w:r>
    </w:p>
    <w:p>
      <w:pPr>
        <w:pageBreakBefore w:val="0"/>
        <w:topLinePunct w:val="0"/>
        <w:bidi w:val="0"/>
        <w:spacing w:line="500" w:lineRule="exact"/>
        <w:ind w:firstLine="66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2017 年 8 月 25日</w:t>
      </w:r>
    </w:p>
    <w:p>
      <w:pPr>
        <w:pageBreakBefore w:val="0"/>
        <w:topLinePunct w:val="0"/>
        <w:bidi w:val="0"/>
        <w:spacing w:after="312" w:afterLines="100" w:line="400" w:lineRule="exact"/>
        <w:jc w:val="center"/>
        <w:outlineLvl w:val="9"/>
      </w:pPr>
    </w:p>
    <w:p>
      <w:pPr>
        <w:pageBreakBefore w:val="0"/>
        <w:topLinePunct w:val="0"/>
        <w:bidi w:val="0"/>
        <w:spacing w:line="400" w:lineRule="exact"/>
        <w:ind w:firstLine="2570" w:firstLineChars="800"/>
        <w:outlineLvl w:val="9"/>
        <w:rPr>
          <w:rFonts w:ascii="宋体" w:hAnsi="宋体"/>
          <w:b/>
          <w:sz w:val="32"/>
          <w:szCs w:val="32"/>
        </w:rPr>
      </w:pPr>
    </w:p>
    <w:p>
      <w:pPr>
        <w:pageBreakBefore w:val="0"/>
        <w:topLinePunct w:val="0"/>
        <w:bidi w:val="0"/>
        <w:spacing w:line="400" w:lineRule="exact"/>
        <w:outlineLvl w:val="9"/>
        <w:rPr>
          <w:rFonts w:ascii="宋体" w:hAnsi="宋体"/>
          <w:b/>
          <w:sz w:val="32"/>
          <w:szCs w:val="32"/>
        </w:rPr>
      </w:pPr>
    </w:p>
    <w:p>
      <w:pPr>
        <w:pageBreakBefore w:val="0"/>
        <w:topLinePunct w:val="0"/>
        <w:bidi w:val="0"/>
        <w:spacing w:line="400" w:lineRule="exact"/>
        <w:ind w:firstLine="2570" w:firstLineChars="800"/>
        <w:outlineLvl w:val="9"/>
        <w:rPr>
          <w:rFonts w:ascii="宋体" w:hAnsi="宋体"/>
          <w:b/>
          <w:sz w:val="32"/>
          <w:szCs w:val="32"/>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 xml:space="preserve">   学历管理实施细则</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一、总则</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为进一步细化我校学历管理的有关工作，根据教育部《普通高等学校学生管理规定》、《高等教育学历证书电子注册管理暂行规定》、《高校学生获得学籍及毕业证书政策告知》以及《上海电子信息职业技术学院学生学籍管理规定》，结合我校实际，制定本细则。</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（二）学历管理工作分为学历资格审核、学历资格申报、学历证书领取与发放、学历证书退回、学历证书电子注册等几个部分。</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（三）学历证书指经电子注册的普通高等教育毕业（结业）证书。</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二、学历资格审核</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学历资格审核指各二级学院对学生的学期注册、课程修读与学分获取和职业资格证书或技能证书的获取等情况的审核。</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（一）学期注册情况审核</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根据学校有关规定，学生应该按规定办理学期注册手续。对于无正当理由未办理注册手续的，一律不予通过学历资格审核；对于办理暂缓注册的，各二级学院必须出具情况说明及处理意见，由二级学院负责人签字确认并加盖公章，交教务处核准、备案。</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（二）课程修读与学分获取审核</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1．根据学校《学生学籍管理规定》，学生必须“修满人才培养方案规定的必修课与选修课课程，取得毕业要求的总学分数”，否则不予通过学历资格审核。</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2．学生因参与顶岗实习及技能大赛等需要进行学分折算的，二级学院应将相关学生名单及学分折算方案报教务处审核、备案。</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（三）职业资格证书或技能等级证书获取情况的审核</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1．根据学校《学生学籍管理规定》，学生“至少取得一种与所学专业相关的职业资格证书或技能等级证书”，否则不予通过学历资格审核。</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2．各二级学院必须审核毕业生相关证书的获取情况并留存相关证书的复印件以备查验，同时将审核结果报教务处备案。</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三、学历资格申报</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（一）学历资格申报条件</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二级学院在申报学历资格的时候，必须确认所有申报学生已经完全通过了学历资格审核，否则一律不得纳入申报名单中。如符合学校《学生学籍管理规定》第49条的规定，做延长学业处理。学生需填写延长学业申请表（附件一），由二级学院负责人签字确认并加盖公章，交教务处审批。</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（二）申报批次</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校学历资格申报工作分为春季和秋季两阶段进行，其中春季学历资格上报一般安排在每学年第二学期第二周；秋季学历资格上报安排三个批次，分别为每学年第二学期第四周，第二学期第二十周和下一学年第一学期的第二周。其他时间一般不接受学历资格申报，具体申报时间见每学期下发的《常规教学工作日程安排表》。</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四、学历证书领取与发放</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学历证书的领取以各二级学院为单位，相关工作人员应提前准备好领取学历证书所需的相关材料，包括：毕业生的成绩单（加盖二级学院公章）和毕业生登记表，两份材料均需按照班级整理，学号小号在上、大号在下。</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（二）各二级学院在进行学历证书发放工作时，需做好证书的签收工作，并在学期结束前将签单交学校综合档案馆存档，各二级学院可留存复印件备查。</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五、学历证书退回</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由于误报或其他原因造成学历资格误申报和学历证书误领取的，各二级学院在学期结束前将相关学历证书退回教务处并附上相关学生名单及情况说明。</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六、学历证书电子注册</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（一）各二级学院必须在规定时间内将学历证书电子注册申报表上报教务处，教务处按照教育部有关要求在中国高等教育学生信息网进行学历证书电子注册。</w:t>
      </w:r>
    </w:p>
    <w:p>
      <w:pPr>
        <w:pageBreakBefore w:val="0"/>
        <w:topLinePunct w:val="0"/>
        <w:bidi w:val="0"/>
        <w:spacing w:line="40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（二）对于因未完成相关申报工作造成学历证书电子注册延误的，各二级学院需出具情况说明，随学历证书电子注册申报表一起上报教务处。</w:t>
      </w:r>
    </w:p>
    <w:p>
      <w:pPr>
        <w:pageBreakBefore w:val="0"/>
        <w:topLinePunct w:val="0"/>
        <w:bidi w:val="0"/>
        <w:spacing w:line="400" w:lineRule="exact"/>
        <w:jc w:val="left"/>
        <w:outlineLvl w:val="9"/>
        <w:rPr>
          <w:rFonts w:hint="eastAsia" w:ascii="仿宋_GB2312" w:hAnsi="仿宋_GB2312" w:eastAsia="仿宋_GB2312" w:cs="仿宋_GB2312"/>
          <w:kern w:val="2"/>
          <w:sz w:val="28"/>
          <w:szCs w:val="28"/>
          <w:highlight w:val="none"/>
          <w:lang w:val="en-US" w:eastAsia="zh-CN" w:bidi="ar-SA"/>
        </w:rPr>
      </w:pPr>
    </w:p>
    <w:p>
      <w:pPr>
        <w:pStyle w:val="34"/>
        <w:pageBreakBefore w:val="0"/>
        <w:topLinePunct w:val="0"/>
        <w:bidi w:val="0"/>
        <w:spacing w:before="0" w:beforeAutospacing="0" w:after="0" w:afterAutospacing="0" w:line="400" w:lineRule="exact"/>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附件：学生延长学业申请表</w:t>
      </w:r>
    </w:p>
    <w:p>
      <w:pPr>
        <w:pageBreakBefore w:val="0"/>
        <w:topLinePunct w:val="0"/>
        <w:bidi w:val="0"/>
        <w:spacing w:line="400" w:lineRule="exact"/>
        <w:jc w:val="left"/>
        <w:outlineLvl w:val="9"/>
        <w:rPr>
          <w:rFonts w:hint="eastAsia" w:ascii="宋体" w:hAnsi="宋体" w:cs="宋体"/>
          <w:szCs w:val="21"/>
        </w:rPr>
      </w:pPr>
    </w:p>
    <w:p>
      <w:pPr>
        <w:pageBreakBefore w:val="0"/>
        <w:topLinePunct w:val="0"/>
        <w:bidi w:val="0"/>
        <w:spacing w:line="400" w:lineRule="exact"/>
        <w:jc w:val="left"/>
        <w:outlineLvl w:val="9"/>
        <w:rPr>
          <w:rFonts w:hint="eastAsia"/>
          <w:b/>
          <w:bCs/>
        </w:rPr>
      </w:pPr>
      <w:r>
        <w:rPr>
          <w:rFonts w:ascii="宋体" w:hAnsi="宋体" w:cs="宋体"/>
          <w:szCs w:val="21"/>
        </w:rPr>
        <w:br w:type="page"/>
      </w:r>
      <w:r>
        <w:rPr>
          <w:rFonts w:hint="eastAsia"/>
          <w:b/>
          <w:bCs/>
        </w:rPr>
        <w:t>附件：学生延长学业申请表</w:t>
      </w:r>
    </w:p>
    <w:p>
      <w:pPr>
        <w:pageBreakBefore w:val="0"/>
        <w:topLinePunct w:val="0"/>
        <w:bidi w:val="0"/>
        <w:spacing w:line="400" w:lineRule="exact"/>
        <w:jc w:val="center"/>
        <w:outlineLvl w:val="9"/>
        <w:rPr>
          <w:rFonts w:hint="eastAsia" w:ascii="宋体" w:hAnsi="宋体"/>
          <w:b/>
          <w:bCs/>
          <w:sz w:val="32"/>
          <w:szCs w:val="32"/>
          <w:u w:val="single"/>
        </w:rPr>
      </w:pPr>
      <w:r>
        <w:rPr>
          <w:rFonts w:hint="eastAsia" w:ascii="宋体" w:hAnsi="宋体"/>
          <w:b/>
          <w:bCs/>
          <w:sz w:val="32"/>
          <w:szCs w:val="32"/>
        </w:rPr>
        <w:t>上海电子信息职业技术学院</w:t>
      </w:r>
    </w:p>
    <w:p>
      <w:pPr>
        <w:pageBreakBefore w:val="0"/>
        <w:tabs>
          <w:tab w:val="left" w:pos="7875"/>
        </w:tabs>
        <w:topLinePunct w:val="0"/>
        <w:bidi w:val="0"/>
        <w:spacing w:line="400" w:lineRule="exact"/>
        <w:jc w:val="center"/>
        <w:outlineLvl w:val="9"/>
        <w:rPr>
          <w:rFonts w:hint="eastAsia" w:ascii="宋体"/>
          <w:b/>
          <w:bCs/>
          <w:sz w:val="32"/>
          <w:szCs w:val="32"/>
        </w:rPr>
      </w:pPr>
      <w:r>
        <w:rPr>
          <w:rFonts w:hint="eastAsia"/>
          <w:b/>
          <w:bCs/>
          <w:sz w:val="32"/>
          <w:szCs w:val="32"/>
        </w:rPr>
        <w:t>学生延长学业申请表</w:t>
      </w:r>
    </w:p>
    <w:p>
      <w:pPr>
        <w:pageBreakBefore w:val="0"/>
        <w:tabs>
          <w:tab w:val="left" w:pos="7875"/>
        </w:tabs>
        <w:topLinePunct w:val="0"/>
        <w:bidi w:val="0"/>
        <w:spacing w:line="400" w:lineRule="exact"/>
        <w:jc w:val="center"/>
        <w:outlineLvl w:val="9"/>
        <w:rPr>
          <w:rFonts w:hint="eastAsia"/>
          <w:b/>
          <w:sz w:val="24"/>
        </w:rPr>
      </w:pPr>
    </w:p>
    <w:p>
      <w:pPr>
        <w:pageBreakBefore w:val="0"/>
        <w:tabs>
          <w:tab w:val="left" w:pos="7875"/>
        </w:tabs>
        <w:topLinePunct w:val="0"/>
        <w:bidi w:val="0"/>
        <w:spacing w:line="520" w:lineRule="exact"/>
        <w:outlineLvl w:val="9"/>
        <w:rPr>
          <w:b/>
          <w:sz w:val="24"/>
        </w:rPr>
      </w:pPr>
      <w:r>
        <w:rPr>
          <w:rFonts w:hint="eastAsia"/>
          <w:b/>
          <w:sz w:val="24"/>
        </w:rPr>
        <w:t xml:space="preserve">系别：                      </w:t>
      </w:r>
      <w:r>
        <w:rPr>
          <w:rFonts w:hint="eastAsia"/>
          <w:bCs/>
          <w:sz w:val="24"/>
        </w:rPr>
        <w:t xml:space="preserve">           </w:t>
      </w:r>
      <w:r>
        <w:rPr>
          <w:rFonts w:hint="eastAsia"/>
          <w:b/>
          <w:bCs/>
          <w:sz w:val="24"/>
        </w:rPr>
        <w:t>20</w:t>
      </w:r>
      <w:r>
        <w:rPr>
          <w:rFonts w:hint="eastAsia"/>
          <w:b/>
          <w:sz w:val="24"/>
        </w:rPr>
        <w:t xml:space="preserve">    </w:t>
      </w:r>
      <w:r>
        <w:rPr>
          <w:rFonts w:hint="eastAsia"/>
          <w:b/>
          <w:bCs/>
          <w:sz w:val="24"/>
        </w:rPr>
        <w:t>～ 20</w:t>
      </w:r>
      <w:r>
        <w:rPr>
          <w:rFonts w:hint="eastAsia"/>
          <w:b/>
          <w:sz w:val="24"/>
        </w:rPr>
        <w:t xml:space="preserve">    学年  第   学期</w:t>
      </w:r>
    </w:p>
    <w:tbl>
      <w:tblPr>
        <w:tblStyle w:val="37"/>
        <w:tblW w:w="967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27"/>
        <w:gridCol w:w="307"/>
        <w:gridCol w:w="1226"/>
        <w:gridCol w:w="783"/>
        <w:gridCol w:w="691"/>
        <w:gridCol w:w="801"/>
        <w:gridCol w:w="1260"/>
        <w:gridCol w:w="441"/>
        <w:gridCol w:w="799"/>
        <w:gridCol w:w="461"/>
        <w:gridCol w:w="207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47" w:hRule="atLeast"/>
          <w:jc w:val="center"/>
        </w:trPr>
        <w:tc>
          <w:tcPr>
            <w:tcW w:w="1134" w:type="dxa"/>
            <w:gridSpan w:val="2"/>
            <w:noWrap w:val="0"/>
            <w:vAlign w:val="center"/>
          </w:tcPr>
          <w:p>
            <w:pPr>
              <w:pageBreakBefore w:val="0"/>
              <w:topLinePunct w:val="0"/>
              <w:bidi w:val="0"/>
              <w:jc w:val="center"/>
              <w:outlineLvl w:val="9"/>
              <w:rPr>
                <w:rFonts w:hint="eastAsia"/>
                <w:b/>
                <w:bCs/>
                <w:sz w:val="24"/>
              </w:rPr>
            </w:pPr>
            <w:r>
              <w:rPr>
                <w:rFonts w:hint="eastAsia"/>
                <w:b/>
                <w:bCs/>
                <w:sz w:val="24"/>
              </w:rPr>
              <w:t>姓名</w:t>
            </w:r>
          </w:p>
        </w:tc>
        <w:tc>
          <w:tcPr>
            <w:tcW w:w="1226" w:type="dxa"/>
            <w:noWrap w:val="0"/>
            <w:vAlign w:val="center"/>
          </w:tcPr>
          <w:p>
            <w:pPr>
              <w:pageBreakBefore w:val="0"/>
              <w:topLinePunct w:val="0"/>
              <w:bidi w:val="0"/>
              <w:jc w:val="center"/>
              <w:outlineLvl w:val="9"/>
              <w:rPr>
                <w:rFonts w:hint="eastAsia"/>
                <w:b/>
                <w:bCs/>
                <w:sz w:val="24"/>
              </w:rPr>
            </w:pPr>
          </w:p>
        </w:tc>
        <w:tc>
          <w:tcPr>
            <w:tcW w:w="783" w:type="dxa"/>
            <w:noWrap w:val="0"/>
            <w:vAlign w:val="center"/>
          </w:tcPr>
          <w:p>
            <w:pPr>
              <w:pageBreakBefore w:val="0"/>
              <w:topLinePunct w:val="0"/>
              <w:bidi w:val="0"/>
              <w:jc w:val="center"/>
              <w:outlineLvl w:val="9"/>
              <w:rPr>
                <w:rFonts w:hint="eastAsia"/>
                <w:b/>
                <w:bCs/>
                <w:sz w:val="24"/>
              </w:rPr>
            </w:pPr>
            <w:r>
              <w:rPr>
                <w:rFonts w:hint="eastAsia"/>
                <w:b/>
                <w:bCs/>
                <w:sz w:val="24"/>
              </w:rPr>
              <w:t>性别</w:t>
            </w:r>
          </w:p>
        </w:tc>
        <w:tc>
          <w:tcPr>
            <w:tcW w:w="691" w:type="dxa"/>
            <w:noWrap w:val="0"/>
            <w:vAlign w:val="center"/>
          </w:tcPr>
          <w:p>
            <w:pPr>
              <w:pageBreakBefore w:val="0"/>
              <w:topLinePunct w:val="0"/>
              <w:bidi w:val="0"/>
              <w:jc w:val="center"/>
              <w:outlineLvl w:val="9"/>
              <w:rPr>
                <w:rFonts w:hint="eastAsia"/>
                <w:b/>
                <w:bCs/>
                <w:sz w:val="24"/>
              </w:rPr>
            </w:pPr>
          </w:p>
        </w:tc>
        <w:tc>
          <w:tcPr>
            <w:tcW w:w="801" w:type="dxa"/>
            <w:noWrap w:val="0"/>
            <w:vAlign w:val="center"/>
          </w:tcPr>
          <w:p>
            <w:pPr>
              <w:pageBreakBefore w:val="0"/>
              <w:topLinePunct w:val="0"/>
              <w:bidi w:val="0"/>
              <w:jc w:val="center"/>
              <w:outlineLvl w:val="9"/>
              <w:rPr>
                <w:rFonts w:hint="eastAsia"/>
                <w:b/>
                <w:bCs/>
                <w:sz w:val="24"/>
              </w:rPr>
            </w:pPr>
            <w:r>
              <w:rPr>
                <w:rFonts w:hint="eastAsia"/>
                <w:b/>
                <w:bCs/>
                <w:sz w:val="24"/>
              </w:rPr>
              <w:t>班级</w:t>
            </w:r>
          </w:p>
        </w:tc>
        <w:tc>
          <w:tcPr>
            <w:tcW w:w="1701" w:type="dxa"/>
            <w:gridSpan w:val="2"/>
            <w:noWrap w:val="0"/>
            <w:vAlign w:val="center"/>
          </w:tcPr>
          <w:p>
            <w:pPr>
              <w:pageBreakBefore w:val="0"/>
              <w:topLinePunct w:val="0"/>
              <w:bidi w:val="0"/>
              <w:jc w:val="center"/>
              <w:outlineLvl w:val="9"/>
              <w:rPr>
                <w:rFonts w:hint="eastAsia"/>
                <w:b/>
                <w:bCs/>
                <w:sz w:val="24"/>
              </w:rPr>
            </w:pPr>
          </w:p>
        </w:tc>
        <w:tc>
          <w:tcPr>
            <w:tcW w:w="799" w:type="dxa"/>
            <w:noWrap w:val="0"/>
            <w:vAlign w:val="center"/>
          </w:tcPr>
          <w:p>
            <w:pPr>
              <w:pageBreakBefore w:val="0"/>
              <w:topLinePunct w:val="0"/>
              <w:bidi w:val="0"/>
              <w:jc w:val="center"/>
              <w:outlineLvl w:val="9"/>
              <w:rPr>
                <w:rFonts w:hint="eastAsia"/>
                <w:b/>
                <w:bCs/>
                <w:sz w:val="24"/>
              </w:rPr>
            </w:pPr>
            <w:r>
              <w:rPr>
                <w:rFonts w:hint="eastAsia"/>
                <w:b/>
                <w:bCs/>
                <w:sz w:val="24"/>
              </w:rPr>
              <w:t>学号</w:t>
            </w:r>
          </w:p>
        </w:tc>
        <w:tc>
          <w:tcPr>
            <w:tcW w:w="2540" w:type="dxa"/>
            <w:gridSpan w:val="2"/>
            <w:noWrap w:val="0"/>
            <w:vAlign w:val="center"/>
          </w:tcPr>
          <w:p>
            <w:pPr>
              <w:pageBreakBefore w:val="0"/>
              <w:topLinePunct w:val="0"/>
              <w:bidi w:val="0"/>
              <w:jc w:val="center"/>
              <w:outlineLvl w:val="9"/>
              <w:rPr>
                <w:rFonts w:hint="eastAsia"/>
                <w:b/>
                <w:bCs/>
                <w:sz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15" w:hRule="atLeast"/>
          <w:jc w:val="center"/>
        </w:trPr>
        <w:tc>
          <w:tcPr>
            <w:tcW w:w="1134" w:type="dxa"/>
            <w:gridSpan w:val="2"/>
            <w:noWrap w:val="0"/>
            <w:vAlign w:val="center"/>
          </w:tcPr>
          <w:p>
            <w:pPr>
              <w:pageBreakBefore w:val="0"/>
              <w:topLinePunct w:val="0"/>
              <w:bidi w:val="0"/>
              <w:jc w:val="center"/>
              <w:outlineLvl w:val="9"/>
              <w:rPr>
                <w:rFonts w:hint="eastAsia"/>
                <w:b/>
                <w:bCs/>
                <w:sz w:val="24"/>
              </w:rPr>
            </w:pPr>
            <w:r>
              <w:rPr>
                <w:rFonts w:hint="eastAsia"/>
                <w:b/>
                <w:bCs/>
                <w:sz w:val="24"/>
              </w:rPr>
              <w:t>专业</w:t>
            </w:r>
          </w:p>
        </w:tc>
        <w:tc>
          <w:tcPr>
            <w:tcW w:w="4761" w:type="dxa"/>
            <w:gridSpan w:val="5"/>
            <w:noWrap w:val="0"/>
            <w:vAlign w:val="center"/>
          </w:tcPr>
          <w:p>
            <w:pPr>
              <w:pageBreakBefore w:val="0"/>
              <w:topLinePunct w:val="0"/>
              <w:bidi w:val="0"/>
              <w:jc w:val="center"/>
              <w:outlineLvl w:val="9"/>
              <w:rPr>
                <w:rFonts w:hint="eastAsia"/>
                <w:b/>
                <w:bCs/>
                <w:sz w:val="24"/>
              </w:rPr>
            </w:pPr>
          </w:p>
        </w:tc>
        <w:tc>
          <w:tcPr>
            <w:tcW w:w="1701" w:type="dxa"/>
            <w:gridSpan w:val="3"/>
            <w:noWrap w:val="0"/>
            <w:vAlign w:val="center"/>
          </w:tcPr>
          <w:p>
            <w:pPr>
              <w:pageBreakBefore w:val="0"/>
              <w:topLinePunct w:val="0"/>
              <w:bidi w:val="0"/>
              <w:ind w:left="130" w:leftChars="62"/>
              <w:jc w:val="center"/>
              <w:outlineLvl w:val="9"/>
              <w:rPr>
                <w:rFonts w:hint="eastAsia"/>
                <w:b/>
                <w:bCs/>
                <w:sz w:val="24"/>
              </w:rPr>
            </w:pPr>
            <w:r>
              <w:rPr>
                <w:rFonts w:hint="eastAsia"/>
                <w:b/>
                <w:bCs/>
                <w:sz w:val="24"/>
              </w:rPr>
              <w:t>延长年限</w:t>
            </w:r>
          </w:p>
        </w:tc>
        <w:tc>
          <w:tcPr>
            <w:tcW w:w="2079" w:type="dxa"/>
            <w:noWrap w:val="0"/>
            <w:vAlign w:val="center"/>
          </w:tcPr>
          <w:p>
            <w:pPr>
              <w:pageBreakBefore w:val="0"/>
              <w:topLinePunct w:val="0"/>
              <w:bidi w:val="0"/>
              <w:jc w:val="center"/>
              <w:outlineLvl w:val="9"/>
              <w:rPr>
                <w:rFonts w:hint="eastAsia"/>
                <w:b/>
                <w:bCs/>
                <w:sz w:val="24"/>
              </w:rPr>
            </w:pPr>
            <w:r>
              <w:rPr>
                <w:rFonts w:hint="eastAsia"/>
                <w:b/>
                <w:bCs/>
                <w:sz w:val="24"/>
              </w:rPr>
              <w:t>1年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70" w:hRule="atLeast"/>
          <w:jc w:val="center"/>
        </w:trPr>
        <w:tc>
          <w:tcPr>
            <w:tcW w:w="827" w:type="dxa"/>
            <w:noWrap w:val="0"/>
            <w:vAlign w:val="center"/>
          </w:tcPr>
          <w:p>
            <w:pPr>
              <w:pageBreakBefore w:val="0"/>
              <w:topLinePunct w:val="0"/>
              <w:bidi w:val="0"/>
              <w:jc w:val="center"/>
              <w:outlineLvl w:val="9"/>
              <w:rPr>
                <w:rFonts w:hint="eastAsia"/>
                <w:b/>
                <w:bCs/>
                <w:sz w:val="24"/>
              </w:rPr>
            </w:pPr>
            <w:r>
              <w:rPr>
                <w:rFonts w:hint="eastAsia"/>
                <w:b/>
                <w:bCs/>
                <w:sz w:val="24"/>
              </w:rPr>
              <w:t>延</w:t>
            </w:r>
          </w:p>
          <w:p>
            <w:pPr>
              <w:pageBreakBefore w:val="0"/>
              <w:topLinePunct w:val="0"/>
              <w:bidi w:val="0"/>
              <w:jc w:val="center"/>
              <w:outlineLvl w:val="9"/>
              <w:rPr>
                <w:rFonts w:hint="eastAsia"/>
                <w:b/>
                <w:bCs/>
                <w:sz w:val="24"/>
              </w:rPr>
            </w:pPr>
            <w:r>
              <w:rPr>
                <w:rFonts w:hint="eastAsia"/>
                <w:b/>
                <w:bCs/>
                <w:sz w:val="24"/>
              </w:rPr>
              <w:t>长</w:t>
            </w:r>
          </w:p>
          <w:p>
            <w:pPr>
              <w:pageBreakBefore w:val="0"/>
              <w:topLinePunct w:val="0"/>
              <w:bidi w:val="0"/>
              <w:jc w:val="center"/>
              <w:outlineLvl w:val="9"/>
              <w:rPr>
                <w:rFonts w:hint="eastAsia"/>
                <w:b/>
                <w:bCs/>
                <w:sz w:val="24"/>
              </w:rPr>
            </w:pPr>
            <w:r>
              <w:rPr>
                <w:rFonts w:hint="eastAsia"/>
                <w:b/>
                <w:bCs/>
                <w:sz w:val="24"/>
              </w:rPr>
              <w:t>学</w:t>
            </w:r>
          </w:p>
          <w:p>
            <w:pPr>
              <w:pageBreakBefore w:val="0"/>
              <w:topLinePunct w:val="0"/>
              <w:bidi w:val="0"/>
              <w:jc w:val="center"/>
              <w:outlineLvl w:val="9"/>
              <w:rPr>
                <w:rFonts w:hint="eastAsia"/>
                <w:b/>
                <w:bCs/>
                <w:sz w:val="24"/>
              </w:rPr>
            </w:pPr>
            <w:r>
              <w:rPr>
                <w:rFonts w:hint="eastAsia"/>
                <w:b/>
                <w:bCs/>
                <w:sz w:val="24"/>
              </w:rPr>
              <w:t>业</w:t>
            </w:r>
          </w:p>
          <w:p>
            <w:pPr>
              <w:pageBreakBefore w:val="0"/>
              <w:topLinePunct w:val="0"/>
              <w:bidi w:val="0"/>
              <w:jc w:val="center"/>
              <w:outlineLvl w:val="9"/>
              <w:rPr>
                <w:rFonts w:hint="eastAsia"/>
                <w:b/>
                <w:bCs/>
                <w:sz w:val="24"/>
              </w:rPr>
            </w:pPr>
            <w:r>
              <w:rPr>
                <w:rFonts w:hint="eastAsia"/>
                <w:b/>
                <w:bCs/>
                <w:sz w:val="24"/>
              </w:rPr>
              <w:t>理</w:t>
            </w:r>
          </w:p>
          <w:p>
            <w:pPr>
              <w:pageBreakBefore w:val="0"/>
              <w:topLinePunct w:val="0"/>
              <w:bidi w:val="0"/>
              <w:jc w:val="center"/>
              <w:outlineLvl w:val="9"/>
              <w:rPr>
                <w:rFonts w:hint="eastAsia"/>
                <w:b/>
                <w:bCs/>
                <w:sz w:val="24"/>
              </w:rPr>
            </w:pPr>
            <w:r>
              <w:rPr>
                <w:rFonts w:hint="eastAsia"/>
                <w:b/>
                <w:bCs/>
                <w:sz w:val="24"/>
              </w:rPr>
              <w:t>由</w:t>
            </w:r>
          </w:p>
        </w:tc>
        <w:tc>
          <w:tcPr>
            <w:tcW w:w="8848" w:type="dxa"/>
            <w:gridSpan w:val="10"/>
            <w:noWrap w:val="0"/>
            <w:vAlign w:val="top"/>
          </w:tcPr>
          <w:p>
            <w:pPr>
              <w:pageBreakBefore w:val="0"/>
              <w:topLinePunct w:val="0"/>
              <w:bidi w:val="0"/>
              <w:outlineLvl w:val="9"/>
              <w:rPr>
                <w:rFonts w:hint="eastAsia"/>
                <w:sz w:val="24"/>
              </w:rPr>
            </w:pPr>
          </w:p>
          <w:p>
            <w:pPr>
              <w:pageBreakBefore w:val="0"/>
              <w:topLinePunct w:val="0"/>
              <w:bidi w:val="0"/>
              <w:outlineLvl w:val="9"/>
              <w:rPr>
                <w:rFonts w:hint="eastAsia"/>
                <w:sz w:val="24"/>
              </w:rPr>
            </w:pPr>
          </w:p>
          <w:p>
            <w:pPr>
              <w:pageBreakBefore w:val="0"/>
              <w:topLinePunct w:val="0"/>
              <w:bidi w:val="0"/>
              <w:outlineLvl w:val="9"/>
              <w:rPr>
                <w:rFonts w:hint="eastAsia"/>
                <w:sz w:val="24"/>
              </w:rPr>
            </w:pPr>
          </w:p>
          <w:p>
            <w:pPr>
              <w:pageBreakBefore w:val="0"/>
              <w:topLinePunct w:val="0"/>
              <w:bidi w:val="0"/>
              <w:outlineLvl w:val="9"/>
              <w:rPr>
                <w:rFonts w:hint="eastAsia"/>
                <w:sz w:val="24"/>
              </w:rPr>
            </w:pPr>
          </w:p>
          <w:p>
            <w:pPr>
              <w:pageBreakBefore w:val="0"/>
              <w:topLinePunct w:val="0"/>
              <w:bidi w:val="0"/>
              <w:outlineLvl w:val="9"/>
              <w:rPr>
                <w:rFonts w:hint="eastAsia"/>
                <w:sz w:val="24"/>
              </w:rPr>
            </w:pPr>
          </w:p>
          <w:p>
            <w:pPr>
              <w:pageBreakBefore w:val="0"/>
              <w:topLinePunct w:val="0"/>
              <w:bidi w:val="0"/>
              <w:outlineLvl w:val="9"/>
              <w:rPr>
                <w:rFonts w:hint="eastAsia"/>
                <w:sz w:val="24"/>
              </w:rPr>
            </w:pPr>
          </w:p>
          <w:p>
            <w:pPr>
              <w:pageBreakBefore w:val="0"/>
              <w:topLinePunct w:val="0"/>
              <w:bidi w:val="0"/>
              <w:outlineLvl w:val="9"/>
              <w:rPr>
                <w:rFonts w:hint="eastAsia"/>
                <w:sz w:val="24"/>
              </w:rPr>
            </w:pPr>
          </w:p>
          <w:p>
            <w:pPr>
              <w:pageBreakBefore w:val="0"/>
              <w:topLinePunct w:val="0"/>
              <w:bidi w:val="0"/>
              <w:ind w:firstLine="6000" w:firstLineChars="2500"/>
              <w:outlineLvl w:val="9"/>
              <w:rPr>
                <w:rFonts w:hint="eastAsia"/>
                <w:sz w:val="24"/>
              </w:rPr>
            </w:pPr>
          </w:p>
          <w:p>
            <w:pPr>
              <w:pageBreakBefore w:val="0"/>
              <w:topLinePunct w:val="0"/>
              <w:bidi w:val="0"/>
              <w:outlineLvl w:val="9"/>
              <w:rPr>
                <w:rFonts w:hint="eastAsia"/>
                <w:sz w:val="24"/>
              </w:rPr>
            </w:pPr>
            <w:r>
              <w:rPr>
                <w:rFonts w:hint="eastAsia"/>
                <w:sz w:val="24"/>
              </w:rPr>
              <w:t xml:space="preserve">                                                </w:t>
            </w:r>
            <w:r>
              <w:rPr>
                <w:sz w:val="24"/>
              </w:rPr>
              <w:t xml:space="preserve">  </w:t>
            </w:r>
          </w:p>
          <w:p>
            <w:pPr>
              <w:pageBreakBefore w:val="0"/>
              <w:topLinePunct w:val="0"/>
              <w:bidi w:val="0"/>
              <w:outlineLvl w:val="9"/>
              <w:rPr>
                <w:rFonts w:hint="eastAsia"/>
                <w:sz w:val="24"/>
              </w:rPr>
            </w:pPr>
            <w:r>
              <w:rPr>
                <w:rFonts w:hint="eastAsia"/>
                <w:sz w:val="24"/>
              </w:rPr>
              <w:t xml:space="preserve">                                               </w:t>
            </w:r>
            <w:r>
              <w:rPr>
                <w:sz w:val="24"/>
              </w:rPr>
              <w:t xml:space="preserve">  </w:t>
            </w:r>
            <w:r>
              <w:rPr>
                <w:rFonts w:hint="eastAsia"/>
                <w:sz w:val="24"/>
              </w:rPr>
              <w:t xml:space="preserve">   申请人：</w:t>
            </w:r>
          </w:p>
          <w:p>
            <w:pPr>
              <w:pageBreakBefore w:val="0"/>
              <w:topLinePunct w:val="0"/>
              <w:bidi w:val="0"/>
              <w:outlineLvl w:val="9"/>
              <w:rPr>
                <w:rFonts w:hint="eastAsia"/>
                <w:sz w:val="24"/>
              </w:rPr>
            </w:pPr>
            <w:r>
              <w:rPr>
                <w:rFonts w:hint="eastAsia"/>
                <w:sz w:val="24"/>
              </w:rPr>
              <w:t xml:space="preserve">                                                         年   月    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27" w:type="dxa"/>
            <w:noWrap w:val="0"/>
            <w:vAlign w:val="center"/>
          </w:tcPr>
          <w:p>
            <w:pPr>
              <w:pageBreakBefore w:val="0"/>
              <w:topLinePunct w:val="0"/>
              <w:bidi w:val="0"/>
              <w:jc w:val="center"/>
              <w:outlineLvl w:val="9"/>
              <w:rPr>
                <w:rFonts w:hint="eastAsia"/>
                <w:b/>
                <w:bCs/>
                <w:sz w:val="24"/>
              </w:rPr>
            </w:pPr>
          </w:p>
          <w:p>
            <w:pPr>
              <w:pageBreakBefore w:val="0"/>
              <w:topLinePunct w:val="0"/>
              <w:bidi w:val="0"/>
              <w:jc w:val="center"/>
              <w:outlineLvl w:val="9"/>
              <w:rPr>
                <w:rFonts w:hint="eastAsia"/>
                <w:b/>
                <w:bCs/>
                <w:sz w:val="24"/>
              </w:rPr>
            </w:pPr>
            <w:r>
              <w:rPr>
                <w:rFonts w:hint="eastAsia"/>
                <w:b/>
                <w:bCs/>
                <w:sz w:val="24"/>
              </w:rPr>
              <w:t>学</w:t>
            </w:r>
          </w:p>
          <w:p>
            <w:pPr>
              <w:pageBreakBefore w:val="0"/>
              <w:topLinePunct w:val="0"/>
              <w:bidi w:val="0"/>
              <w:jc w:val="center"/>
              <w:outlineLvl w:val="9"/>
              <w:rPr>
                <w:rFonts w:hint="eastAsia"/>
                <w:b/>
                <w:bCs/>
                <w:sz w:val="24"/>
              </w:rPr>
            </w:pPr>
            <w:r>
              <w:rPr>
                <w:rFonts w:hint="eastAsia"/>
                <w:b/>
                <w:bCs/>
                <w:sz w:val="24"/>
              </w:rPr>
              <w:t>院</w:t>
            </w:r>
          </w:p>
          <w:p>
            <w:pPr>
              <w:pageBreakBefore w:val="0"/>
              <w:topLinePunct w:val="0"/>
              <w:bidi w:val="0"/>
              <w:jc w:val="center"/>
              <w:outlineLvl w:val="9"/>
              <w:rPr>
                <w:rFonts w:hint="eastAsia"/>
                <w:b/>
                <w:bCs/>
                <w:sz w:val="24"/>
              </w:rPr>
            </w:pPr>
            <w:r>
              <w:rPr>
                <w:rFonts w:hint="eastAsia"/>
                <w:b/>
                <w:bCs/>
                <w:sz w:val="24"/>
              </w:rPr>
              <w:t>审</w:t>
            </w:r>
          </w:p>
          <w:p>
            <w:pPr>
              <w:pageBreakBefore w:val="0"/>
              <w:topLinePunct w:val="0"/>
              <w:bidi w:val="0"/>
              <w:jc w:val="center"/>
              <w:outlineLvl w:val="9"/>
              <w:rPr>
                <w:rFonts w:hint="eastAsia"/>
                <w:b/>
                <w:bCs/>
                <w:sz w:val="24"/>
              </w:rPr>
            </w:pPr>
            <w:r>
              <w:rPr>
                <w:rFonts w:hint="eastAsia"/>
                <w:b/>
                <w:bCs/>
                <w:sz w:val="24"/>
              </w:rPr>
              <w:t>查</w:t>
            </w:r>
          </w:p>
          <w:p>
            <w:pPr>
              <w:pageBreakBefore w:val="0"/>
              <w:topLinePunct w:val="0"/>
              <w:bidi w:val="0"/>
              <w:jc w:val="center"/>
              <w:outlineLvl w:val="9"/>
              <w:rPr>
                <w:rFonts w:hint="eastAsia"/>
                <w:b/>
                <w:bCs/>
                <w:sz w:val="24"/>
              </w:rPr>
            </w:pPr>
            <w:r>
              <w:rPr>
                <w:rFonts w:hint="eastAsia"/>
                <w:b/>
                <w:bCs/>
                <w:sz w:val="24"/>
              </w:rPr>
              <w:t>意</w:t>
            </w:r>
          </w:p>
          <w:p>
            <w:pPr>
              <w:pageBreakBefore w:val="0"/>
              <w:topLinePunct w:val="0"/>
              <w:bidi w:val="0"/>
              <w:jc w:val="center"/>
              <w:outlineLvl w:val="9"/>
              <w:rPr>
                <w:rFonts w:hint="eastAsia"/>
                <w:b/>
                <w:bCs/>
                <w:sz w:val="24"/>
              </w:rPr>
            </w:pPr>
            <w:r>
              <w:rPr>
                <w:rFonts w:hint="eastAsia"/>
                <w:b/>
                <w:bCs/>
                <w:sz w:val="24"/>
              </w:rPr>
              <w:t>见</w:t>
            </w:r>
          </w:p>
        </w:tc>
        <w:tc>
          <w:tcPr>
            <w:tcW w:w="8848" w:type="dxa"/>
            <w:gridSpan w:val="10"/>
            <w:noWrap w:val="0"/>
            <w:vAlign w:val="top"/>
          </w:tcPr>
          <w:p>
            <w:pPr>
              <w:pageBreakBefore w:val="0"/>
              <w:topLinePunct w:val="0"/>
              <w:bidi w:val="0"/>
              <w:outlineLvl w:val="9"/>
              <w:rPr>
                <w:rFonts w:hint="eastAsia"/>
                <w:sz w:val="24"/>
              </w:rPr>
            </w:pPr>
          </w:p>
          <w:p>
            <w:pPr>
              <w:pageBreakBefore w:val="0"/>
              <w:topLinePunct w:val="0"/>
              <w:bidi w:val="0"/>
              <w:outlineLvl w:val="9"/>
              <w:rPr>
                <w:rFonts w:hint="eastAsia"/>
                <w:sz w:val="24"/>
              </w:rPr>
            </w:pPr>
          </w:p>
          <w:p>
            <w:pPr>
              <w:pageBreakBefore w:val="0"/>
              <w:topLinePunct w:val="0"/>
              <w:bidi w:val="0"/>
              <w:outlineLvl w:val="9"/>
              <w:rPr>
                <w:rFonts w:hint="eastAsia"/>
                <w:sz w:val="24"/>
              </w:rPr>
            </w:pPr>
          </w:p>
          <w:p>
            <w:pPr>
              <w:pageBreakBefore w:val="0"/>
              <w:topLinePunct w:val="0"/>
              <w:bidi w:val="0"/>
              <w:outlineLvl w:val="9"/>
              <w:rPr>
                <w:rFonts w:hint="eastAsia"/>
                <w:sz w:val="24"/>
              </w:rPr>
            </w:pPr>
          </w:p>
          <w:p>
            <w:pPr>
              <w:pageBreakBefore w:val="0"/>
              <w:topLinePunct w:val="0"/>
              <w:bidi w:val="0"/>
              <w:outlineLvl w:val="9"/>
              <w:rPr>
                <w:rFonts w:hint="eastAsia"/>
                <w:sz w:val="24"/>
              </w:rPr>
            </w:pPr>
          </w:p>
          <w:p>
            <w:pPr>
              <w:pageBreakBefore w:val="0"/>
              <w:topLinePunct w:val="0"/>
              <w:bidi w:val="0"/>
              <w:outlineLvl w:val="9"/>
              <w:rPr>
                <w:rFonts w:hint="eastAsia"/>
                <w:sz w:val="24"/>
              </w:rPr>
            </w:pPr>
          </w:p>
          <w:p>
            <w:pPr>
              <w:pageBreakBefore w:val="0"/>
              <w:topLinePunct w:val="0"/>
              <w:bidi w:val="0"/>
              <w:outlineLvl w:val="9"/>
              <w:rPr>
                <w:rFonts w:hint="eastAsia"/>
                <w:sz w:val="24"/>
              </w:rPr>
            </w:pPr>
          </w:p>
          <w:p>
            <w:pPr>
              <w:pStyle w:val="15"/>
              <w:pageBreakBefore w:val="0"/>
              <w:wordWrap w:val="0"/>
              <w:topLinePunct w:val="0"/>
              <w:bidi w:val="0"/>
              <w:spacing w:line="560" w:lineRule="exact"/>
              <w:jc w:val="right"/>
              <w:outlineLvl w:val="9"/>
              <w:rPr>
                <w:rFonts w:ascii="宋体" w:hAnsi="宋体"/>
                <w:kern w:val="2"/>
                <w:sz w:val="21"/>
              </w:rPr>
            </w:pPr>
            <w:r>
              <w:rPr>
                <w:rFonts w:hint="eastAsia" w:ascii="宋体" w:hAnsi="宋体"/>
                <w:kern w:val="2"/>
                <w:sz w:val="21"/>
              </w:rPr>
              <w:t>公章：</w:t>
            </w:r>
            <w:r>
              <w:rPr>
                <w:rFonts w:ascii="宋体" w:hAnsi="宋体"/>
                <w:kern w:val="2"/>
                <w:sz w:val="21"/>
              </w:rPr>
              <w:t xml:space="preserve">   </w:t>
            </w:r>
            <w:r>
              <w:rPr>
                <w:rFonts w:hint="eastAsia" w:ascii="宋体" w:hAnsi="宋体"/>
                <w:kern w:val="2"/>
                <w:sz w:val="21"/>
              </w:rPr>
              <w:t xml:space="preserve"> </w:t>
            </w:r>
            <w:r>
              <w:rPr>
                <w:rFonts w:ascii="宋体" w:hAnsi="宋体"/>
                <w:kern w:val="2"/>
                <w:sz w:val="21"/>
              </w:rPr>
              <w:t xml:space="preserve"> </w:t>
            </w:r>
            <w:r>
              <w:rPr>
                <w:rFonts w:hint="eastAsia" w:ascii="宋体" w:hAnsi="宋体"/>
                <w:kern w:val="2"/>
                <w:sz w:val="21"/>
              </w:rPr>
              <w:t xml:space="preserve"> 签名：             </w:t>
            </w:r>
          </w:p>
          <w:p>
            <w:pPr>
              <w:pageBreakBefore w:val="0"/>
              <w:topLinePunct w:val="0"/>
              <w:bidi w:val="0"/>
              <w:jc w:val="right"/>
              <w:outlineLvl w:val="9"/>
              <w:rPr>
                <w:rFonts w:hint="eastAsia"/>
                <w:sz w:val="24"/>
              </w:rPr>
            </w:pPr>
            <w:r>
              <w:rPr>
                <w:rFonts w:hint="eastAsia"/>
                <w:sz w:val="24"/>
              </w:rPr>
              <w:t xml:space="preserve">  年     月     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26" w:hRule="atLeast"/>
          <w:jc w:val="center"/>
        </w:trPr>
        <w:tc>
          <w:tcPr>
            <w:tcW w:w="827" w:type="dxa"/>
            <w:noWrap w:val="0"/>
            <w:vAlign w:val="center"/>
          </w:tcPr>
          <w:p>
            <w:pPr>
              <w:pageBreakBefore w:val="0"/>
              <w:topLinePunct w:val="0"/>
              <w:bidi w:val="0"/>
              <w:jc w:val="center"/>
              <w:outlineLvl w:val="9"/>
              <w:rPr>
                <w:rFonts w:hint="eastAsia"/>
                <w:b/>
                <w:bCs/>
                <w:sz w:val="24"/>
              </w:rPr>
            </w:pPr>
            <w:r>
              <w:rPr>
                <w:rFonts w:hint="eastAsia"/>
                <w:b/>
                <w:bCs/>
                <w:sz w:val="24"/>
              </w:rPr>
              <w:t>教</w:t>
            </w:r>
          </w:p>
          <w:p>
            <w:pPr>
              <w:pageBreakBefore w:val="0"/>
              <w:topLinePunct w:val="0"/>
              <w:bidi w:val="0"/>
              <w:jc w:val="center"/>
              <w:outlineLvl w:val="9"/>
              <w:rPr>
                <w:rFonts w:hint="eastAsia"/>
                <w:b/>
                <w:bCs/>
                <w:sz w:val="24"/>
              </w:rPr>
            </w:pPr>
            <w:r>
              <w:rPr>
                <w:rFonts w:hint="eastAsia"/>
                <w:b/>
                <w:bCs/>
                <w:sz w:val="24"/>
              </w:rPr>
              <w:t>务</w:t>
            </w:r>
          </w:p>
          <w:p>
            <w:pPr>
              <w:pageBreakBefore w:val="0"/>
              <w:topLinePunct w:val="0"/>
              <w:bidi w:val="0"/>
              <w:jc w:val="center"/>
              <w:outlineLvl w:val="9"/>
              <w:rPr>
                <w:rFonts w:hint="eastAsia"/>
                <w:b/>
                <w:bCs/>
                <w:sz w:val="24"/>
              </w:rPr>
            </w:pPr>
            <w:r>
              <w:rPr>
                <w:rFonts w:hint="eastAsia"/>
                <w:b/>
                <w:bCs/>
                <w:sz w:val="24"/>
              </w:rPr>
              <w:t>处</w:t>
            </w:r>
          </w:p>
          <w:p>
            <w:pPr>
              <w:pageBreakBefore w:val="0"/>
              <w:topLinePunct w:val="0"/>
              <w:bidi w:val="0"/>
              <w:jc w:val="center"/>
              <w:outlineLvl w:val="9"/>
              <w:rPr>
                <w:rFonts w:hint="eastAsia"/>
                <w:b/>
                <w:bCs/>
                <w:sz w:val="24"/>
              </w:rPr>
            </w:pPr>
            <w:r>
              <w:rPr>
                <w:rFonts w:hint="eastAsia"/>
                <w:b/>
                <w:bCs/>
                <w:sz w:val="24"/>
              </w:rPr>
              <w:t>审</w:t>
            </w:r>
          </w:p>
          <w:p>
            <w:pPr>
              <w:pageBreakBefore w:val="0"/>
              <w:topLinePunct w:val="0"/>
              <w:bidi w:val="0"/>
              <w:jc w:val="center"/>
              <w:outlineLvl w:val="9"/>
              <w:rPr>
                <w:rFonts w:hint="eastAsia"/>
                <w:b/>
                <w:bCs/>
                <w:sz w:val="24"/>
              </w:rPr>
            </w:pPr>
            <w:r>
              <w:rPr>
                <w:rFonts w:hint="eastAsia"/>
                <w:b/>
                <w:bCs/>
                <w:sz w:val="24"/>
              </w:rPr>
              <w:t>核</w:t>
            </w:r>
          </w:p>
          <w:p>
            <w:pPr>
              <w:pageBreakBefore w:val="0"/>
              <w:topLinePunct w:val="0"/>
              <w:bidi w:val="0"/>
              <w:jc w:val="center"/>
              <w:outlineLvl w:val="9"/>
              <w:rPr>
                <w:rFonts w:hint="eastAsia"/>
                <w:b/>
                <w:bCs/>
                <w:sz w:val="24"/>
              </w:rPr>
            </w:pPr>
            <w:r>
              <w:rPr>
                <w:rFonts w:hint="eastAsia"/>
                <w:b/>
                <w:bCs/>
                <w:sz w:val="24"/>
              </w:rPr>
              <w:t>意</w:t>
            </w:r>
          </w:p>
          <w:p>
            <w:pPr>
              <w:pageBreakBefore w:val="0"/>
              <w:topLinePunct w:val="0"/>
              <w:bidi w:val="0"/>
              <w:jc w:val="center"/>
              <w:outlineLvl w:val="9"/>
              <w:rPr>
                <w:rFonts w:hint="eastAsia"/>
                <w:b/>
                <w:bCs/>
                <w:sz w:val="24"/>
              </w:rPr>
            </w:pPr>
            <w:r>
              <w:rPr>
                <w:rFonts w:hint="eastAsia"/>
                <w:b/>
                <w:bCs/>
                <w:sz w:val="24"/>
              </w:rPr>
              <w:t>见</w:t>
            </w:r>
          </w:p>
        </w:tc>
        <w:tc>
          <w:tcPr>
            <w:tcW w:w="8848" w:type="dxa"/>
            <w:gridSpan w:val="10"/>
            <w:noWrap w:val="0"/>
            <w:vAlign w:val="top"/>
          </w:tcPr>
          <w:p>
            <w:pPr>
              <w:pageBreakBefore w:val="0"/>
              <w:topLinePunct w:val="0"/>
              <w:bidi w:val="0"/>
              <w:outlineLvl w:val="9"/>
              <w:rPr>
                <w:rFonts w:hint="eastAsia"/>
                <w:sz w:val="24"/>
              </w:rPr>
            </w:pPr>
          </w:p>
          <w:p>
            <w:pPr>
              <w:pageBreakBefore w:val="0"/>
              <w:topLinePunct w:val="0"/>
              <w:bidi w:val="0"/>
              <w:outlineLvl w:val="9"/>
              <w:rPr>
                <w:rFonts w:hint="eastAsia"/>
                <w:sz w:val="24"/>
              </w:rPr>
            </w:pPr>
          </w:p>
          <w:p>
            <w:pPr>
              <w:pageBreakBefore w:val="0"/>
              <w:topLinePunct w:val="0"/>
              <w:bidi w:val="0"/>
              <w:outlineLvl w:val="9"/>
              <w:rPr>
                <w:rFonts w:hint="eastAsia"/>
                <w:sz w:val="24"/>
              </w:rPr>
            </w:pPr>
          </w:p>
          <w:p>
            <w:pPr>
              <w:pageBreakBefore w:val="0"/>
              <w:topLinePunct w:val="0"/>
              <w:bidi w:val="0"/>
              <w:outlineLvl w:val="9"/>
              <w:rPr>
                <w:rFonts w:hint="eastAsia"/>
                <w:sz w:val="24"/>
              </w:rPr>
            </w:pPr>
          </w:p>
          <w:p>
            <w:pPr>
              <w:pageBreakBefore w:val="0"/>
              <w:topLinePunct w:val="0"/>
              <w:bidi w:val="0"/>
              <w:outlineLvl w:val="9"/>
              <w:rPr>
                <w:rFonts w:hint="eastAsia"/>
                <w:sz w:val="24"/>
              </w:rPr>
            </w:pPr>
          </w:p>
          <w:p>
            <w:pPr>
              <w:pageBreakBefore w:val="0"/>
              <w:topLinePunct w:val="0"/>
              <w:bidi w:val="0"/>
              <w:outlineLvl w:val="9"/>
              <w:rPr>
                <w:rFonts w:hint="eastAsia"/>
                <w:sz w:val="24"/>
              </w:rPr>
            </w:pPr>
          </w:p>
          <w:p>
            <w:pPr>
              <w:pageBreakBefore w:val="0"/>
              <w:topLinePunct w:val="0"/>
              <w:bidi w:val="0"/>
              <w:outlineLvl w:val="9"/>
              <w:rPr>
                <w:rFonts w:hint="eastAsia"/>
                <w:sz w:val="24"/>
              </w:rPr>
            </w:pPr>
          </w:p>
          <w:p>
            <w:pPr>
              <w:pStyle w:val="15"/>
              <w:pageBreakBefore w:val="0"/>
              <w:wordWrap w:val="0"/>
              <w:topLinePunct w:val="0"/>
              <w:bidi w:val="0"/>
              <w:spacing w:line="560" w:lineRule="exact"/>
              <w:jc w:val="right"/>
              <w:outlineLvl w:val="9"/>
              <w:rPr>
                <w:rFonts w:ascii="宋体" w:hAnsi="宋体"/>
                <w:kern w:val="2"/>
                <w:sz w:val="21"/>
              </w:rPr>
            </w:pPr>
            <w:r>
              <w:rPr>
                <w:rFonts w:hint="eastAsia" w:ascii="宋体" w:hAnsi="宋体"/>
                <w:kern w:val="2"/>
                <w:sz w:val="21"/>
              </w:rPr>
              <w:t>公章：</w:t>
            </w:r>
            <w:r>
              <w:rPr>
                <w:rFonts w:ascii="宋体" w:hAnsi="宋体"/>
                <w:kern w:val="2"/>
                <w:sz w:val="21"/>
              </w:rPr>
              <w:t xml:space="preserve">   </w:t>
            </w:r>
            <w:r>
              <w:rPr>
                <w:rFonts w:hint="eastAsia" w:ascii="宋体" w:hAnsi="宋体"/>
                <w:kern w:val="2"/>
                <w:sz w:val="21"/>
              </w:rPr>
              <w:t xml:space="preserve"> </w:t>
            </w:r>
            <w:r>
              <w:rPr>
                <w:rFonts w:ascii="宋体" w:hAnsi="宋体"/>
                <w:kern w:val="2"/>
                <w:sz w:val="21"/>
              </w:rPr>
              <w:t xml:space="preserve"> </w:t>
            </w:r>
            <w:r>
              <w:rPr>
                <w:rFonts w:hint="eastAsia" w:ascii="宋体" w:hAnsi="宋体"/>
                <w:kern w:val="2"/>
                <w:sz w:val="21"/>
              </w:rPr>
              <w:t xml:space="preserve"> 签名：             </w:t>
            </w:r>
          </w:p>
          <w:p>
            <w:pPr>
              <w:pageBreakBefore w:val="0"/>
              <w:topLinePunct w:val="0"/>
              <w:bidi w:val="0"/>
              <w:jc w:val="right"/>
              <w:outlineLvl w:val="9"/>
              <w:rPr>
                <w:rFonts w:hint="eastAsia"/>
                <w:sz w:val="24"/>
              </w:rPr>
            </w:pPr>
            <w:r>
              <w:rPr>
                <w:rFonts w:hint="eastAsia"/>
                <w:sz w:val="24"/>
              </w:rPr>
              <w:t xml:space="preserve">  年     月     日</w:t>
            </w:r>
          </w:p>
        </w:tc>
      </w:tr>
    </w:tbl>
    <w:p>
      <w:pPr>
        <w:pageBreakBefore w:val="0"/>
        <w:topLinePunct w:val="0"/>
        <w:bidi w:val="0"/>
        <w:ind w:left="315"/>
        <w:outlineLvl w:val="9"/>
        <w:rPr>
          <w:rFonts w:hint="eastAsia"/>
          <w:sz w:val="24"/>
        </w:rPr>
      </w:pPr>
    </w:p>
    <w:p>
      <w:pPr>
        <w:pageBreakBefore w:val="0"/>
        <w:topLinePunct w:val="0"/>
        <w:bidi w:val="0"/>
        <w:outlineLvl w:val="9"/>
        <w:rPr>
          <w:sz w:val="24"/>
        </w:rPr>
      </w:pPr>
      <w:r>
        <w:rPr>
          <w:rFonts w:hint="eastAsia"/>
          <w:sz w:val="24"/>
        </w:rPr>
        <w:t>注：申请者需随申请表附上成绩单。</w:t>
      </w:r>
    </w:p>
    <w:p>
      <w:pPr>
        <w:pageBreakBefore w:val="0"/>
        <w:topLinePunct w:val="0"/>
        <w:bidi w:val="0"/>
        <w:outlineLvl w:val="9"/>
        <w:rPr>
          <w:sz w:val="24"/>
        </w:rPr>
      </w:pPr>
    </w:p>
    <w:p>
      <w:pPr>
        <w:pageBreakBefore w:val="0"/>
        <w:topLinePunct w:val="0"/>
        <w:bidi w:val="0"/>
        <w:outlineLvl w:val="9"/>
        <w:rPr>
          <w:rFonts w:hint="eastAsia"/>
          <w:sz w:val="24"/>
        </w:rPr>
      </w:pPr>
      <w:r>
        <w:rPr>
          <w:rFonts w:eastAsia="仿宋_GB2312"/>
          <w:sz w:val="30"/>
          <w:szCs w:val="30"/>
        </w:rPr>
        <w:br w:type="page"/>
      </w:r>
    </w:p>
    <w:p>
      <w:pPr>
        <w:pageBreakBefore w:val="0"/>
        <w:topLinePunct w:val="0"/>
        <w:bidi w:val="0"/>
        <w:jc w:val="center"/>
        <w:outlineLvl w:val="9"/>
        <w:rPr>
          <w:color w:val="FF0000"/>
          <w:sz w:val="24"/>
        </w:rPr>
      </w:pPr>
    </w:p>
    <w:p>
      <w:pPr>
        <w:pageBreakBefore w:val="0"/>
        <w:topLinePunct w:val="0"/>
        <w:bidi w:val="0"/>
        <w:jc w:val="both"/>
        <w:outlineLvl w:val="9"/>
        <w:rPr>
          <w:rFonts w:hint="eastAsia"/>
          <w:color w:val="FF0000"/>
          <w:sz w:val="24"/>
        </w:rPr>
      </w:pPr>
    </w:p>
    <w:p>
      <w:pPr>
        <w:pageBreakBefore w:val="0"/>
        <w:topLinePunct w:val="0"/>
        <w:bidi w:val="0"/>
        <w:jc w:val="center"/>
        <w:outlineLvl w:val="9"/>
        <w:rPr>
          <w:rFonts w:hint="eastAsia"/>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color w:val="FF0000"/>
          <w:sz w:val="24"/>
        </w:rPr>
      </w:pPr>
    </w:p>
    <w:p>
      <w:pPr>
        <w:pageBreakBefore w:val="0"/>
        <w:topLinePunct w:val="0"/>
        <w:bidi w:val="0"/>
        <w:jc w:val="center"/>
        <w:outlineLvl w:val="9"/>
        <w:rPr>
          <w:rFonts w:hint="eastAsia"/>
          <w:sz w:val="24"/>
        </w:rPr>
      </w:pPr>
    </w:p>
    <w:p>
      <w:pPr>
        <w:pageBreakBefore w:val="0"/>
        <w:topLinePunct w:val="0"/>
        <w:bidi w:val="0"/>
        <w:spacing w:before="156" w:beforeLines="50"/>
        <w:ind w:left="-735" w:leftChars="-3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eastAsia="仿宋_GB2312"/>
          <w:color w:val="000000"/>
          <w:kern w:val="0"/>
          <w:sz w:val="32"/>
          <w:szCs w:val="28"/>
        </w:rPr>
        <w:t>201</w:t>
      </w:r>
      <w:r>
        <w:rPr>
          <w:rFonts w:hint="eastAsia" w:eastAsia="仿宋_GB2312"/>
          <w:color w:val="000000"/>
          <w:kern w:val="0"/>
          <w:sz w:val="32"/>
          <w:szCs w:val="28"/>
        </w:rPr>
        <w:t>7</w:t>
      </w:r>
      <w:r>
        <w:rPr>
          <w:rFonts w:hint="eastAsia" w:ascii="仿宋_GB2312" w:eastAsia="仿宋_GB2312"/>
          <w:color w:val="000000"/>
          <w:kern w:val="0"/>
          <w:sz w:val="32"/>
          <w:szCs w:val="28"/>
        </w:rPr>
        <w:t>〕</w:t>
      </w:r>
      <w:r>
        <w:rPr>
          <w:rFonts w:ascii="仿宋_GB2312" w:eastAsia="仿宋_GB2312"/>
          <w:color w:val="000000"/>
          <w:kern w:val="0"/>
          <w:sz w:val="32"/>
          <w:szCs w:val="28"/>
        </w:rPr>
        <w:t>85</w:t>
      </w:r>
      <w:r>
        <w:rPr>
          <w:rFonts w:eastAsia="仿宋_GB2312"/>
          <w:color w:val="000000"/>
          <w:kern w:val="0"/>
          <w:sz w:val="32"/>
          <w:szCs w:val="28"/>
        </w:rPr>
        <w:t>号</w:t>
      </w:r>
    </w:p>
    <w:p>
      <w:pPr>
        <w:pageBreakBefore w:val="0"/>
        <w:topLinePunct w:val="0"/>
        <w:bidi w:val="0"/>
        <w:spacing w:line="4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pageBreakBefore w:val="0"/>
        <w:topLinePunct w:val="0"/>
        <w:bidi w:val="0"/>
        <w:spacing w:line="400" w:lineRule="exact"/>
        <w:outlineLvl w:val="9"/>
        <w:rPr>
          <w:rFonts w:ascii="黑体" w:eastAsia="黑体"/>
          <w:color w:val="FF0000"/>
          <w:sz w:val="28"/>
          <w:szCs w:val="28"/>
          <w:u w:val="thick"/>
        </w:rPr>
      </w:pPr>
    </w:p>
    <w:p>
      <w:pPr>
        <w:pageBreakBefore w:val="0"/>
        <w:topLinePunct w:val="0"/>
        <w:bidi w:val="0"/>
        <w:spacing w:line="360" w:lineRule="auto"/>
        <w:jc w:val="center"/>
        <w:outlineLvl w:val="9"/>
        <w:rPr>
          <w:rFonts w:hint="eastAsia" w:ascii="黑体" w:hAnsi="黑体" w:eastAsia="黑体" w:cs="黑体"/>
          <w:b/>
          <w:bCs/>
          <w:sz w:val="36"/>
          <w:szCs w:val="36"/>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bCs/>
          <w:sz w:val="36"/>
          <w:szCs w:val="36"/>
        </w:rPr>
      </w:pPr>
      <w:bookmarkStart w:id="5" w:name="_Toc1645"/>
      <w:r>
        <w:rPr>
          <w:rFonts w:hint="eastAsia" w:ascii="黑体" w:hAnsi="黑体" w:eastAsia="黑体" w:cs="黑体"/>
          <w:b/>
          <w:bCs/>
          <w:sz w:val="36"/>
          <w:szCs w:val="36"/>
        </w:rPr>
        <w:t>关于印发《上海电子信息职业技术学院学生转专业管理办法》的通知</w:t>
      </w:r>
      <w:bookmarkEnd w:id="5"/>
    </w:p>
    <w:p>
      <w:pPr>
        <w:pageBreakBefore w:val="0"/>
        <w:topLinePunct w:val="0"/>
        <w:bidi w:val="0"/>
        <w:spacing w:line="50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500" w:lineRule="exact"/>
        <w:ind w:firstLine="6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现将《上海电子信息职业技术学院学生转专业管理办法》发给你们，请结合本部门工作实际，认真研究执行。</w:t>
      </w:r>
    </w:p>
    <w:p>
      <w:pPr>
        <w:pageBreakBefore w:val="0"/>
        <w:topLinePunct w:val="0"/>
        <w:bidi w:val="0"/>
        <w:spacing w:line="500" w:lineRule="exact"/>
        <w:ind w:firstLine="660"/>
        <w:jc w:val="center"/>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附件：上海电子信息职业技术学院学生转专业管理办法         </w:t>
      </w:r>
    </w:p>
    <w:p>
      <w:pPr>
        <w:pageBreakBefore w:val="0"/>
        <w:topLinePunct w:val="0"/>
        <w:bidi w:val="0"/>
        <w:spacing w:line="500" w:lineRule="exact"/>
        <w:ind w:firstLine="66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00" w:lineRule="exact"/>
        <w:ind w:firstLine="66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00" w:lineRule="exact"/>
        <w:ind w:firstLine="660"/>
        <w:jc w:val="center"/>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firstLine="66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00" w:lineRule="exact"/>
        <w:ind w:firstLine="66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00" w:lineRule="exact"/>
        <w:ind w:firstLine="66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上海电子信息职业技术学院                  </w:t>
      </w:r>
    </w:p>
    <w:p>
      <w:pPr>
        <w:pageBreakBefore w:val="0"/>
        <w:topLinePunct w:val="0"/>
        <w:bidi w:val="0"/>
        <w:spacing w:line="500" w:lineRule="exact"/>
        <w:ind w:firstLine="66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2017 年 8 月 25日</w:t>
      </w:r>
    </w:p>
    <w:p>
      <w:pPr>
        <w:pageBreakBefore w:val="0"/>
        <w:topLinePunct w:val="0"/>
        <w:bidi w:val="0"/>
        <w:spacing w:after="312" w:afterLines="100" w:line="400" w:lineRule="exact"/>
        <w:jc w:val="center"/>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360" w:lineRule="auto"/>
        <w:jc w:val="both"/>
        <w:outlineLvl w:val="9"/>
        <w:rPr>
          <w:rFonts w:hint="eastAsia" w:ascii="黑体" w:hAnsi="黑体" w:eastAsia="黑体" w:cs="黑体"/>
          <w:b/>
          <w:bCs/>
          <w:sz w:val="36"/>
          <w:szCs w:val="36"/>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学生转专业管理办法</w:t>
      </w:r>
    </w:p>
    <w:p>
      <w:pPr>
        <w:pageBreakBefore w:val="0"/>
        <w:topLinePunct w:val="0"/>
        <w:autoSpaceDE w:val="0"/>
        <w:autoSpaceDN w:val="0"/>
        <w:bidi w:val="0"/>
        <w:adjustRightInd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zh-CN" w:eastAsia="zh-CN" w:bidi="ar-SA"/>
        </w:rPr>
        <w:t>为</w:t>
      </w:r>
      <w:r>
        <w:rPr>
          <w:rFonts w:hint="eastAsia" w:ascii="仿宋_GB2312" w:hAnsi="仿宋_GB2312" w:eastAsia="仿宋_GB2312" w:cs="仿宋_GB2312"/>
          <w:kern w:val="2"/>
          <w:sz w:val="28"/>
          <w:szCs w:val="28"/>
          <w:highlight w:val="none"/>
          <w:lang w:val="en-US" w:eastAsia="zh-CN" w:bidi="ar-SA"/>
        </w:rPr>
        <w:t>贯彻因材施教的原则，根据《学生学籍管理规定》，特制定本办法。</w:t>
      </w:r>
    </w:p>
    <w:p>
      <w:pPr>
        <w:pageBreakBefore w:val="0"/>
        <w:topLinePunct w:val="0"/>
        <w:autoSpaceDE w:val="0"/>
        <w:autoSpaceDN w:val="0"/>
        <w:bidi w:val="0"/>
        <w:adjustRightInd w:val="0"/>
        <w:spacing w:line="4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一、转专业基本原则</w:t>
      </w:r>
    </w:p>
    <w:p>
      <w:pPr>
        <w:pageBreakBefore w:val="0"/>
        <w:topLinePunct w:val="0"/>
        <w:autoSpaceDE w:val="0"/>
        <w:autoSpaceDN w:val="0"/>
        <w:bidi w:val="0"/>
        <w:adjustRightInd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1．坚持公开、公平与公正的原则。</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2．各专业的转专业计划数原则上每年不超过该专业当年招生人数的5%。</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二、转专业条件</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1．有下列情况之一者，可准许转专业：</w:t>
      </w:r>
    </w:p>
    <w:p>
      <w:pPr>
        <w:pageBreakBefore w:val="0"/>
        <w:tabs>
          <w:tab w:val="left" w:pos="945"/>
        </w:tabs>
        <w:topLinePunct w:val="0"/>
        <w:bidi w:val="0"/>
        <w:spacing w:line="400" w:lineRule="exact"/>
        <w:ind w:left="313"/>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（1）学生确有特长，转专业更能发挥其专长者；</w:t>
      </w:r>
    </w:p>
    <w:p>
      <w:pPr>
        <w:pageBreakBefore w:val="0"/>
        <w:tabs>
          <w:tab w:val="left" w:pos="945"/>
        </w:tabs>
        <w:topLinePunct w:val="0"/>
        <w:bidi w:val="0"/>
        <w:spacing w:line="400" w:lineRule="exact"/>
        <w:ind w:left="313"/>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（2）学生确有某种疾病或生理缺陷，经二级甲等以上医院检查证明，不能在原专业学习，但尚能在本校其它专业学习者；</w:t>
      </w:r>
    </w:p>
    <w:p>
      <w:pPr>
        <w:pageBreakBefore w:val="0"/>
        <w:tabs>
          <w:tab w:val="left" w:pos="945"/>
        </w:tabs>
        <w:topLinePunct w:val="0"/>
        <w:bidi w:val="0"/>
        <w:spacing w:line="400" w:lineRule="exact"/>
        <w:ind w:left="313"/>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（3）学校因专业停招、休学或保留学籍期满申请复学的学生、保留入学资格期满申请入学的学生，不转专业无法学习者。</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2．学生有下列情形之一者，不允许转专业：</w:t>
      </w:r>
    </w:p>
    <w:p>
      <w:pPr>
        <w:pageBreakBefore w:val="0"/>
        <w:topLinePunct w:val="0"/>
        <w:bidi w:val="0"/>
        <w:spacing w:line="400" w:lineRule="exact"/>
        <w:ind w:left="315"/>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（1）在校期间受过纪律处分者；</w:t>
      </w:r>
    </w:p>
    <w:p>
      <w:pPr>
        <w:pageBreakBefore w:val="0"/>
        <w:topLinePunct w:val="0"/>
        <w:bidi w:val="0"/>
        <w:spacing w:line="400" w:lineRule="exact"/>
        <w:ind w:left="315"/>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（2）已有转专业或转学经历者；</w:t>
      </w:r>
    </w:p>
    <w:p>
      <w:pPr>
        <w:pageBreakBefore w:val="0"/>
        <w:topLinePunct w:val="0"/>
        <w:bidi w:val="0"/>
        <w:spacing w:line="400" w:lineRule="exact"/>
        <w:ind w:left="315"/>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（3）贯通培养的学生原则上不得转专业；</w:t>
      </w:r>
    </w:p>
    <w:p>
      <w:pPr>
        <w:pageBreakBefore w:val="0"/>
        <w:topLinePunct w:val="0"/>
        <w:bidi w:val="0"/>
        <w:spacing w:line="400" w:lineRule="exact"/>
        <w:ind w:left="315"/>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（4）艺术类和非艺术类专业不得互转。</w:t>
      </w:r>
    </w:p>
    <w:p>
      <w:pPr>
        <w:pageBreakBefore w:val="0"/>
        <w:topLinePunct w:val="0"/>
        <w:bidi w:val="0"/>
        <w:spacing w:line="400" w:lineRule="exact"/>
        <w:ind w:left="315"/>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3．中德合作专业可以互转，原则上与其他专业不可以互转。</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三、转专业程序</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1．每年10月份，教务处发布转专业工作通知；</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2.二级学院上报转专业实施细则（含各专业拟转入人数和转入要求），教务处审核汇总后公示；</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3.</w:t>
      </w:r>
      <w:r>
        <w:rPr>
          <w:rFonts w:hint="eastAsia" w:ascii="仿宋_GB2312" w:hAnsi="仿宋_GB2312" w:eastAsia="仿宋_GB2312" w:cs="仿宋_GB2312"/>
          <w:kern w:val="2"/>
          <w:sz w:val="28"/>
          <w:szCs w:val="28"/>
          <w:highlight w:val="none"/>
          <w:lang w:val="zh-CN" w:eastAsia="zh-CN" w:bidi="ar-SA"/>
        </w:rPr>
        <w:t>学生应在第一学年第一学期第十三周向所在二级学院提出转专业申请，提交《</w:t>
      </w:r>
      <w:r>
        <w:rPr>
          <w:rFonts w:hint="eastAsia" w:ascii="仿宋_GB2312" w:hAnsi="仿宋_GB2312" w:eastAsia="仿宋_GB2312" w:cs="仿宋_GB2312"/>
          <w:kern w:val="2"/>
          <w:sz w:val="28"/>
          <w:szCs w:val="28"/>
          <w:highlight w:val="none"/>
          <w:lang w:val="en-US" w:eastAsia="zh-CN" w:bidi="ar-SA"/>
        </w:rPr>
        <w:t>上海电子信息职业技术学院</w:t>
      </w:r>
      <w:r>
        <w:rPr>
          <w:rFonts w:hint="eastAsia" w:ascii="仿宋_GB2312" w:hAnsi="仿宋_GB2312" w:eastAsia="仿宋_GB2312" w:cs="仿宋_GB2312"/>
          <w:kern w:val="2"/>
          <w:sz w:val="28"/>
          <w:szCs w:val="28"/>
          <w:highlight w:val="none"/>
          <w:lang w:val="zh-CN" w:eastAsia="zh-CN" w:bidi="ar-SA"/>
        </w:rPr>
        <w:t>学生转专业申请表》（见附件，以下简称为“《转专业申请表》”）和符合转专业条件的相关证明材料；</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4.学生所在二级学院应在第一学年第一学期第十四周前决定是否同意该生转专业，并由所在二级学院负责人在《转专业申请表》上签署意见，加盖公章后返还学生本人；</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5.学生应在第一学年第一学期第十五周前将所在二级学院签署同意转出的转专业审批表提交拟转入二级学院审批；</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6.拟转入二级学院应对转专业学生进行拟转入专业考核，考核形式采取笔试、面试等多种灵活方式。在第一学年第一学期第</w:t>
      </w:r>
      <w:r>
        <w:rPr>
          <w:rFonts w:hint="eastAsia" w:ascii="仿宋_GB2312" w:hAnsi="仿宋_GB2312" w:eastAsia="仿宋_GB2312" w:cs="仿宋_GB2312"/>
          <w:kern w:val="2"/>
          <w:sz w:val="28"/>
          <w:szCs w:val="28"/>
          <w:highlight w:val="none"/>
          <w:lang w:val="zh-CN" w:eastAsia="zh-CN" w:bidi="ar-SA"/>
        </w:rPr>
        <w:t>十六</w:t>
      </w:r>
      <w:r>
        <w:rPr>
          <w:rFonts w:hint="eastAsia" w:ascii="仿宋_GB2312" w:hAnsi="仿宋_GB2312" w:eastAsia="仿宋_GB2312" w:cs="仿宋_GB2312"/>
          <w:kern w:val="2"/>
          <w:sz w:val="28"/>
          <w:szCs w:val="28"/>
          <w:highlight w:val="none"/>
          <w:lang w:val="en-US" w:eastAsia="zh-CN" w:bidi="ar-SA"/>
        </w:rPr>
        <w:t>周决定是否同意学生转入，并由转入二级学院负责人在《转专业申请表》上签署意见，加盖公章；</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7.各二级学院在第一学年第一学期第十七周前将同意转入学生的《转专业申请表》报送教务处。</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8.教务处审核后将拟转专业学生名单公示；公示无异议的，公布转专业结果。</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四、转专业后的学业要求</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1．经审批同意转专业的学生，原则上进入转入专业的</w:t>
      </w:r>
      <w:r>
        <w:rPr>
          <w:rFonts w:hint="eastAsia" w:ascii="仿宋_GB2312" w:hAnsi="仿宋_GB2312" w:eastAsia="仿宋_GB2312" w:cs="仿宋_GB2312"/>
          <w:kern w:val="2"/>
          <w:sz w:val="28"/>
          <w:szCs w:val="28"/>
          <w:highlight w:val="none"/>
          <w:lang w:val="zh-CN" w:eastAsia="zh-CN" w:bidi="ar-SA"/>
        </w:rPr>
        <w:t>第一学年第二学期</w:t>
      </w:r>
      <w:r>
        <w:rPr>
          <w:rFonts w:hint="eastAsia" w:ascii="仿宋_GB2312" w:hAnsi="仿宋_GB2312" w:eastAsia="仿宋_GB2312" w:cs="仿宋_GB2312"/>
          <w:kern w:val="2"/>
          <w:sz w:val="28"/>
          <w:szCs w:val="28"/>
          <w:highlight w:val="none"/>
          <w:lang w:val="en-US" w:eastAsia="zh-CN" w:bidi="ar-SA"/>
        </w:rPr>
        <w:t>学习。</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2．转专业后的课程衔接：</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（1）通识教育课程学分可抵冲相应课程学分；</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（2）相同专业课程学分可抵冲相应课程学分；</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（3）除（1）、（2）外，二级学院还应做好转入学生未修读课程的学业指导工作。</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3．学生转专业后须按照转入专业人才培养方案修读课程、完成学业。</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六、附则</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1．已确定转专业的学生必须参加当学期原专业的期末考试，若出现考试作弊、违纪、旷考等情况，取消其转专业资格。</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2．转专业后的学费按转入专业的标准缴纳。</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3．本办法自颁布之日起实施，由教务处负责解释。</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400" w:lineRule="exact"/>
        <w:ind w:firstLine="560" w:firstLineChars="200"/>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附件：上海电子信息职业技术学院学生转专业申请表</w:t>
      </w:r>
    </w:p>
    <w:p>
      <w:pPr>
        <w:pageBreakBefore w:val="0"/>
        <w:topLinePunct w:val="0"/>
        <w:bidi w:val="0"/>
        <w:spacing w:line="400" w:lineRule="exact"/>
        <w:outlineLvl w:val="9"/>
        <w:rPr>
          <w:rFonts w:hint="eastAsia" w:ascii="宋体" w:hAnsi="宋体"/>
          <w:snapToGrid w:val="0"/>
          <w:kern w:val="0"/>
          <w:szCs w:val="21"/>
        </w:rPr>
      </w:pPr>
      <w:r>
        <w:rPr>
          <w:rFonts w:hint="eastAsia" w:ascii="仿宋_GB2312" w:hAnsi="仿宋_GB2312" w:eastAsia="仿宋_GB2312" w:cs="仿宋_GB2312"/>
          <w:kern w:val="2"/>
          <w:sz w:val="28"/>
          <w:szCs w:val="28"/>
          <w:highlight w:val="none"/>
          <w:lang w:val="en-US" w:eastAsia="zh-CN" w:bidi="ar-SA"/>
        </w:rPr>
        <w:br w:type="page"/>
      </w:r>
      <w:r>
        <w:rPr>
          <w:rFonts w:hint="eastAsia" w:ascii="宋体" w:hAnsi="宋体"/>
          <w:snapToGrid w:val="0"/>
          <w:kern w:val="0"/>
          <w:szCs w:val="21"/>
        </w:rPr>
        <w:t>附件：</w:t>
      </w:r>
    </w:p>
    <w:p>
      <w:pPr>
        <w:pageBreakBefore w:val="0"/>
        <w:topLinePunct w:val="0"/>
        <w:bidi w:val="0"/>
        <w:spacing w:line="520" w:lineRule="exact"/>
        <w:jc w:val="center"/>
        <w:outlineLvl w:val="9"/>
        <w:rPr>
          <w:rFonts w:hint="eastAsia" w:ascii="宋体" w:hAnsi="宋体"/>
          <w:b/>
          <w:bCs/>
          <w:sz w:val="32"/>
          <w:szCs w:val="32"/>
        </w:rPr>
      </w:pPr>
    </w:p>
    <w:p>
      <w:pPr>
        <w:pageBreakBefore w:val="0"/>
        <w:topLinePunct w:val="0"/>
        <w:bidi w:val="0"/>
        <w:spacing w:line="520" w:lineRule="exact"/>
        <w:jc w:val="center"/>
        <w:outlineLvl w:val="9"/>
        <w:rPr>
          <w:rFonts w:hint="eastAsia" w:ascii="宋体" w:hAnsi="宋体"/>
          <w:b/>
          <w:bCs/>
          <w:sz w:val="32"/>
          <w:szCs w:val="32"/>
          <w:u w:val="single"/>
        </w:rPr>
      </w:pPr>
      <w:r>
        <w:rPr>
          <w:rFonts w:hint="eastAsia" w:ascii="宋体" w:hAnsi="宋体"/>
          <w:b/>
          <w:bCs/>
          <w:sz w:val="32"/>
          <w:szCs w:val="32"/>
        </w:rPr>
        <w:t>上海电子信息职业技术学院</w:t>
      </w:r>
    </w:p>
    <w:p>
      <w:pPr>
        <w:pageBreakBefore w:val="0"/>
        <w:tabs>
          <w:tab w:val="left" w:pos="7875"/>
        </w:tabs>
        <w:topLinePunct w:val="0"/>
        <w:bidi w:val="0"/>
        <w:spacing w:line="520" w:lineRule="exact"/>
        <w:jc w:val="center"/>
        <w:outlineLvl w:val="9"/>
        <w:rPr>
          <w:rFonts w:hint="eastAsia"/>
          <w:b/>
          <w:bCs/>
          <w:sz w:val="32"/>
        </w:rPr>
      </w:pPr>
      <w:r>
        <w:rPr>
          <w:rFonts w:hint="eastAsia"/>
          <w:b/>
          <w:bCs/>
          <w:sz w:val="32"/>
        </w:rPr>
        <w:t>学生转专业申请表</w:t>
      </w:r>
    </w:p>
    <w:p>
      <w:pPr>
        <w:pageBreakBefore w:val="0"/>
        <w:tabs>
          <w:tab w:val="left" w:pos="7875"/>
        </w:tabs>
        <w:topLinePunct w:val="0"/>
        <w:bidi w:val="0"/>
        <w:spacing w:line="520" w:lineRule="exact"/>
        <w:outlineLvl w:val="9"/>
        <w:rPr>
          <w:rFonts w:ascii="宋体" w:hAnsi="宋体"/>
          <w:b/>
          <w:sz w:val="24"/>
        </w:rPr>
      </w:pPr>
      <w:r>
        <w:rPr>
          <w:rFonts w:hint="eastAsia" w:ascii="宋体" w:hAnsi="宋体"/>
          <w:b/>
          <w:bCs/>
          <w:sz w:val="24"/>
        </w:rPr>
        <w:t xml:space="preserve">二级学院：                          </w:t>
      </w:r>
      <w:r>
        <w:rPr>
          <w:rFonts w:hint="eastAsia" w:ascii="宋体" w:hAnsi="宋体"/>
          <w:sz w:val="24"/>
        </w:rPr>
        <w:t xml:space="preserve"> 20 </w:t>
      </w:r>
      <w:r>
        <w:rPr>
          <w:rFonts w:hint="eastAsia" w:ascii="宋体" w:hAnsi="宋体"/>
          <w:b/>
          <w:bCs/>
          <w:sz w:val="24"/>
        </w:rPr>
        <w:t xml:space="preserve">    </w:t>
      </w:r>
      <w:r>
        <w:rPr>
          <w:rFonts w:hint="eastAsia" w:ascii="宋体" w:hAnsi="宋体"/>
          <w:sz w:val="24"/>
        </w:rPr>
        <w:t xml:space="preserve">～ 20 </w:t>
      </w:r>
      <w:r>
        <w:rPr>
          <w:rFonts w:hint="eastAsia" w:ascii="宋体" w:hAnsi="宋体"/>
          <w:b/>
          <w:bCs/>
          <w:sz w:val="24"/>
        </w:rPr>
        <w:t xml:space="preserve">    </w:t>
      </w:r>
      <w:r>
        <w:rPr>
          <w:rFonts w:hint="eastAsia" w:ascii="宋体" w:hAnsi="宋体"/>
          <w:b/>
          <w:sz w:val="24"/>
        </w:rPr>
        <w:t>学年  第   学期</w:t>
      </w:r>
    </w:p>
    <w:tbl>
      <w:tblPr>
        <w:tblStyle w:val="37"/>
        <w:tblW w:w="96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1260"/>
        <w:gridCol w:w="794"/>
        <w:gridCol w:w="826"/>
        <w:gridCol w:w="720"/>
        <w:gridCol w:w="1440"/>
        <w:gridCol w:w="540"/>
        <w:gridCol w:w="794"/>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jc w:val="center"/>
        </w:trPr>
        <w:tc>
          <w:tcPr>
            <w:tcW w:w="1012" w:type="dxa"/>
            <w:noWrap w:val="0"/>
            <w:vAlign w:val="center"/>
          </w:tcPr>
          <w:p>
            <w:pPr>
              <w:pageBreakBefore w:val="0"/>
              <w:topLinePunct w:val="0"/>
              <w:bidi w:val="0"/>
              <w:jc w:val="center"/>
              <w:outlineLvl w:val="9"/>
              <w:rPr>
                <w:rFonts w:hint="eastAsia"/>
                <w:b/>
                <w:bCs/>
                <w:szCs w:val="21"/>
              </w:rPr>
            </w:pPr>
            <w:r>
              <w:rPr>
                <w:rFonts w:hint="eastAsia"/>
                <w:b/>
                <w:bCs/>
                <w:szCs w:val="21"/>
              </w:rPr>
              <w:t>姓名</w:t>
            </w:r>
          </w:p>
        </w:tc>
        <w:tc>
          <w:tcPr>
            <w:tcW w:w="1260" w:type="dxa"/>
            <w:noWrap w:val="0"/>
            <w:vAlign w:val="center"/>
          </w:tcPr>
          <w:p>
            <w:pPr>
              <w:pageBreakBefore w:val="0"/>
              <w:topLinePunct w:val="0"/>
              <w:bidi w:val="0"/>
              <w:jc w:val="center"/>
              <w:outlineLvl w:val="9"/>
              <w:rPr>
                <w:rFonts w:hint="eastAsia"/>
                <w:b/>
                <w:bCs/>
                <w:szCs w:val="21"/>
              </w:rPr>
            </w:pPr>
          </w:p>
        </w:tc>
        <w:tc>
          <w:tcPr>
            <w:tcW w:w="794" w:type="dxa"/>
            <w:noWrap w:val="0"/>
            <w:vAlign w:val="center"/>
          </w:tcPr>
          <w:p>
            <w:pPr>
              <w:pageBreakBefore w:val="0"/>
              <w:topLinePunct w:val="0"/>
              <w:bidi w:val="0"/>
              <w:jc w:val="center"/>
              <w:outlineLvl w:val="9"/>
              <w:rPr>
                <w:rFonts w:hint="eastAsia"/>
                <w:b/>
                <w:bCs/>
                <w:szCs w:val="21"/>
              </w:rPr>
            </w:pPr>
            <w:r>
              <w:rPr>
                <w:rFonts w:hint="eastAsia"/>
                <w:b/>
                <w:bCs/>
                <w:szCs w:val="21"/>
              </w:rPr>
              <w:t>性别</w:t>
            </w:r>
          </w:p>
        </w:tc>
        <w:tc>
          <w:tcPr>
            <w:tcW w:w="826" w:type="dxa"/>
            <w:noWrap w:val="0"/>
            <w:vAlign w:val="center"/>
          </w:tcPr>
          <w:p>
            <w:pPr>
              <w:pageBreakBefore w:val="0"/>
              <w:topLinePunct w:val="0"/>
              <w:bidi w:val="0"/>
              <w:jc w:val="center"/>
              <w:outlineLvl w:val="9"/>
              <w:rPr>
                <w:rFonts w:hint="eastAsia"/>
                <w:b/>
                <w:bCs/>
                <w:szCs w:val="21"/>
              </w:rPr>
            </w:pPr>
          </w:p>
        </w:tc>
        <w:tc>
          <w:tcPr>
            <w:tcW w:w="720" w:type="dxa"/>
            <w:noWrap w:val="0"/>
            <w:vAlign w:val="center"/>
          </w:tcPr>
          <w:p>
            <w:pPr>
              <w:pageBreakBefore w:val="0"/>
              <w:topLinePunct w:val="0"/>
              <w:bidi w:val="0"/>
              <w:jc w:val="center"/>
              <w:outlineLvl w:val="9"/>
              <w:rPr>
                <w:rFonts w:hint="eastAsia"/>
                <w:b/>
                <w:bCs/>
                <w:szCs w:val="21"/>
              </w:rPr>
            </w:pPr>
            <w:r>
              <w:rPr>
                <w:rFonts w:hint="eastAsia"/>
                <w:b/>
                <w:bCs/>
                <w:szCs w:val="21"/>
              </w:rPr>
              <w:t>班级</w:t>
            </w:r>
          </w:p>
        </w:tc>
        <w:tc>
          <w:tcPr>
            <w:tcW w:w="1980" w:type="dxa"/>
            <w:gridSpan w:val="2"/>
            <w:noWrap w:val="0"/>
            <w:vAlign w:val="center"/>
          </w:tcPr>
          <w:p>
            <w:pPr>
              <w:pageBreakBefore w:val="0"/>
              <w:topLinePunct w:val="0"/>
              <w:bidi w:val="0"/>
              <w:jc w:val="center"/>
              <w:outlineLvl w:val="9"/>
              <w:rPr>
                <w:rFonts w:hint="eastAsia"/>
                <w:b/>
                <w:bCs/>
                <w:szCs w:val="21"/>
              </w:rPr>
            </w:pPr>
          </w:p>
        </w:tc>
        <w:tc>
          <w:tcPr>
            <w:tcW w:w="794" w:type="dxa"/>
            <w:noWrap w:val="0"/>
            <w:vAlign w:val="center"/>
          </w:tcPr>
          <w:p>
            <w:pPr>
              <w:pageBreakBefore w:val="0"/>
              <w:topLinePunct w:val="0"/>
              <w:bidi w:val="0"/>
              <w:jc w:val="center"/>
              <w:outlineLvl w:val="9"/>
              <w:rPr>
                <w:rFonts w:hint="eastAsia"/>
                <w:b/>
                <w:bCs/>
                <w:szCs w:val="21"/>
              </w:rPr>
            </w:pPr>
            <w:r>
              <w:rPr>
                <w:rFonts w:hint="eastAsia"/>
                <w:b/>
                <w:bCs/>
                <w:szCs w:val="21"/>
              </w:rPr>
              <w:t>学号</w:t>
            </w:r>
          </w:p>
        </w:tc>
        <w:tc>
          <w:tcPr>
            <w:tcW w:w="2268" w:type="dxa"/>
            <w:noWrap w:val="0"/>
            <w:vAlign w:val="center"/>
          </w:tcPr>
          <w:p>
            <w:pPr>
              <w:pageBreakBefore w:val="0"/>
              <w:topLinePunct w:val="0"/>
              <w:bidi w:val="0"/>
              <w:jc w:val="center"/>
              <w:outlineLvl w:val="9"/>
              <w:rPr>
                <w:rFonts w:hint="eastAsi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1012" w:type="dxa"/>
            <w:noWrap w:val="0"/>
            <w:vAlign w:val="center"/>
          </w:tcPr>
          <w:p>
            <w:pPr>
              <w:pageBreakBefore w:val="0"/>
              <w:topLinePunct w:val="0"/>
              <w:bidi w:val="0"/>
              <w:jc w:val="center"/>
              <w:outlineLvl w:val="9"/>
              <w:rPr>
                <w:rFonts w:hint="eastAsia"/>
                <w:b/>
                <w:bCs/>
                <w:szCs w:val="21"/>
              </w:rPr>
            </w:pPr>
            <w:r>
              <w:rPr>
                <w:rFonts w:hint="eastAsia"/>
                <w:b/>
                <w:bCs/>
                <w:szCs w:val="21"/>
              </w:rPr>
              <w:t>原专业</w:t>
            </w:r>
          </w:p>
        </w:tc>
        <w:tc>
          <w:tcPr>
            <w:tcW w:w="3600" w:type="dxa"/>
            <w:gridSpan w:val="4"/>
            <w:noWrap w:val="0"/>
            <w:vAlign w:val="top"/>
          </w:tcPr>
          <w:p>
            <w:pPr>
              <w:pageBreakBefore w:val="0"/>
              <w:topLinePunct w:val="0"/>
              <w:bidi w:val="0"/>
              <w:outlineLvl w:val="9"/>
              <w:rPr>
                <w:rFonts w:hint="eastAsia"/>
                <w:b/>
                <w:bCs/>
                <w:szCs w:val="21"/>
              </w:rPr>
            </w:pPr>
          </w:p>
        </w:tc>
        <w:tc>
          <w:tcPr>
            <w:tcW w:w="1440" w:type="dxa"/>
            <w:noWrap w:val="0"/>
            <w:vAlign w:val="center"/>
          </w:tcPr>
          <w:p>
            <w:pPr>
              <w:pageBreakBefore w:val="0"/>
              <w:topLinePunct w:val="0"/>
              <w:bidi w:val="0"/>
              <w:jc w:val="center"/>
              <w:outlineLvl w:val="9"/>
              <w:rPr>
                <w:rFonts w:hint="eastAsia"/>
                <w:b/>
                <w:bCs/>
                <w:szCs w:val="21"/>
              </w:rPr>
            </w:pPr>
            <w:r>
              <w:rPr>
                <w:rFonts w:hint="eastAsia"/>
                <w:b/>
                <w:bCs/>
                <w:szCs w:val="21"/>
              </w:rPr>
              <w:t>转入专业</w:t>
            </w:r>
          </w:p>
        </w:tc>
        <w:tc>
          <w:tcPr>
            <w:tcW w:w="3602" w:type="dxa"/>
            <w:gridSpan w:val="3"/>
            <w:noWrap w:val="0"/>
            <w:vAlign w:val="top"/>
          </w:tcPr>
          <w:p>
            <w:pPr>
              <w:pageBreakBefore w:val="0"/>
              <w:topLinePunct w:val="0"/>
              <w:bidi w:val="0"/>
              <w:outlineLvl w:val="9"/>
              <w:rPr>
                <w:rFonts w:hint="eastAsia"/>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jc w:val="center"/>
        </w:trPr>
        <w:tc>
          <w:tcPr>
            <w:tcW w:w="1012" w:type="dxa"/>
            <w:noWrap w:val="0"/>
            <w:vAlign w:val="center"/>
          </w:tcPr>
          <w:p>
            <w:pPr>
              <w:pageBreakBefore w:val="0"/>
              <w:topLinePunct w:val="0"/>
              <w:bidi w:val="0"/>
              <w:jc w:val="center"/>
              <w:outlineLvl w:val="9"/>
              <w:rPr>
                <w:rFonts w:hint="eastAsia" w:ascii="宋体" w:hAnsi="宋体"/>
                <w:b/>
                <w:bCs/>
                <w:szCs w:val="21"/>
              </w:rPr>
            </w:pPr>
            <w:r>
              <w:rPr>
                <w:rFonts w:hint="eastAsia" w:ascii="宋体" w:hAnsi="宋体"/>
                <w:b/>
                <w:bCs/>
                <w:szCs w:val="21"/>
              </w:rPr>
              <w:t>申</w:t>
            </w:r>
          </w:p>
          <w:p>
            <w:pPr>
              <w:pageBreakBefore w:val="0"/>
              <w:topLinePunct w:val="0"/>
              <w:bidi w:val="0"/>
              <w:jc w:val="center"/>
              <w:outlineLvl w:val="9"/>
              <w:rPr>
                <w:rFonts w:hint="eastAsia" w:ascii="宋体" w:hAnsi="宋体"/>
                <w:b/>
                <w:bCs/>
                <w:szCs w:val="21"/>
              </w:rPr>
            </w:pPr>
            <w:r>
              <w:rPr>
                <w:rFonts w:hint="eastAsia" w:ascii="宋体" w:hAnsi="宋体"/>
                <w:b/>
                <w:bCs/>
                <w:szCs w:val="21"/>
              </w:rPr>
              <w:t>请</w:t>
            </w:r>
          </w:p>
          <w:p>
            <w:pPr>
              <w:pageBreakBefore w:val="0"/>
              <w:topLinePunct w:val="0"/>
              <w:bidi w:val="0"/>
              <w:jc w:val="center"/>
              <w:outlineLvl w:val="9"/>
              <w:rPr>
                <w:rFonts w:hint="eastAsia" w:ascii="宋体" w:hAnsi="宋体"/>
                <w:b/>
                <w:bCs/>
                <w:szCs w:val="21"/>
              </w:rPr>
            </w:pPr>
            <w:r>
              <w:rPr>
                <w:rFonts w:hint="eastAsia" w:ascii="宋体" w:hAnsi="宋体"/>
                <w:b/>
                <w:bCs/>
                <w:szCs w:val="21"/>
              </w:rPr>
              <w:t>理</w:t>
            </w:r>
          </w:p>
          <w:p>
            <w:pPr>
              <w:pageBreakBefore w:val="0"/>
              <w:topLinePunct w:val="0"/>
              <w:bidi w:val="0"/>
              <w:jc w:val="center"/>
              <w:outlineLvl w:val="9"/>
              <w:rPr>
                <w:rFonts w:hint="eastAsia" w:ascii="宋体" w:hAnsi="宋体"/>
                <w:b/>
                <w:bCs/>
                <w:szCs w:val="21"/>
              </w:rPr>
            </w:pPr>
            <w:r>
              <w:rPr>
                <w:rFonts w:hint="eastAsia" w:ascii="宋体" w:hAnsi="宋体"/>
                <w:b/>
                <w:bCs/>
                <w:szCs w:val="21"/>
              </w:rPr>
              <w:t>由</w:t>
            </w:r>
          </w:p>
        </w:tc>
        <w:tc>
          <w:tcPr>
            <w:tcW w:w="8642" w:type="dxa"/>
            <w:gridSpan w:val="8"/>
            <w:noWrap w:val="0"/>
            <w:vAlign w:val="top"/>
          </w:tcPr>
          <w:p>
            <w:pPr>
              <w:pStyle w:val="15"/>
              <w:pageBreakBefore w:val="0"/>
              <w:topLinePunct w:val="0"/>
              <w:bidi w:val="0"/>
              <w:outlineLvl w:val="9"/>
              <w:rPr>
                <w:rFonts w:hint="eastAsia" w:ascii="宋体" w:hAnsi="宋体"/>
                <w:kern w:val="2"/>
                <w:sz w:val="21"/>
                <w:szCs w:val="21"/>
              </w:rPr>
            </w:pPr>
          </w:p>
          <w:p>
            <w:pPr>
              <w:pStyle w:val="15"/>
              <w:pageBreakBefore w:val="0"/>
              <w:topLinePunct w:val="0"/>
              <w:bidi w:val="0"/>
              <w:outlineLvl w:val="9"/>
              <w:rPr>
                <w:rFonts w:ascii="宋体" w:hAnsi="宋体"/>
                <w:kern w:val="2"/>
                <w:sz w:val="21"/>
                <w:szCs w:val="21"/>
              </w:rPr>
            </w:pPr>
            <w:r>
              <w:rPr>
                <w:rFonts w:hint="eastAsia" w:ascii="宋体" w:hAnsi="宋体"/>
                <w:kern w:val="2"/>
                <w:sz w:val="21"/>
                <w:szCs w:val="21"/>
              </w:rPr>
              <w:t>本人符合“转专业对象”要求，并符合“转专业条件”第____条规定。</w:t>
            </w:r>
          </w:p>
          <w:p>
            <w:pPr>
              <w:pStyle w:val="15"/>
              <w:pageBreakBefore w:val="0"/>
              <w:topLinePunct w:val="0"/>
              <w:bidi w:val="0"/>
              <w:outlineLvl w:val="9"/>
              <w:rPr>
                <w:rFonts w:hint="eastAsia" w:ascii="宋体" w:hAnsi="宋体"/>
                <w:kern w:val="2"/>
                <w:sz w:val="21"/>
                <w:szCs w:val="21"/>
              </w:rPr>
            </w:pPr>
          </w:p>
          <w:p>
            <w:pPr>
              <w:pStyle w:val="15"/>
              <w:pageBreakBefore w:val="0"/>
              <w:topLinePunct w:val="0"/>
              <w:bidi w:val="0"/>
              <w:outlineLvl w:val="9"/>
              <w:rPr>
                <w:rFonts w:hint="eastAsia" w:ascii="宋体" w:hAnsi="宋体"/>
                <w:kern w:val="2"/>
                <w:sz w:val="21"/>
                <w:szCs w:val="21"/>
              </w:rPr>
            </w:pPr>
            <w:r>
              <w:rPr>
                <w:rFonts w:hint="eastAsia" w:ascii="宋体" w:hAnsi="宋体"/>
                <w:kern w:val="2"/>
                <w:sz w:val="21"/>
                <w:szCs w:val="21"/>
              </w:rPr>
              <w:t>注：详细理由请另附说明。</w:t>
            </w:r>
          </w:p>
          <w:p>
            <w:pPr>
              <w:pStyle w:val="15"/>
              <w:pageBreakBefore w:val="0"/>
              <w:topLinePunct w:val="0"/>
              <w:bidi w:val="0"/>
              <w:spacing w:line="360" w:lineRule="exact"/>
              <w:outlineLvl w:val="9"/>
              <w:rPr>
                <w:rFonts w:hint="eastAsia" w:ascii="宋体" w:hAnsi="宋体"/>
                <w:kern w:val="2"/>
                <w:sz w:val="21"/>
                <w:szCs w:val="21"/>
              </w:rPr>
            </w:pPr>
          </w:p>
          <w:p>
            <w:pPr>
              <w:pageBreakBefore w:val="0"/>
              <w:wordWrap w:val="0"/>
              <w:topLinePunct w:val="0"/>
              <w:bidi w:val="0"/>
              <w:jc w:val="right"/>
              <w:outlineLvl w:val="9"/>
              <w:rPr>
                <w:rFonts w:hint="eastAsia" w:ascii="宋体" w:hAnsi="宋体"/>
                <w:szCs w:val="21"/>
              </w:rPr>
            </w:pPr>
            <w:r>
              <w:rPr>
                <w:rFonts w:hint="eastAsia" w:ascii="宋体" w:hAnsi="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jc w:val="center"/>
        </w:trPr>
        <w:tc>
          <w:tcPr>
            <w:tcW w:w="1012" w:type="dxa"/>
            <w:noWrap w:val="0"/>
            <w:vAlign w:val="center"/>
          </w:tcPr>
          <w:p>
            <w:pPr>
              <w:pageBreakBefore w:val="0"/>
              <w:topLinePunct w:val="0"/>
              <w:bidi w:val="0"/>
              <w:jc w:val="center"/>
              <w:outlineLvl w:val="9"/>
              <w:rPr>
                <w:rFonts w:hint="eastAsia" w:ascii="宋体" w:hAnsi="宋体"/>
                <w:b/>
                <w:bCs/>
                <w:szCs w:val="21"/>
              </w:rPr>
            </w:pPr>
            <w:r>
              <w:rPr>
                <w:rFonts w:hint="eastAsia" w:ascii="宋体" w:hAnsi="宋体"/>
                <w:b/>
                <w:bCs/>
                <w:szCs w:val="21"/>
              </w:rPr>
              <w:t>所</w:t>
            </w:r>
          </w:p>
          <w:p>
            <w:pPr>
              <w:pageBreakBefore w:val="0"/>
              <w:topLinePunct w:val="0"/>
              <w:bidi w:val="0"/>
              <w:jc w:val="center"/>
              <w:outlineLvl w:val="9"/>
              <w:rPr>
                <w:rFonts w:hint="eastAsia" w:ascii="宋体" w:hAnsi="宋体"/>
                <w:b/>
                <w:bCs/>
                <w:szCs w:val="21"/>
              </w:rPr>
            </w:pPr>
            <w:r>
              <w:rPr>
                <w:rFonts w:hint="eastAsia" w:ascii="宋体" w:hAnsi="宋体"/>
                <w:b/>
                <w:bCs/>
                <w:szCs w:val="21"/>
              </w:rPr>
              <w:t>在</w:t>
            </w:r>
          </w:p>
          <w:p>
            <w:pPr>
              <w:pageBreakBefore w:val="0"/>
              <w:topLinePunct w:val="0"/>
              <w:bidi w:val="0"/>
              <w:jc w:val="center"/>
              <w:outlineLvl w:val="9"/>
              <w:rPr>
                <w:rFonts w:hint="eastAsia" w:ascii="宋体" w:hAnsi="宋体"/>
                <w:b/>
                <w:bCs/>
                <w:szCs w:val="21"/>
              </w:rPr>
            </w:pPr>
            <w:r>
              <w:rPr>
                <w:rFonts w:hint="eastAsia" w:ascii="宋体" w:hAnsi="宋体"/>
                <w:b/>
                <w:bCs/>
                <w:szCs w:val="21"/>
              </w:rPr>
              <w:t>学</w:t>
            </w:r>
          </w:p>
          <w:p>
            <w:pPr>
              <w:pageBreakBefore w:val="0"/>
              <w:topLinePunct w:val="0"/>
              <w:bidi w:val="0"/>
              <w:jc w:val="center"/>
              <w:outlineLvl w:val="9"/>
              <w:rPr>
                <w:rFonts w:hint="eastAsia" w:ascii="宋体" w:hAnsi="宋体"/>
                <w:b/>
                <w:bCs/>
                <w:szCs w:val="21"/>
              </w:rPr>
            </w:pPr>
            <w:r>
              <w:rPr>
                <w:rFonts w:hint="eastAsia" w:ascii="宋体" w:hAnsi="宋体"/>
                <w:b/>
                <w:bCs/>
                <w:szCs w:val="21"/>
              </w:rPr>
              <w:t>院</w:t>
            </w:r>
          </w:p>
          <w:p>
            <w:pPr>
              <w:pageBreakBefore w:val="0"/>
              <w:topLinePunct w:val="0"/>
              <w:bidi w:val="0"/>
              <w:jc w:val="center"/>
              <w:outlineLvl w:val="9"/>
              <w:rPr>
                <w:rFonts w:hint="eastAsia" w:ascii="宋体" w:hAnsi="宋体"/>
                <w:b/>
                <w:bCs/>
                <w:szCs w:val="21"/>
              </w:rPr>
            </w:pPr>
            <w:r>
              <w:rPr>
                <w:rFonts w:hint="eastAsia" w:ascii="宋体" w:hAnsi="宋体"/>
                <w:b/>
                <w:bCs/>
                <w:szCs w:val="21"/>
              </w:rPr>
              <w:t>意</w:t>
            </w:r>
          </w:p>
          <w:p>
            <w:pPr>
              <w:pageBreakBefore w:val="0"/>
              <w:topLinePunct w:val="0"/>
              <w:bidi w:val="0"/>
              <w:jc w:val="center"/>
              <w:outlineLvl w:val="9"/>
              <w:rPr>
                <w:rFonts w:hint="eastAsia" w:ascii="宋体" w:hAnsi="宋体"/>
                <w:b/>
                <w:bCs/>
                <w:szCs w:val="21"/>
              </w:rPr>
            </w:pPr>
            <w:r>
              <w:rPr>
                <w:rFonts w:hint="eastAsia" w:ascii="宋体" w:hAnsi="宋体"/>
                <w:b/>
                <w:bCs/>
                <w:szCs w:val="21"/>
              </w:rPr>
              <w:t>见</w:t>
            </w:r>
          </w:p>
        </w:tc>
        <w:tc>
          <w:tcPr>
            <w:tcW w:w="8642" w:type="dxa"/>
            <w:gridSpan w:val="8"/>
            <w:noWrap w:val="0"/>
            <w:vAlign w:val="top"/>
          </w:tcPr>
          <w:p>
            <w:pPr>
              <w:pageBreakBefore w:val="0"/>
              <w:topLinePunct w:val="0"/>
              <w:bidi w:val="0"/>
              <w:jc w:val="right"/>
              <w:outlineLvl w:val="9"/>
              <w:rPr>
                <w:rFonts w:hint="eastAsia" w:ascii="宋体" w:hAnsi="宋体"/>
                <w:szCs w:val="21"/>
              </w:rPr>
            </w:pPr>
          </w:p>
          <w:p>
            <w:pPr>
              <w:pageBreakBefore w:val="0"/>
              <w:topLinePunct w:val="0"/>
              <w:bidi w:val="0"/>
              <w:jc w:val="right"/>
              <w:outlineLvl w:val="9"/>
              <w:rPr>
                <w:rFonts w:hint="eastAsia" w:ascii="宋体" w:hAnsi="宋体"/>
                <w:szCs w:val="21"/>
              </w:rPr>
            </w:pPr>
          </w:p>
          <w:p>
            <w:pPr>
              <w:pageBreakBefore w:val="0"/>
              <w:topLinePunct w:val="0"/>
              <w:bidi w:val="0"/>
              <w:jc w:val="right"/>
              <w:outlineLvl w:val="9"/>
              <w:rPr>
                <w:rFonts w:hint="eastAsia" w:ascii="宋体" w:hAnsi="宋体"/>
                <w:szCs w:val="21"/>
              </w:rPr>
            </w:pPr>
          </w:p>
          <w:p>
            <w:pPr>
              <w:pStyle w:val="15"/>
              <w:pageBreakBefore w:val="0"/>
              <w:wordWrap w:val="0"/>
              <w:topLinePunct w:val="0"/>
              <w:bidi w:val="0"/>
              <w:spacing w:line="560" w:lineRule="exact"/>
              <w:jc w:val="right"/>
              <w:outlineLvl w:val="9"/>
              <w:rPr>
                <w:rFonts w:ascii="宋体" w:hAnsi="宋体"/>
                <w:kern w:val="2"/>
                <w:sz w:val="21"/>
                <w:szCs w:val="21"/>
              </w:rPr>
            </w:pPr>
            <w:r>
              <w:rPr>
                <w:rFonts w:hint="eastAsia" w:ascii="宋体" w:hAnsi="宋体"/>
                <w:kern w:val="2"/>
                <w:sz w:val="21"/>
                <w:szCs w:val="21"/>
              </w:rPr>
              <w:t>公章：</w:t>
            </w:r>
            <w:r>
              <w:rPr>
                <w:rFonts w:ascii="宋体" w:hAnsi="宋体"/>
                <w:kern w:val="2"/>
                <w:sz w:val="21"/>
                <w:szCs w:val="21"/>
              </w:rPr>
              <w:t xml:space="preserve">     </w:t>
            </w:r>
            <w:r>
              <w:rPr>
                <w:rFonts w:hint="eastAsia" w:ascii="宋体" w:hAnsi="宋体"/>
                <w:kern w:val="2"/>
                <w:sz w:val="21"/>
                <w:szCs w:val="21"/>
              </w:rPr>
              <w:t xml:space="preserve">签名：             </w:t>
            </w:r>
          </w:p>
          <w:p>
            <w:pPr>
              <w:pageBreakBefore w:val="0"/>
              <w:wordWrap w:val="0"/>
              <w:topLinePunct w:val="0"/>
              <w:bidi w:val="0"/>
              <w:ind w:firstLine="2520" w:firstLineChars="1200"/>
              <w:jc w:val="right"/>
              <w:outlineLvl w:val="9"/>
              <w:rPr>
                <w:rFonts w:hint="eastAsia" w:ascii="宋体" w:hAnsi="宋体"/>
                <w:szCs w:val="21"/>
              </w:rPr>
            </w:pPr>
            <w:r>
              <w:rPr>
                <w:rFonts w:hint="eastAsia" w:ascii="宋体" w:hAnsi="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1012" w:type="dxa"/>
            <w:noWrap w:val="0"/>
            <w:vAlign w:val="center"/>
          </w:tcPr>
          <w:p>
            <w:pPr>
              <w:pageBreakBefore w:val="0"/>
              <w:topLinePunct w:val="0"/>
              <w:bidi w:val="0"/>
              <w:jc w:val="center"/>
              <w:outlineLvl w:val="9"/>
              <w:rPr>
                <w:rFonts w:hint="eastAsia" w:ascii="宋体" w:hAnsi="宋体"/>
                <w:b/>
                <w:bCs/>
                <w:szCs w:val="21"/>
              </w:rPr>
            </w:pPr>
            <w:r>
              <w:rPr>
                <w:rFonts w:hint="eastAsia" w:ascii="宋体" w:hAnsi="宋体"/>
                <w:b/>
                <w:bCs/>
                <w:szCs w:val="21"/>
              </w:rPr>
              <w:t>转</w:t>
            </w:r>
          </w:p>
          <w:p>
            <w:pPr>
              <w:pageBreakBefore w:val="0"/>
              <w:topLinePunct w:val="0"/>
              <w:bidi w:val="0"/>
              <w:jc w:val="center"/>
              <w:outlineLvl w:val="9"/>
              <w:rPr>
                <w:rFonts w:hint="eastAsia" w:ascii="宋体" w:hAnsi="宋体"/>
                <w:b/>
                <w:bCs/>
                <w:szCs w:val="21"/>
              </w:rPr>
            </w:pPr>
            <w:r>
              <w:rPr>
                <w:rFonts w:hint="eastAsia" w:ascii="宋体" w:hAnsi="宋体"/>
                <w:b/>
                <w:bCs/>
                <w:szCs w:val="21"/>
              </w:rPr>
              <w:t>入</w:t>
            </w:r>
          </w:p>
          <w:p>
            <w:pPr>
              <w:pageBreakBefore w:val="0"/>
              <w:topLinePunct w:val="0"/>
              <w:bidi w:val="0"/>
              <w:jc w:val="center"/>
              <w:outlineLvl w:val="9"/>
              <w:rPr>
                <w:rFonts w:hint="eastAsia" w:ascii="宋体" w:hAnsi="宋体"/>
                <w:b/>
                <w:bCs/>
                <w:szCs w:val="21"/>
              </w:rPr>
            </w:pPr>
            <w:r>
              <w:rPr>
                <w:rFonts w:hint="eastAsia" w:ascii="宋体" w:hAnsi="宋体"/>
                <w:b/>
                <w:bCs/>
                <w:szCs w:val="21"/>
              </w:rPr>
              <w:t>学</w:t>
            </w:r>
          </w:p>
          <w:p>
            <w:pPr>
              <w:pageBreakBefore w:val="0"/>
              <w:topLinePunct w:val="0"/>
              <w:bidi w:val="0"/>
              <w:jc w:val="center"/>
              <w:outlineLvl w:val="9"/>
              <w:rPr>
                <w:rFonts w:hint="eastAsia" w:ascii="宋体" w:hAnsi="宋体"/>
                <w:b/>
                <w:bCs/>
                <w:szCs w:val="21"/>
              </w:rPr>
            </w:pPr>
            <w:r>
              <w:rPr>
                <w:rFonts w:hint="eastAsia" w:ascii="宋体" w:hAnsi="宋体"/>
                <w:b/>
                <w:bCs/>
                <w:szCs w:val="21"/>
              </w:rPr>
              <w:t>院</w:t>
            </w:r>
          </w:p>
          <w:p>
            <w:pPr>
              <w:pageBreakBefore w:val="0"/>
              <w:topLinePunct w:val="0"/>
              <w:bidi w:val="0"/>
              <w:jc w:val="center"/>
              <w:outlineLvl w:val="9"/>
              <w:rPr>
                <w:rFonts w:hint="eastAsia" w:ascii="宋体" w:hAnsi="宋体"/>
                <w:b/>
                <w:bCs/>
                <w:szCs w:val="21"/>
              </w:rPr>
            </w:pPr>
            <w:r>
              <w:rPr>
                <w:rFonts w:hint="eastAsia" w:ascii="宋体" w:hAnsi="宋体"/>
                <w:b/>
                <w:bCs/>
                <w:szCs w:val="21"/>
              </w:rPr>
              <w:t>意</w:t>
            </w:r>
          </w:p>
          <w:p>
            <w:pPr>
              <w:pageBreakBefore w:val="0"/>
              <w:topLinePunct w:val="0"/>
              <w:bidi w:val="0"/>
              <w:jc w:val="center"/>
              <w:outlineLvl w:val="9"/>
              <w:rPr>
                <w:rFonts w:hint="eastAsia" w:ascii="宋体" w:hAnsi="宋体"/>
                <w:b/>
                <w:bCs/>
                <w:szCs w:val="21"/>
              </w:rPr>
            </w:pPr>
            <w:r>
              <w:rPr>
                <w:rFonts w:hint="eastAsia" w:ascii="宋体" w:hAnsi="宋体"/>
                <w:b/>
                <w:bCs/>
                <w:szCs w:val="21"/>
              </w:rPr>
              <w:t>见</w:t>
            </w:r>
          </w:p>
        </w:tc>
        <w:tc>
          <w:tcPr>
            <w:tcW w:w="8642" w:type="dxa"/>
            <w:gridSpan w:val="8"/>
            <w:noWrap w:val="0"/>
            <w:vAlign w:val="top"/>
          </w:tcPr>
          <w:p>
            <w:pPr>
              <w:pageBreakBefore w:val="0"/>
              <w:topLinePunct w:val="0"/>
              <w:bidi w:val="0"/>
              <w:jc w:val="right"/>
              <w:outlineLvl w:val="9"/>
              <w:rPr>
                <w:rFonts w:hint="eastAsia" w:ascii="宋体" w:hAnsi="宋体"/>
                <w:szCs w:val="21"/>
              </w:rPr>
            </w:pPr>
          </w:p>
          <w:p>
            <w:pPr>
              <w:pageBreakBefore w:val="0"/>
              <w:topLinePunct w:val="0"/>
              <w:bidi w:val="0"/>
              <w:jc w:val="right"/>
              <w:outlineLvl w:val="9"/>
              <w:rPr>
                <w:rFonts w:hint="eastAsia" w:ascii="宋体" w:hAnsi="宋体"/>
                <w:szCs w:val="21"/>
              </w:rPr>
            </w:pPr>
          </w:p>
          <w:p>
            <w:pPr>
              <w:pageBreakBefore w:val="0"/>
              <w:topLinePunct w:val="0"/>
              <w:bidi w:val="0"/>
              <w:jc w:val="right"/>
              <w:outlineLvl w:val="9"/>
              <w:rPr>
                <w:rFonts w:hint="eastAsia" w:ascii="宋体" w:hAnsi="宋体"/>
                <w:szCs w:val="21"/>
              </w:rPr>
            </w:pPr>
          </w:p>
          <w:p>
            <w:pPr>
              <w:pageBreakBefore w:val="0"/>
              <w:topLinePunct w:val="0"/>
              <w:bidi w:val="0"/>
              <w:jc w:val="right"/>
              <w:outlineLvl w:val="9"/>
              <w:rPr>
                <w:rFonts w:hint="eastAsia" w:ascii="宋体" w:hAnsi="宋体"/>
                <w:szCs w:val="21"/>
              </w:rPr>
            </w:pPr>
          </w:p>
          <w:p>
            <w:pPr>
              <w:pStyle w:val="15"/>
              <w:pageBreakBefore w:val="0"/>
              <w:wordWrap w:val="0"/>
              <w:topLinePunct w:val="0"/>
              <w:bidi w:val="0"/>
              <w:spacing w:line="560" w:lineRule="exact"/>
              <w:jc w:val="right"/>
              <w:outlineLvl w:val="9"/>
              <w:rPr>
                <w:rFonts w:ascii="宋体" w:hAnsi="宋体"/>
                <w:kern w:val="2"/>
                <w:sz w:val="21"/>
                <w:szCs w:val="21"/>
              </w:rPr>
            </w:pPr>
            <w:r>
              <w:rPr>
                <w:rFonts w:hint="eastAsia" w:ascii="宋体" w:hAnsi="宋体"/>
                <w:kern w:val="2"/>
                <w:sz w:val="21"/>
                <w:szCs w:val="21"/>
              </w:rPr>
              <w:t>公章：</w:t>
            </w:r>
            <w:r>
              <w:rPr>
                <w:rFonts w:ascii="宋体" w:hAnsi="宋体"/>
                <w:kern w:val="2"/>
                <w:sz w:val="21"/>
                <w:szCs w:val="21"/>
              </w:rPr>
              <w:t xml:space="preserve">    </w:t>
            </w:r>
            <w:r>
              <w:rPr>
                <w:rFonts w:hint="eastAsia" w:ascii="宋体" w:hAnsi="宋体"/>
                <w:kern w:val="2"/>
                <w:sz w:val="21"/>
                <w:szCs w:val="21"/>
              </w:rPr>
              <w:t xml:space="preserve"> 签名：             </w:t>
            </w:r>
          </w:p>
          <w:p>
            <w:pPr>
              <w:pageBreakBefore w:val="0"/>
              <w:topLinePunct w:val="0"/>
              <w:bidi w:val="0"/>
              <w:ind w:firstLine="2520" w:firstLineChars="1200"/>
              <w:jc w:val="right"/>
              <w:outlineLvl w:val="9"/>
              <w:rPr>
                <w:rFonts w:hint="eastAsia" w:ascii="宋体" w:hAnsi="宋体"/>
                <w:szCs w:val="21"/>
              </w:rPr>
            </w:pPr>
            <w:r>
              <w:rPr>
                <w:rFonts w:hint="eastAsia" w:ascii="宋体" w:hAnsi="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jc w:val="center"/>
        </w:trPr>
        <w:tc>
          <w:tcPr>
            <w:tcW w:w="1012" w:type="dxa"/>
            <w:noWrap w:val="0"/>
            <w:vAlign w:val="center"/>
          </w:tcPr>
          <w:p>
            <w:pPr>
              <w:pageBreakBefore w:val="0"/>
              <w:topLinePunct w:val="0"/>
              <w:bidi w:val="0"/>
              <w:jc w:val="center"/>
              <w:outlineLvl w:val="9"/>
              <w:rPr>
                <w:rFonts w:hint="eastAsia" w:ascii="宋体" w:hAnsi="宋体"/>
                <w:b/>
                <w:bCs/>
                <w:szCs w:val="21"/>
              </w:rPr>
            </w:pPr>
            <w:r>
              <w:rPr>
                <w:rFonts w:hint="eastAsia" w:ascii="宋体" w:hAnsi="宋体"/>
                <w:b/>
                <w:bCs/>
                <w:szCs w:val="21"/>
              </w:rPr>
              <w:t>教</w:t>
            </w:r>
          </w:p>
          <w:p>
            <w:pPr>
              <w:pageBreakBefore w:val="0"/>
              <w:topLinePunct w:val="0"/>
              <w:bidi w:val="0"/>
              <w:jc w:val="center"/>
              <w:outlineLvl w:val="9"/>
              <w:rPr>
                <w:rFonts w:hint="eastAsia" w:ascii="宋体" w:hAnsi="宋体"/>
                <w:b/>
                <w:bCs/>
                <w:szCs w:val="21"/>
              </w:rPr>
            </w:pPr>
            <w:r>
              <w:rPr>
                <w:rFonts w:hint="eastAsia" w:ascii="宋体" w:hAnsi="宋体"/>
                <w:b/>
                <w:bCs/>
                <w:szCs w:val="21"/>
              </w:rPr>
              <w:t>务</w:t>
            </w:r>
          </w:p>
          <w:p>
            <w:pPr>
              <w:pageBreakBefore w:val="0"/>
              <w:topLinePunct w:val="0"/>
              <w:bidi w:val="0"/>
              <w:jc w:val="center"/>
              <w:outlineLvl w:val="9"/>
              <w:rPr>
                <w:rFonts w:hint="eastAsia" w:ascii="宋体" w:hAnsi="宋体"/>
                <w:b/>
                <w:bCs/>
                <w:szCs w:val="21"/>
              </w:rPr>
            </w:pPr>
            <w:r>
              <w:rPr>
                <w:rFonts w:hint="eastAsia" w:ascii="宋体" w:hAnsi="宋体"/>
                <w:b/>
                <w:bCs/>
                <w:szCs w:val="21"/>
              </w:rPr>
              <w:t>处</w:t>
            </w:r>
          </w:p>
          <w:p>
            <w:pPr>
              <w:pageBreakBefore w:val="0"/>
              <w:topLinePunct w:val="0"/>
              <w:bidi w:val="0"/>
              <w:jc w:val="center"/>
              <w:outlineLvl w:val="9"/>
              <w:rPr>
                <w:rFonts w:hint="eastAsia" w:ascii="宋体" w:hAnsi="宋体"/>
                <w:b/>
                <w:bCs/>
                <w:szCs w:val="21"/>
              </w:rPr>
            </w:pPr>
            <w:r>
              <w:rPr>
                <w:rFonts w:hint="eastAsia" w:ascii="宋体" w:hAnsi="宋体"/>
                <w:b/>
                <w:bCs/>
                <w:szCs w:val="21"/>
              </w:rPr>
              <w:t>意</w:t>
            </w:r>
          </w:p>
          <w:p>
            <w:pPr>
              <w:pageBreakBefore w:val="0"/>
              <w:topLinePunct w:val="0"/>
              <w:bidi w:val="0"/>
              <w:jc w:val="center"/>
              <w:outlineLvl w:val="9"/>
              <w:rPr>
                <w:rFonts w:hint="eastAsia" w:ascii="宋体" w:hAnsi="宋体"/>
                <w:b/>
                <w:bCs/>
                <w:szCs w:val="21"/>
              </w:rPr>
            </w:pPr>
            <w:r>
              <w:rPr>
                <w:rFonts w:hint="eastAsia" w:ascii="宋体" w:hAnsi="宋体"/>
                <w:b/>
                <w:bCs/>
                <w:szCs w:val="21"/>
              </w:rPr>
              <w:t>见</w:t>
            </w:r>
          </w:p>
        </w:tc>
        <w:tc>
          <w:tcPr>
            <w:tcW w:w="8642" w:type="dxa"/>
            <w:gridSpan w:val="8"/>
            <w:noWrap w:val="0"/>
            <w:vAlign w:val="top"/>
          </w:tcPr>
          <w:p>
            <w:pPr>
              <w:pageBreakBefore w:val="0"/>
              <w:topLinePunct w:val="0"/>
              <w:bidi w:val="0"/>
              <w:jc w:val="right"/>
              <w:outlineLvl w:val="9"/>
              <w:rPr>
                <w:rFonts w:hint="eastAsia" w:ascii="宋体" w:hAnsi="宋体"/>
                <w:szCs w:val="21"/>
              </w:rPr>
            </w:pPr>
          </w:p>
          <w:p>
            <w:pPr>
              <w:pageBreakBefore w:val="0"/>
              <w:topLinePunct w:val="0"/>
              <w:bidi w:val="0"/>
              <w:jc w:val="right"/>
              <w:outlineLvl w:val="9"/>
              <w:rPr>
                <w:rFonts w:hint="eastAsia" w:ascii="宋体" w:hAnsi="宋体"/>
                <w:szCs w:val="21"/>
              </w:rPr>
            </w:pPr>
          </w:p>
          <w:p>
            <w:pPr>
              <w:pageBreakBefore w:val="0"/>
              <w:topLinePunct w:val="0"/>
              <w:bidi w:val="0"/>
              <w:jc w:val="right"/>
              <w:outlineLvl w:val="9"/>
              <w:rPr>
                <w:rFonts w:hint="eastAsia" w:ascii="宋体" w:hAnsi="宋体"/>
                <w:szCs w:val="21"/>
              </w:rPr>
            </w:pPr>
          </w:p>
          <w:p>
            <w:pPr>
              <w:pStyle w:val="15"/>
              <w:pageBreakBefore w:val="0"/>
              <w:wordWrap w:val="0"/>
              <w:topLinePunct w:val="0"/>
              <w:bidi w:val="0"/>
              <w:spacing w:line="560" w:lineRule="exact"/>
              <w:jc w:val="right"/>
              <w:outlineLvl w:val="9"/>
              <w:rPr>
                <w:rFonts w:ascii="宋体" w:hAnsi="宋体"/>
                <w:kern w:val="2"/>
                <w:sz w:val="21"/>
                <w:szCs w:val="21"/>
              </w:rPr>
            </w:pPr>
            <w:r>
              <w:rPr>
                <w:rFonts w:hint="eastAsia" w:ascii="宋体" w:hAnsi="宋体"/>
                <w:kern w:val="2"/>
                <w:sz w:val="21"/>
                <w:szCs w:val="21"/>
              </w:rPr>
              <w:t>公章：</w:t>
            </w:r>
            <w:r>
              <w:rPr>
                <w:rFonts w:ascii="宋体" w:hAnsi="宋体"/>
                <w:kern w:val="2"/>
                <w:sz w:val="21"/>
                <w:szCs w:val="21"/>
              </w:rPr>
              <w:t xml:space="preserve">     </w:t>
            </w:r>
            <w:r>
              <w:rPr>
                <w:rFonts w:hint="eastAsia" w:ascii="宋体" w:hAnsi="宋体"/>
                <w:kern w:val="2"/>
                <w:sz w:val="21"/>
                <w:szCs w:val="21"/>
              </w:rPr>
              <w:t xml:space="preserve">签名：             </w:t>
            </w:r>
          </w:p>
          <w:p>
            <w:pPr>
              <w:pageBreakBefore w:val="0"/>
              <w:topLinePunct w:val="0"/>
              <w:bidi w:val="0"/>
              <w:ind w:firstLine="2520" w:firstLineChars="1200"/>
              <w:jc w:val="right"/>
              <w:outlineLvl w:val="9"/>
              <w:rPr>
                <w:rFonts w:hint="eastAsia" w:ascii="宋体" w:hAnsi="宋体"/>
                <w:szCs w:val="21"/>
              </w:rPr>
            </w:pPr>
            <w:r>
              <w:rPr>
                <w:rFonts w:hint="eastAsia" w:ascii="宋体" w:hAnsi="宋体"/>
                <w:szCs w:val="21"/>
              </w:rPr>
              <w:t xml:space="preserve">  年     月     日</w:t>
            </w:r>
          </w:p>
        </w:tc>
      </w:tr>
    </w:tbl>
    <w:p>
      <w:pPr>
        <w:pageBreakBefore w:val="0"/>
        <w:widowControl/>
        <w:topLinePunct w:val="0"/>
        <w:bidi w:val="0"/>
        <w:spacing w:line="400" w:lineRule="exact"/>
        <w:jc w:val="center"/>
        <w:outlineLvl w:val="9"/>
        <w:rPr>
          <w:rFonts w:hint="eastAsia" w:ascii="宋体" w:hAnsi="宋体"/>
          <w:b/>
          <w:bCs/>
          <w:color w:val="000000"/>
          <w:kern w:val="0"/>
          <w:sz w:val="32"/>
          <w:szCs w:val="32"/>
        </w:rPr>
      </w:pPr>
    </w:p>
    <w:p>
      <w:pPr>
        <w:pageBreakBefore w:val="0"/>
        <w:topLinePunct w:val="0"/>
        <w:bidi w:val="0"/>
        <w:jc w:val="center"/>
        <w:outlineLvl w:val="9"/>
        <w:rPr>
          <w:rFonts w:hint="eastAsia"/>
          <w:sz w:val="24"/>
        </w:rPr>
      </w:pPr>
      <w:r>
        <w:rPr>
          <w:rFonts w:hint="eastAsia"/>
        </w:rPr>
        <w:br w:type="page"/>
      </w:r>
      <w:bookmarkStart w:id="6" w:name="_Toc493340738"/>
    </w:p>
    <w:p>
      <w:pPr>
        <w:pageBreakBefore w:val="0"/>
        <w:topLinePunct w:val="0"/>
        <w:bidi w:val="0"/>
        <w:jc w:val="center"/>
        <w:outlineLvl w:val="9"/>
        <w:rPr>
          <w:rFonts w:hint="eastAsia"/>
          <w:sz w:val="24"/>
        </w:rPr>
      </w:pPr>
    </w:p>
    <w:p>
      <w:pPr>
        <w:pageBreakBefore w:val="0"/>
        <w:topLinePunct w:val="0"/>
        <w:bidi w:val="0"/>
        <w:jc w:val="center"/>
        <w:outlineLvl w:val="9"/>
        <w:rPr>
          <w:rFonts w:hint="eastAsia"/>
          <w:sz w:val="24"/>
        </w:rPr>
      </w:pPr>
    </w:p>
    <w:p>
      <w:pPr>
        <w:pageBreakBefore w:val="0"/>
        <w:topLinePunct w:val="0"/>
        <w:bidi w:val="0"/>
        <w:jc w:val="center"/>
        <w:outlineLvl w:val="9"/>
        <w:rPr>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spacing w:before="156" w:beforeLines="50"/>
        <w:jc w:val="center"/>
        <w:outlineLvl w:val="9"/>
        <w:rPr>
          <w:sz w:val="24"/>
        </w:rPr>
      </w:pPr>
    </w:p>
    <w:p>
      <w:pPr>
        <w:pageBreakBefore w:val="0"/>
        <w:topLinePunct w:val="0"/>
        <w:bidi w:val="0"/>
        <w:spacing w:before="156" w:beforeLines="50"/>
        <w:jc w:val="center"/>
        <w:outlineLvl w:val="9"/>
        <w:rPr>
          <w:rFonts w:ascii="仿宋_GB2312" w:eastAsia="仿宋_GB2312"/>
          <w:sz w:val="32"/>
          <w:szCs w:val="32"/>
        </w:rPr>
      </w:pPr>
      <w:r>
        <w:rPr>
          <w:rFonts w:hint="eastAsia" w:ascii="仿宋_GB2312" w:eastAsia="仿宋_GB2312"/>
          <w:color w:val="000000"/>
          <w:kern w:val="0"/>
          <w:sz w:val="32"/>
          <w:szCs w:val="28"/>
        </w:rPr>
        <w:t xml:space="preserve">沪电信职院〔2017〕99号  </w:t>
      </w:r>
    </w:p>
    <w:p>
      <w:pPr>
        <w:pageBreakBefore w:val="0"/>
        <w:topLinePunct w:val="0"/>
        <w:bidi w:val="0"/>
        <w:spacing w:line="440" w:lineRule="exact"/>
        <w:outlineLvl w:val="9"/>
        <w:rPr>
          <w:rFonts w:hint="eastAsia" w:ascii="黑体" w:eastAsia="黑体"/>
          <w:color w:val="FF0000"/>
          <w:sz w:val="28"/>
          <w:szCs w:val="28"/>
          <w:u w:val="thick"/>
        </w:rPr>
      </w:pPr>
      <w:r>
        <w:rPr>
          <w:rFonts w:hint="eastAsia" w:ascii="黑体" w:eastAsia="黑体"/>
          <w:color w:val="FF0000"/>
          <w:sz w:val="28"/>
          <w:szCs w:val="28"/>
          <w:u w:val="thick"/>
        </w:rPr>
        <w:t xml:space="preserve">                                                          </w:t>
      </w:r>
    </w:p>
    <w:p>
      <w:pPr>
        <w:pageBreakBefore w:val="0"/>
        <w:topLinePunct w:val="0"/>
        <w:bidi w:val="0"/>
        <w:spacing w:line="560" w:lineRule="exact"/>
        <w:jc w:val="center"/>
        <w:outlineLvl w:val="9"/>
        <w:rPr>
          <w:rFonts w:hint="eastAsia" w:hAnsi="华文中宋" w:eastAsia="华文中宋"/>
          <w:b/>
          <w:kern w:val="0"/>
          <w:sz w:val="36"/>
          <w:szCs w:val="36"/>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bCs/>
          <w:sz w:val="36"/>
          <w:szCs w:val="36"/>
        </w:rPr>
      </w:pPr>
      <w:bookmarkStart w:id="7" w:name="_Toc3989"/>
      <w:r>
        <w:rPr>
          <w:rFonts w:hint="eastAsia" w:ascii="黑体" w:hAnsi="黑体" w:eastAsia="黑体" w:cs="黑体"/>
          <w:b/>
          <w:bCs/>
          <w:sz w:val="36"/>
          <w:szCs w:val="36"/>
        </w:rPr>
        <w:t>关于印发《上海电子信息职业技术学院教学督导工作规程》的通知</w:t>
      </w:r>
      <w:bookmarkEnd w:id="7"/>
    </w:p>
    <w:p>
      <w:pPr>
        <w:pageBreakBefore w:val="0"/>
        <w:widowControl/>
        <w:topLinePunct w:val="0"/>
        <w:bidi w:val="0"/>
        <w:adjustRightInd w:val="0"/>
        <w:snapToGrid w:val="0"/>
        <w:spacing w:before="312" w:beforeLines="100" w:line="50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widowControl/>
        <w:topLinePunct w:val="0"/>
        <w:bidi w:val="0"/>
        <w:adjustRightInd w:val="0"/>
        <w:snapToGrid w:val="0"/>
        <w:spacing w:before="312" w:beforeLines="100" w:line="50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各教学单位、职能部门： </w:t>
      </w:r>
    </w:p>
    <w:p>
      <w:pPr>
        <w:pStyle w:val="15"/>
        <w:pageBreakBefore w:val="0"/>
        <w:topLinePunct w:val="0"/>
        <w:bidi w:val="0"/>
        <w:spacing w:after="0" w:line="50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现将《上海电子信息职业技术学院教学督导工作规程》</w:t>
      </w:r>
    </w:p>
    <w:p>
      <w:pPr>
        <w:pStyle w:val="15"/>
        <w:pageBreakBefore w:val="0"/>
        <w:topLinePunct w:val="0"/>
        <w:bidi w:val="0"/>
        <w:spacing w:after="0" w:line="50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印发给你们，请结合本部门工作实际，认真研究执行。</w:t>
      </w:r>
    </w:p>
    <w:p>
      <w:pPr>
        <w:pStyle w:val="15"/>
        <w:pageBreakBefore w:val="0"/>
        <w:topLinePunct w:val="0"/>
        <w:bidi w:val="0"/>
        <w:spacing w:after="0" w:line="500" w:lineRule="exact"/>
        <w:jc w:val="both"/>
        <w:outlineLvl w:val="9"/>
        <w:rPr>
          <w:rFonts w:hint="eastAsia" w:ascii="仿宋_GB2312" w:hAnsi="仿宋_GB2312" w:eastAsia="仿宋_GB2312" w:cs="仿宋_GB2312"/>
          <w:kern w:val="2"/>
          <w:sz w:val="28"/>
          <w:szCs w:val="28"/>
          <w:highlight w:val="none"/>
          <w:lang w:val="en-US" w:eastAsia="zh-CN" w:bidi="ar-SA"/>
        </w:rPr>
      </w:pPr>
    </w:p>
    <w:p>
      <w:pPr>
        <w:pStyle w:val="15"/>
        <w:pageBreakBefore w:val="0"/>
        <w:topLinePunct w:val="0"/>
        <w:bidi w:val="0"/>
        <w:spacing w:after="0" w:line="500" w:lineRule="exact"/>
        <w:jc w:val="both"/>
        <w:outlineLvl w:val="9"/>
        <w:rPr>
          <w:rFonts w:hint="eastAsia" w:ascii="仿宋_GB2312" w:hAnsi="仿宋_GB2312" w:eastAsia="仿宋_GB2312" w:cs="仿宋_GB2312"/>
          <w:kern w:val="2"/>
          <w:sz w:val="28"/>
          <w:szCs w:val="28"/>
          <w:highlight w:val="none"/>
          <w:lang w:val="en-US" w:eastAsia="zh-CN" w:bidi="ar-SA"/>
        </w:rPr>
      </w:pPr>
    </w:p>
    <w:p>
      <w:pPr>
        <w:pStyle w:val="15"/>
        <w:pageBreakBefore w:val="0"/>
        <w:topLinePunct w:val="0"/>
        <w:bidi w:val="0"/>
        <w:spacing w:after="0" w:line="500" w:lineRule="exact"/>
        <w:jc w:val="both"/>
        <w:outlineLvl w:val="9"/>
        <w:rPr>
          <w:rFonts w:hint="eastAsia" w:ascii="仿宋_GB2312" w:hAnsi="仿宋_GB2312" w:eastAsia="仿宋_GB2312" w:cs="仿宋_GB2312"/>
          <w:kern w:val="2"/>
          <w:sz w:val="28"/>
          <w:szCs w:val="28"/>
          <w:highlight w:val="none"/>
          <w:lang w:val="en-US" w:eastAsia="zh-CN" w:bidi="ar-SA"/>
        </w:rPr>
      </w:pPr>
    </w:p>
    <w:p>
      <w:pPr>
        <w:pStyle w:val="15"/>
        <w:pageBreakBefore w:val="0"/>
        <w:topLinePunct w:val="0"/>
        <w:bidi w:val="0"/>
        <w:spacing w:after="0" w:line="500" w:lineRule="exact"/>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附件：上海电子信息职业技术学院教学督导工作规程</w:t>
      </w:r>
    </w:p>
    <w:p>
      <w:pPr>
        <w:pageBreakBefore w:val="0"/>
        <w:widowControl/>
        <w:topLinePunct w:val="0"/>
        <w:bidi w:val="0"/>
        <w:adjustRightInd w:val="0"/>
        <w:snapToGrid w:val="0"/>
        <w:spacing w:line="50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00" w:lineRule="exact"/>
        <w:ind w:left="1575" w:leftChars="350" w:hanging="840" w:hangingChars="3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00" w:lineRule="exact"/>
        <w:ind w:left="1693" w:leftChars="806" w:firstLine="1120" w:firstLineChars="4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r>
        <w:rPr>
          <w:rFonts w:hint="eastAsia" w:ascii="仿宋_GB2312" w:hAnsi="仿宋_GB2312" w:eastAsia="仿宋_GB2312" w:cs="仿宋_GB2312"/>
          <w:kern w:val="2"/>
          <w:sz w:val="28"/>
          <w:szCs w:val="28"/>
          <w:highlight w:val="none"/>
          <w:lang w:val="en-US" w:eastAsia="zh-CN" w:bidi="ar-SA"/>
        </w:rPr>
        <w:br w:type="textWrapping"/>
      </w:r>
      <w:r>
        <w:rPr>
          <w:rFonts w:hint="eastAsia" w:ascii="仿宋_GB2312" w:hAnsi="仿宋_GB2312" w:eastAsia="仿宋_GB2312" w:cs="仿宋_GB2312"/>
          <w:kern w:val="2"/>
          <w:sz w:val="28"/>
          <w:szCs w:val="28"/>
          <w:highlight w:val="none"/>
          <w:lang w:val="en-US" w:eastAsia="zh-CN" w:bidi="ar-SA"/>
        </w:rPr>
        <w:t xml:space="preserve">             2017年9月26日</w:t>
      </w:r>
    </w:p>
    <w:p>
      <w:pPr>
        <w:pageBreakBefore w:val="0"/>
        <w:topLinePunct w:val="0"/>
        <w:bidi w:val="0"/>
        <w:spacing w:line="500" w:lineRule="exact"/>
        <w:jc w:val="center"/>
        <w:outlineLvl w:val="9"/>
        <w:rPr>
          <w:rFonts w:hint="eastAsia" w:eastAsia="仿宋_GB2312"/>
          <w:sz w:val="32"/>
          <w:szCs w:val="32"/>
        </w:rPr>
      </w:pPr>
    </w:p>
    <w:p>
      <w:pPr>
        <w:pageBreakBefore w:val="0"/>
        <w:topLinePunct w:val="0"/>
        <w:bidi w:val="0"/>
        <w:spacing w:line="500" w:lineRule="exact"/>
        <w:jc w:val="center"/>
        <w:outlineLvl w:val="9"/>
        <w:rPr>
          <w:rFonts w:hint="eastAsia" w:eastAsia="仿宋_GB2312"/>
          <w:sz w:val="32"/>
          <w:szCs w:val="32"/>
        </w:rPr>
      </w:pPr>
    </w:p>
    <w:p>
      <w:pPr>
        <w:pageBreakBefore w:val="0"/>
        <w:topLinePunct w:val="0"/>
        <w:bidi w:val="0"/>
        <w:jc w:val="both"/>
        <w:outlineLvl w:val="9"/>
        <w:rPr>
          <w:rFonts w:hint="eastAsia" w:eastAsia="仿宋_GB2312"/>
          <w:sz w:val="32"/>
          <w:szCs w:val="32"/>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教学督导工作规程</w:t>
      </w:r>
      <w:bookmarkEnd w:id="6"/>
    </w:p>
    <w:p>
      <w:pPr>
        <w:keepNext/>
        <w:keepLines/>
        <w:pageBreakBefore w:val="0"/>
        <w:widowControl w:val="0"/>
        <w:kinsoku/>
        <w:wordWrap/>
        <w:overflowPunct/>
        <w:topLinePunct w:val="0"/>
        <w:autoSpaceDE/>
        <w:autoSpaceDN/>
        <w:bidi w:val="0"/>
        <w:adjustRightInd/>
        <w:snapToGrid/>
        <w:spacing w:before="120" w:after="120" w:line="360" w:lineRule="auto"/>
        <w:jc w:val="center"/>
        <w:textAlignment w:val="auto"/>
        <w:outlineLvl w:val="9"/>
        <w:rPr>
          <w:rFonts w:hint="eastAsia" w:ascii="仿宋_GB2312" w:hAnsi="仿宋_GB2312" w:eastAsia="仿宋_GB2312" w:cs="仿宋_GB2312"/>
          <w:b w:val="0"/>
          <w:bCs w:val="0"/>
          <w:kern w:val="2"/>
          <w:sz w:val="28"/>
          <w:szCs w:val="28"/>
          <w:highlight w:val="none"/>
          <w:lang w:val="en-US" w:eastAsia="zh-CN" w:bidi="ar-SA"/>
        </w:rPr>
      </w:pPr>
      <w:bookmarkStart w:id="8" w:name="_Toc493340739"/>
      <w:r>
        <w:rPr>
          <w:rFonts w:hint="eastAsia" w:ascii="仿宋_GB2312" w:hAnsi="仿宋_GB2312" w:eastAsia="仿宋_GB2312" w:cs="仿宋_GB2312"/>
          <w:b w:val="0"/>
          <w:bCs w:val="0"/>
          <w:kern w:val="2"/>
          <w:sz w:val="28"/>
          <w:szCs w:val="28"/>
          <w:highlight w:val="none"/>
          <w:lang w:val="en-US" w:eastAsia="zh-CN" w:bidi="ar-SA"/>
        </w:rPr>
        <w:t>第一章　总则</w:t>
      </w:r>
      <w:bookmarkEnd w:id="8"/>
    </w:p>
    <w:p>
      <w:pPr>
        <w:pageBreakBefore w:val="0"/>
        <w:topLinePunct w:val="0"/>
        <w:bidi w:val="0"/>
        <w:spacing w:before="120" w:after="120" w:line="360" w:lineRule="auto"/>
        <w:ind w:firstLine="560" w:firstLineChars="20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第一条  为强化教学质量管理，健全教学质量监控体系，提高办学水平，培养适应社会需求的高素质技术技能型专门人才，特制订上海电子信息职业技术学院教学督导工作规程。</w:t>
      </w:r>
    </w:p>
    <w:p>
      <w:pPr>
        <w:pageBreakBefore w:val="0"/>
        <w:topLinePunct w:val="0"/>
        <w:bidi w:val="0"/>
        <w:spacing w:before="120" w:after="120" w:line="360" w:lineRule="auto"/>
        <w:ind w:firstLine="560" w:firstLineChars="20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第二条  教学督导工作是维护正常教学秩序、规范教学过程、深入开展教学研究、提升教学质量、促进教师教学业务水平不断提高、实施科学管理、最终完成学校教学目标的有效保证。</w:t>
      </w:r>
    </w:p>
    <w:p>
      <w:pPr>
        <w:pageBreakBefore w:val="0"/>
        <w:topLinePunct w:val="0"/>
        <w:bidi w:val="0"/>
        <w:spacing w:before="120" w:after="120" w:line="360" w:lineRule="auto"/>
        <w:jc w:val="center"/>
        <w:outlineLvl w:val="9"/>
        <w:rPr>
          <w:rFonts w:hint="eastAsia" w:ascii="仿宋_GB2312" w:hAnsi="仿宋_GB2312" w:eastAsia="仿宋_GB2312" w:cs="仿宋_GB2312"/>
          <w:b w:val="0"/>
          <w:bCs w:val="0"/>
          <w:kern w:val="2"/>
          <w:sz w:val="28"/>
          <w:szCs w:val="28"/>
          <w:highlight w:val="none"/>
          <w:lang w:val="en-US" w:eastAsia="zh-CN" w:bidi="ar-SA"/>
        </w:rPr>
      </w:pPr>
      <w:bookmarkStart w:id="9" w:name="_Toc493340740"/>
      <w:r>
        <w:rPr>
          <w:rFonts w:hint="eastAsia" w:ascii="仿宋_GB2312" w:hAnsi="仿宋_GB2312" w:eastAsia="仿宋_GB2312" w:cs="仿宋_GB2312"/>
          <w:b w:val="0"/>
          <w:bCs w:val="0"/>
          <w:kern w:val="2"/>
          <w:sz w:val="28"/>
          <w:szCs w:val="28"/>
          <w:highlight w:val="none"/>
          <w:lang w:val="en-US" w:eastAsia="zh-CN" w:bidi="ar-SA"/>
        </w:rPr>
        <w:t>第二章　组织机构与管理体制</w:t>
      </w:r>
      <w:bookmarkEnd w:id="9"/>
    </w:p>
    <w:p>
      <w:pPr>
        <w:pageBreakBefore w:val="0"/>
        <w:topLinePunct w:val="0"/>
        <w:bidi w:val="0"/>
        <w:spacing w:line="360" w:lineRule="auto"/>
        <w:ind w:firstLine="560" w:firstLineChars="20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第三条  学校教学督导委员会是学校教学质量监控与教学督导的领导、组织与协调的专门性组织，由学校领导、行业企业专家和教育教学专家组成。</w:t>
      </w:r>
    </w:p>
    <w:p>
      <w:pPr>
        <w:pageBreakBefore w:val="0"/>
        <w:topLinePunct w:val="0"/>
        <w:bidi w:val="0"/>
        <w:spacing w:line="360" w:lineRule="auto"/>
        <w:ind w:firstLine="560" w:firstLineChars="20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第四条  学校督导组在教学督导委员会领导下，开展学校教学质量监控的专项督导工作，指导各教学单位二级督导组开展工作。学校督导组成员由学校领导、行业企业专家、教育教学专家和特聘督导员组成。</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第五条  学校实行学校教学督导与各教学单位教学督导相结合的两级督导工作管理体制。在教学督导委员会领导下，教务处配合学校督导组开展教学质量监控工作，组织协调教学单位二级督导组开展工作。教学督导委员会秘书处设于教务处。</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第六条  各教学单位成立督导组，负责本单位教学质量二级监控与督导工作的具体实施，有针对性地对本单位的教学工作进行监督与指导。教学督导工作实行教学单位主任负责制。教学二级督导组成员包括：本单位负责人、分管教学领导以及本单位聘任的其他督导员。督导员应责任心强、办事公正，具有较高业务水平、教学能力或管理经验，可从在职（或退休）教师与教学管理人员中选聘，由教学单位负责人聘任，并报教务处备案。督导员除参加二级督导工作外，还可根据需要参加院级专项督导工作。</w:t>
      </w:r>
    </w:p>
    <w:p>
      <w:pPr>
        <w:pageBreakBefore w:val="0"/>
        <w:topLinePunct w:val="0"/>
        <w:bidi w:val="0"/>
        <w:spacing w:before="120" w:after="120" w:line="360" w:lineRule="auto"/>
        <w:jc w:val="center"/>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br w:type="page"/>
      </w:r>
      <w:bookmarkStart w:id="10" w:name="_Toc493340741"/>
      <w:r>
        <w:rPr>
          <w:rFonts w:hint="eastAsia" w:ascii="仿宋_GB2312" w:hAnsi="仿宋_GB2312" w:eastAsia="仿宋_GB2312" w:cs="仿宋_GB2312"/>
          <w:b w:val="0"/>
          <w:bCs w:val="0"/>
          <w:kern w:val="2"/>
          <w:sz w:val="28"/>
          <w:szCs w:val="28"/>
          <w:highlight w:val="none"/>
          <w:lang w:val="en-US" w:eastAsia="zh-CN" w:bidi="ar-SA"/>
        </w:rPr>
        <w:t>第三章　教学督导委员会</w:t>
      </w:r>
      <w:bookmarkEnd w:id="10"/>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第七条  教学督导委员会职责</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1．监督学校制订的教育教学目标（包括各专业人才培养目标定位、重大教学改革方案和人才培养方案的制订，专业建设与发展方向）和各项质量标准要求在各教学单位和教学过程中的贯彻执行。</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2．制订学校教学质量内部监控体系。</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3．审定学校质量评价体系框架、教学质量内部监控工作规划以及相关质量管理规范。</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4．根据学校发展规划和近期教学管理目标，确定年度督导工作重点，审定学期督导工作计划。</w:t>
      </w:r>
    </w:p>
    <w:p>
      <w:pPr>
        <w:pageBreakBefore w:val="0"/>
        <w:topLinePunct w:val="0"/>
        <w:bidi w:val="0"/>
        <w:spacing w:line="360" w:lineRule="auto"/>
        <w:ind w:firstLine="560" w:firstLineChars="20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5．协助对教学单位和教学管理部门的制度执行实施监督。</w:t>
      </w:r>
    </w:p>
    <w:p>
      <w:pPr>
        <w:pageBreakBefore w:val="0"/>
        <w:topLinePunct w:val="0"/>
        <w:bidi w:val="0"/>
        <w:spacing w:line="360" w:lineRule="auto"/>
        <w:ind w:firstLine="560" w:firstLineChars="20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6．完成与教学质量内部监控相关的其他指导性工作。</w:t>
      </w:r>
    </w:p>
    <w:p>
      <w:pPr>
        <w:pageBreakBefore w:val="0"/>
        <w:topLinePunct w:val="0"/>
        <w:bidi w:val="0"/>
        <w:spacing w:before="120" w:after="120" w:line="360" w:lineRule="auto"/>
        <w:jc w:val="center"/>
        <w:outlineLvl w:val="9"/>
        <w:rPr>
          <w:rFonts w:hint="eastAsia" w:ascii="仿宋_GB2312" w:hAnsi="仿宋_GB2312" w:eastAsia="仿宋_GB2312" w:cs="仿宋_GB2312"/>
          <w:b w:val="0"/>
          <w:bCs w:val="0"/>
          <w:kern w:val="2"/>
          <w:sz w:val="28"/>
          <w:szCs w:val="28"/>
          <w:highlight w:val="none"/>
          <w:lang w:val="en-US" w:eastAsia="zh-CN" w:bidi="ar-SA"/>
        </w:rPr>
      </w:pPr>
      <w:bookmarkStart w:id="11" w:name="_Toc493340742"/>
      <w:r>
        <w:rPr>
          <w:rFonts w:hint="eastAsia" w:ascii="仿宋_GB2312" w:hAnsi="仿宋_GB2312" w:eastAsia="仿宋_GB2312" w:cs="仿宋_GB2312"/>
          <w:b w:val="0"/>
          <w:bCs w:val="0"/>
          <w:kern w:val="2"/>
          <w:sz w:val="28"/>
          <w:szCs w:val="28"/>
          <w:highlight w:val="none"/>
          <w:lang w:val="en-US" w:eastAsia="zh-CN" w:bidi="ar-SA"/>
        </w:rPr>
        <w:t>第四章　学校督导组</w:t>
      </w:r>
      <w:bookmarkEnd w:id="11"/>
    </w:p>
    <w:p>
      <w:pPr>
        <w:pageBreakBefore w:val="0"/>
        <w:topLinePunct w:val="0"/>
        <w:bidi w:val="0"/>
        <w:spacing w:line="360" w:lineRule="auto"/>
        <w:ind w:firstLine="560" w:firstLineChars="20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第八条  学校督导组职责</w:t>
      </w:r>
    </w:p>
    <w:p>
      <w:pPr>
        <w:pageBreakBefore w:val="0"/>
        <w:topLinePunct w:val="0"/>
        <w:bidi w:val="0"/>
        <w:spacing w:line="360" w:lineRule="auto"/>
        <w:ind w:firstLine="560" w:firstLineChars="20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按规范要求开展督导工作：</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1．开展教学督导工作的组织协调、信息汇总与意见反馈，并检查整改落实情况。</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2．根据学校教学工作重点，开展专项督导，研究和分析有关教学质量情况以及存在的问题，为学校改进教育教学工作提供参考意见。</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3．按照专业教学标准与课程标准，分别采取查阅、听课、访谈、巡视等方式，抽查二级教学单位教学质量工作，包括专业教学实施（含实习实训）与课程教学情况。</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4．开展专业建设评估、课程评价（含各教学环节与教学条件评价：教材、实践条件、师资条件，与人才培养方案符合度等）、企业实习评价等。</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5．针对教育、教学工作中存在的问题，提出整改意见。</w:t>
      </w:r>
    </w:p>
    <w:p>
      <w:pPr>
        <w:pageBreakBefore w:val="0"/>
        <w:topLinePunct w:val="0"/>
        <w:bidi w:val="0"/>
        <w:spacing w:before="120" w:after="120" w:line="360" w:lineRule="auto"/>
        <w:jc w:val="center"/>
        <w:outlineLvl w:val="9"/>
        <w:rPr>
          <w:rFonts w:hint="eastAsia" w:ascii="仿宋_GB2312" w:hAnsi="仿宋_GB2312" w:eastAsia="仿宋_GB2312" w:cs="仿宋_GB2312"/>
          <w:b w:val="0"/>
          <w:bCs w:val="0"/>
          <w:kern w:val="2"/>
          <w:sz w:val="28"/>
          <w:szCs w:val="28"/>
          <w:highlight w:val="none"/>
          <w:lang w:val="en-US" w:eastAsia="zh-CN" w:bidi="ar-SA"/>
        </w:rPr>
      </w:pPr>
      <w:bookmarkStart w:id="12" w:name="_Toc493340743"/>
      <w:r>
        <w:rPr>
          <w:rFonts w:hint="eastAsia" w:ascii="仿宋_GB2312" w:hAnsi="仿宋_GB2312" w:eastAsia="仿宋_GB2312" w:cs="仿宋_GB2312"/>
          <w:b w:val="0"/>
          <w:bCs w:val="0"/>
          <w:kern w:val="2"/>
          <w:sz w:val="28"/>
          <w:szCs w:val="28"/>
          <w:highlight w:val="none"/>
          <w:lang w:val="en-US" w:eastAsia="zh-CN" w:bidi="ar-SA"/>
        </w:rPr>
        <w:t>第五章　教务处</w:t>
      </w:r>
      <w:bookmarkEnd w:id="12"/>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第九条  教务处职责</w:t>
      </w:r>
    </w:p>
    <w:p>
      <w:pPr>
        <w:pageBreakBefore w:val="0"/>
        <w:topLinePunct w:val="0"/>
        <w:bidi w:val="0"/>
        <w:spacing w:line="360" w:lineRule="auto"/>
        <w:ind w:firstLine="560" w:firstLineChars="20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按规范要求开展督导工作：</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1．负责学校教学质量评价与监控的日常管理工作。</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2．拟订教学督导工作体系的相关文件；拟订教学质量内部监控工作规划、相关质量管理规范。</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3．拟订教学质量监控年度计划；制订学校督导年度工作计划，提交年度和学期工作总结。</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4．会同教务处对各教学单位的教学质量管理工作进行监督与评估；对教学单位督导工作进行检查和指导；组织召开学校教学督导工作会议；组织二级教学督导员培训与工作交流活动。</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5．会同教务处开展面向学生的教学质量调查，组织评教评学工作，并向教学单位和相关部门提供反馈意见；配合相关部门开展对教师教学能力给出评价意见。</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6．负责教学质量监控和教学评价的相关信息汇总、分析与归档，及时向教学单位和相关职能部门反馈。</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7．编辑《教学督导简报》，向各教学单位与相关部门通报教学质量信息。</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8．承担教学督导委员会秘书处工作。</w:t>
      </w:r>
    </w:p>
    <w:p>
      <w:pPr>
        <w:pageBreakBefore w:val="0"/>
        <w:topLinePunct w:val="0"/>
        <w:bidi w:val="0"/>
        <w:spacing w:before="120" w:after="120" w:line="360" w:lineRule="auto"/>
        <w:jc w:val="center"/>
        <w:outlineLvl w:val="9"/>
        <w:rPr>
          <w:rFonts w:hint="eastAsia" w:ascii="仿宋_GB2312" w:hAnsi="仿宋_GB2312" w:eastAsia="仿宋_GB2312" w:cs="仿宋_GB2312"/>
          <w:b w:val="0"/>
          <w:bCs w:val="0"/>
          <w:kern w:val="2"/>
          <w:sz w:val="28"/>
          <w:szCs w:val="28"/>
          <w:highlight w:val="none"/>
          <w:lang w:val="en-US" w:eastAsia="zh-CN" w:bidi="ar-SA"/>
        </w:rPr>
      </w:pPr>
      <w:bookmarkStart w:id="13" w:name="_Toc493340744"/>
      <w:r>
        <w:rPr>
          <w:rFonts w:hint="eastAsia" w:ascii="仿宋_GB2312" w:hAnsi="仿宋_GB2312" w:eastAsia="仿宋_GB2312" w:cs="仿宋_GB2312"/>
          <w:b w:val="0"/>
          <w:bCs w:val="0"/>
          <w:kern w:val="2"/>
          <w:sz w:val="28"/>
          <w:szCs w:val="28"/>
          <w:highlight w:val="none"/>
          <w:lang w:val="en-US" w:eastAsia="zh-CN" w:bidi="ar-SA"/>
        </w:rPr>
        <w:t>第六章　教学单位督导组</w:t>
      </w:r>
      <w:bookmarkEnd w:id="13"/>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第十条  教学单位督导组职责</w:t>
      </w:r>
    </w:p>
    <w:p>
      <w:pPr>
        <w:pageBreakBefore w:val="0"/>
        <w:topLinePunct w:val="0"/>
        <w:bidi w:val="0"/>
        <w:spacing w:line="360" w:lineRule="auto"/>
        <w:ind w:firstLine="560" w:firstLineChars="20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按规范要求开展督导工作：</w:t>
      </w:r>
    </w:p>
    <w:p>
      <w:pPr>
        <w:pageBreakBefore w:val="0"/>
        <w:topLinePunct w:val="0"/>
        <w:bidi w:val="0"/>
        <w:spacing w:line="360" w:lineRule="auto"/>
        <w:ind w:firstLine="560" w:firstLineChars="20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1．常规督导工作：通过随机和重点相结合的教学检查与听课等，准确把握本单位教学运行的实际状态，严格控制教学过程中各环节的教学质量，并适时将检查结果上报至教务处。</w:t>
      </w:r>
    </w:p>
    <w:p>
      <w:pPr>
        <w:pageBreakBefore w:val="0"/>
        <w:topLinePunct w:val="0"/>
        <w:bidi w:val="0"/>
        <w:spacing w:line="360" w:lineRule="auto"/>
        <w:ind w:firstLine="560" w:firstLineChars="20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2．接受学校督导组对教学质量工作的检查与指导；依据学校制订的相关指标体系，对本单位教学质量工作进行自评；对本单位教学质量监控中发现的问题进行分析研究，提出整改措施。</w:t>
      </w:r>
    </w:p>
    <w:p>
      <w:pPr>
        <w:pageBreakBefore w:val="0"/>
        <w:topLinePunct w:val="0"/>
        <w:bidi w:val="0"/>
        <w:spacing w:line="360" w:lineRule="auto"/>
        <w:ind w:firstLine="560" w:firstLineChars="20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3．负责对本单位教师教学质量的监控，自行完成教学质量等级的初步确定；开展对本单位学生学习成效的评估。</w:t>
      </w:r>
    </w:p>
    <w:p>
      <w:pPr>
        <w:pageBreakBefore w:val="0"/>
        <w:topLinePunct w:val="0"/>
        <w:bidi w:val="0"/>
        <w:spacing w:line="360" w:lineRule="auto"/>
        <w:ind w:firstLine="560" w:firstLineChars="20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4．对本单位所属教研室教学质量相关工作进行指导。</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第十一条  教学质量二级监控的实施</w:t>
      </w:r>
    </w:p>
    <w:p>
      <w:pPr>
        <w:pStyle w:val="22"/>
        <w:pageBreakBefore w:val="0"/>
        <w:topLinePunct w:val="0"/>
        <w:bidi w:val="0"/>
        <w:spacing w:line="360" w:lineRule="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由各教学单位实施的教学质量二级监控内容包括：</w:t>
      </w:r>
    </w:p>
    <w:p>
      <w:pPr>
        <w:pStyle w:val="22"/>
        <w:pageBreakBefore w:val="0"/>
        <w:topLinePunct w:val="0"/>
        <w:bidi w:val="0"/>
        <w:spacing w:line="360" w:lineRule="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1．依据学校的教学质量监控体系，开展评教、评学工作；同时制订符合本单位专业特点的相关指标（报送教务处和教务处备案），开展工作。</w:t>
      </w:r>
    </w:p>
    <w:p>
      <w:pPr>
        <w:pStyle w:val="22"/>
        <w:pageBreakBefore w:val="0"/>
        <w:topLinePunct w:val="0"/>
        <w:bidi w:val="0"/>
        <w:spacing w:line="360" w:lineRule="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2．检查学校教学管理制度在本单位的实施落实情况，监控本单位专业建设与发展、教学计划实施状况、教学文件的齐备、校企合作、素质教育、教学资源配置等运行状况；跟踪本单位学生学习状态以及毕业生工作状态等。</w:t>
      </w:r>
    </w:p>
    <w:p>
      <w:pPr>
        <w:pStyle w:val="22"/>
        <w:pageBreakBefore w:val="0"/>
        <w:topLinePunct w:val="0"/>
        <w:bidi w:val="0"/>
        <w:spacing w:line="360" w:lineRule="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3．检查学校及本单位各项教学管理制度在所属教研室的实施落实情况；重点为课程建设、教材建设、理论教学和实践教学学期授课计划的编制和实施、教学手段与方法改革、教师教案及教学能力的提升等。</w:t>
      </w:r>
    </w:p>
    <w:p>
      <w:pPr>
        <w:pageBreakBefore w:val="0"/>
        <w:topLinePunct w:val="0"/>
        <w:bidi w:val="0"/>
        <w:spacing w:before="120" w:after="120" w:line="360" w:lineRule="auto"/>
        <w:jc w:val="center"/>
        <w:outlineLvl w:val="9"/>
        <w:rPr>
          <w:rFonts w:hint="eastAsia" w:ascii="仿宋_GB2312" w:hAnsi="仿宋_GB2312" w:eastAsia="仿宋_GB2312" w:cs="仿宋_GB2312"/>
          <w:b w:val="0"/>
          <w:bCs w:val="0"/>
          <w:kern w:val="2"/>
          <w:sz w:val="28"/>
          <w:szCs w:val="28"/>
          <w:highlight w:val="none"/>
          <w:lang w:val="en-US" w:eastAsia="zh-CN" w:bidi="ar-SA"/>
        </w:rPr>
      </w:pPr>
      <w:bookmarkStart w:id="14" w:name="_Toc493340745"/>
      <w:r>
        <w:rPr>
          <w:rFonts w:hint="eastAsia" w:ascii="仿宋_GB2312" w:hAnsi="仿宋_GB2312" w:eastAsia="仿宋_GB2312" w:cs="仿宋_GB2312"/>
          <w:b w:val="0"/>
          <w:bCs w:val="0"/>
          <w:kern w:val="2"/>
          <w:sz w:val="28"/>
          <w:szCs w:val="28"/>
          <w:highlight w:val="none"/>
          <w:lang w:val="en-US" w:eastAsia="zh-CN" w:bidi="ar-SA"/>
        </w:rPr>
        <w:t>第七章　督导方式</w:t>
      </w:r>
      <w:bookmarkEnd w:id="14"/>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第十五条  督导方式</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1．分层督导，督管结合。教学督导工作体系的建立与完善，将全面推动和促进学校教学质量监控体系的建设；两级督导体系的建立，将强化二级教学单位的自我监控功能，发挥督导的服务功能以及在学科专业上的优势，促进督导工作与教学单位管理工作的紧密结合，逐步形成学校、教学单位两级教学质量监控体系，使教学督导工作贴近实际，更具科学性和实效性。</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2．过程监控，规范操作。教学督导工作遵循规范性、可操作性、全面性等原则，其主要工作范围为人才培养过程监控，包括对以下过程的“督”与“导”：课程建设、课程标准制订与实施、教材建设、师资配备、授课计划与教案的质量、现场教学质量（含课堂、实验实训、校外实习等）、教学做一体等教学手段与方法改革、评价方式改革（含过程考核方式、实训环节考核方式、试卷质量等）、教学规章制度的建设与执行（教学文件的齐备及主要教学环节的质量标准）等 。</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3．督为过程，导是根本。教学督导工作的“督”是指监督、督促、检查和评估，“导”为指导、帮助、咨询和服务。其中，“督”是过程，“导”是根本。要融“导”于“督”之中，导督结合，以导为主；将以检查为主体的“管理式督导”转变为“教学导督”，全面提高教学督导的效能。</w:t>
      </w:r>
    </w:p>
    <w:p>
      <w:pPr>
        <w:pageBreakBefore w:val="0"/>
        <w:topLinePunct w:val="0"/>
        <w:bidi w:val="0"/>
        <w:spacing w:line="360" w:lineRule="auto"/>
        <w:ind w:firstLine="51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4．服务教学，科学评价。在教学督导工作中，要明确服务教学的目标与要求，科学设定督导评价在教师评价、专业教学水平评价和教学管理工作评价中所占的比例。要加强互动，减少单向的教学检查，增加教学研讨交流，为广大教师提供钻研教学和相互学习的机会，促进教师进步；通过提高整体教学水平和管理水平，以促进学校教学质量的稳步提升，实现教学督导工作的根本目标。</w:t>
      </w:r>
    </w:p>
    <w:p>
      <w:pPr>
        <w:pageBreakBefore w:val="0"/>
        <w:topLinePunct w:val="0"/>
        <w:bidi w:val="0"/>
        <w:spacing w:before="120" w:after="120" w:line="360" w:lineRule="auto"/>
        <w:jc w:val="center"/>
        <w:outlineLvl w:val="9"/>
        <w:rPr>
          <w:rFonts w:hint="eastAsia" w:ascii="仿宋_GB2312" w:hAnsi="仿宋_GB2312" w:eastAsia="仿宋_GB2312" w:cs="仿宋_GB2312"/>
          <w:b w:val="0"/>
          <w:bCs w:val="0"/>
          <w:kern w:val="2"/>
          <w:sz w:val="28"/>
          <w:szCs w:val="28"/>
          <w:highlight w:val="none"/>
          <w:lang w:val="en-US" w:eastAsia="zh-CN" w:bidi="ar-SA"/>
        </w:rPr>
      </w:pPr>
      <w:bookmarkStart w:id="15" w:name="_Toc493340746"/>
      <w:r>
        <w:rPr>
          <w:rFonts w:hint="eastAsia" w:ascii="仿宋_GB2312" w:hAnsi="仿宋_GB2312" w:eastAsia="仿宋_GB2312" w:cs="仿宋_GB2312"/>
          <w:b w:val="0"/>
          <w:bCs w:val="0"/>
          <w:kern w:val="2"/>
          <w:sz w:val="28"/>
          <w:szCs w:val="28"/>
          <w:highlight w:val="none"/>
          <w:lang w:val="en-US" w:eastAsia="zh-CN" w:bidi="ar-SA"/>
        </w:rPr>
        <w:t>第八章　附则</w:t>
      </w:r>
      <w:bookmarkEnd w:id="15"/>
    </w:p>
    <w:p>
      <w:pPr>
        <w:pageBreakBefore w:val="0"/>
        <w:topLinePunct w:val="0"/>
        <w:bidi w:val="0"/>
        <w:spacing w:line="360" w:lineRule="auto"/>
        <w:ind w:firstLine="560" w:firstLineChars="200"/>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第十七条  本规程从发布之日起执行，由教务处负责解释。</w:t>
      </w:r>
    </w:p>
    <w:p>
      <w:pPr>
        <w:pageBreakBefore w:val="0"/>
        <w:topLinePunct w:val="0"/>
        <w:bidi w:val="0"/>
        <w:spacing w:line="360" w:lineRule="auto"/>
        <w:ind w:firstLine="480" w:firstLineChars="200"/>
        <w:outlineLvl w:val="9"/>
        <w:rPr>
          <w:rFonts w:eastAsia="仿宋_GB2312"/>
          <w:sz w:val="24"/>
        </w:rPr>
      </w:pPr>
    </w:p>
    <w:p>
      <w:pPr>
        <w:pageBreakBefore w:val="0"/>
        <w:topLinePunct w:val="0"/>
        <w:bidi w:val="0"/>
        <w:spacing w:line="440" w:lineRule="exact"/>
        <w:ind w:firstLine="4160" w:firstLineChars="1300"/>
        <w:outlineLvl w:val="9"/>
        <w:rPr>
          <w:rFonts w:hint="eastAsia" w:ascii="仿宋_GB2312" w:hAnsi="黑体" w:eastAsia="仿宋_GB2312"/>
          <w:sz w:val="32"/>
          <w:szCs w:val="32"/>
        </w:rPr>
      </w:pPr>
    </w:p>
    <w:p>
      <w:pPr>
        <w:pageBreakBefore w:val="0"/>
        <w:topLinePunct w:val="0"/>
        <w:bidi w:val="0"/>
        <w:spacing w:line="440" w:lineRule="exact"/>
        <w:ind w:firstLine="4160" w:firstLineChars="1300"/>
        <w:outlineLvl w:val="9"/>
        <w:rPr>
          <w:rFonts w:hint="eastAsia" w:ascii="仿宋_GB2312" w:hAnsi="黑体" w:eastAsia="仿宋_GB2312"/>
          <w:sz w:val="32"/>
          <w:szCs w:val="32"/>
        </w:rPr>
      </w:pPr>
    </w:p>
    <w:p>
      <w:pPr>
        <w:pageBreakBefore w:val="0"/>
        <w:topLinePunct w:val="0"/>
        <w:bidi w:val="0"/>
        <w:spacing w:line="440" w:lineRule="exact"/>
        <w:ind w:firstLine="4160" w:firstLineChars="1300"/>
        <w:outlineLvl w:val="9"/>
        <w:rPr>
          <w:rFonts w:hint="eastAsia" w:ascii="仿宋_GB2312" w:hAnsi="黑体" w:eastAsia="仿宋_GB2312"/>
          <w:sz w:val="32"/>
          <w:szCs w:val="32"/>
        </w:rPr>
      </w:pPr>
    </w:p>
    <w:p>
      <w:pPr>
        <w:pageBreakBefore w:val="0"/>
        <w:topLinePunct w:val="0"/>
        <w:bidi w:val="0"/>
        <w:spacing w:line="440" w:lineRule="exact"/>
        <w:ind w:firstLine="4160" w:firstLineChars="1300"/>
        <w:outlineLvl w:val="9"/>
        <w:rPr>
          <w:rFonts w:hint="eastAsia" w:ascii="仿宋_GB2312" w:hAnsi="黑体" w:eastAsia="仿宋_GB2312"/>
          <w:sz w:val="32"/>
          <w:szCs w:val="32"/>
        </w:rPr>
      </w:pPr>
    </w:p>
    <w:p>
      <w:pPr>
        <w:pageBreakBefore w:val="0"/>
        <w:topLinePunct w:val="0"/>
        <w:bidi w:val="0"/>
        <w:spacing w:line="440" w:lineRule="exact"/>
        <w:ind w:firstLine="4160" w:firstLineChars="1300"/>
        <w:outlineLvl w:val="9"/>
        <w:rPr>
          <w:rFonts w:hint="eastAsia" w:ascii="仿宋_GB2312" w:hAnsi="黑体" w:eastAsia="仿宋_GB2312"/>
          <w:sz w:val="32"/>
          <w:szCs w:val="32"/>
        </w:rPr>
      </w:pPr>
    </w:p>
    <w:p>
      <w:pPr>
        <w:pageBreakBefore w:val="0"/>
        <w:topLinePunct w:val="0"/>
        <w:bidi w:val="0"/>
        <w:spacing w:line="440" w:lineRule="exact"/>
        <w:ind w:firstLine="4160" w:firstLineChars="1300"/>
        <w:outlineLvl w:val="9"/>
        <w:rPr>
          <w:rFonts w:hint="eastAsia" w:ascii="仿宋_GB2312" w:hAnsi="黑体" w:eastAsia="仿宋_GB2312"/>
          <w:sz w:val="32"/>
          <w:szCs w:val="32"/>
        </w:rPr>
      </w:pPr>
    </w:p>
    <w:p>
      <w:pPr>
        <w:pageBreakBefore w:val="0"/>
        <w:topLinePunct w:val="0"/>
        <w:bidi w:val="0"/>
        <w:spacing w:line="440" w:lineRule="exact"/>
        <w:ind w:firstLine="4160" w:firstLineChars="1300"/>
        <w:outlineLvl w:val="9"/>
        <w:rPr>
          <w:rFonts w:hint="eastAsia" w:ascii="仿宋_GB2312" w:hAnsi="黑体" w:eastAsia="仿宋_GB2312"/>
          <w:sz w:val="32"/>
          <w:szCs w:val="32"/>
        </w:rPr>
      </w:pPr>
    </w:p>
    <w:p>
      <w:pPr>
        <w:pageBreakBefore w:val="0"/>
        <w:topLinePunct w:val="0"/>
        <w:bidi w:val="0"/>
        <w:spacing w:line="440" w:lineRule="exact"/>
        <w:ind w:firstLine="4160" w:firstLineChars="1300"/>
        <w:outlineLvl w:val="9"/>
        <w:rPr>
          <w:rFonts w:hint="eastAsia" w:ascii="仿宋_GB2312" w:hAnsi="黑体" w:eastAsia="仿宋_GB2312"/>
          <w:sz w:val="32"/>
          <w:szCs w:val="32"/>
        </w:rPr>
      </w:pPr>
    </w:p>
    <w:p>
      <w:pPr>
        <w:pageBreakBefore w:val="0"/>
        <w:topLinePunct w:val="0"/>
        <w:bidi w:val="0"/>
        <w:spacing w:line="440" w:lineRule="exact"/>
        <w:ind w:firstLine="4160" w:firstLineChars="1300"/>
        <w:outlineLvl w:val="9"/>
        <w:rPr>
          <w:rFonts w:hint="eastAsia" w:ascii="仿宋_GB2312" w:hAnsi="黑体" w:eastAsia="仿宋_GB2312"/>
          <w:sz w:val="32"/>
          <w:szCs w:val="32"/>
        </w:rPr>
      </w:pPr>
    </w:p>
    <w:p>
      <w:pPr>
        <w:pageBreakBefore w:val="0"/>
        <w:topLinePunct w:val="0"/>
        <w:bidi w:val="0"/>
        <w:spacing w:line="440" w:lineRule="exact"/>
        <w:ind w:firstLine="4160" w:firstLineChars="1300"/>
        <w:outlineLvl w:val="9"/>
        <w:rPr>
          <w:rFonts w:hint="eastAsia" w:ascii="仿宋_GB2312" w:hAnsi="黑体" w:eastAsia="仿宋_GB2312"/>
          <w:sz w:val="32"/>
          <w:szCs w:val="32"/>
        </w:rPr>
      </w:pPr>
    </w:p>
    <w:p>
      <w:pPr>
        <w:pageBreakBefore w:val="0"/>
        <w:topLinePunct w:val="0"/>
        <w:bidi w:val="0"/>
        <w:spacing w:line="440" w:lineRule="exact"/>
        <w:ind w:firstLine="4160" w:firstLineChars="1300"/>
        <w:outlineLvl w:val="9"/>
        <w:rPr>
          <w:rFonts w:hint="eastAsia" w:ascii="仿宋_GB2312" w:hAnsi="黑体" w:eastAsia="仿宋_GB2312"/>
          <w:sz w:val="32"/>
          <w:szCs w:val="32"/>
        </w:rPr>
      </w:pPr>
    </w:p>
    <w:p>
      <w:pPr>
        <w:pageBreakBefore w:val="0"/>
        <w:topLinePunct w:val="0"/>
        <w:bidi w:val="0"/>
        <w:spacing w:line="440" w:lineRule="exact"/>
        <w:ind w:firstLine="4160" w:firstLineChars="1300"/>
        <w:outlineLvl w:val="9"/>
        <w:rPr>
          <w:rFonts w:hint="eastAsia" w:ascii="仿宋_GB2312" w:hAnsi="黑体" w:eastAsia="仿宋_GB2312"/>
          <w:sz w:val="32"/>
          <w:szCs w:val="32"/>
        </w:rPr>
      </w:pPr>
    </w:p>
    <w:p>
      <w:pPr>
        <w:pageBreakBefore w:val="0"/>
        <w:topLinePunct w:val="0"/>
        <w:bidi w:val="0"/>
        <w:spacing w:line="440" w:lineRule="exact"/>
        <w:ind w:firstLine="4160" w:firstLineChars="1300"/>
        <w:outlineLvl w:val="9"/>
        <w:rPr>
          <w:rFonts w:hint="eastAsia" w:ascii="仿宋_GB2312" w:hAnsi="黑体" w:eastAsia="仿宋_GB2312"/>
          <w:sz w:val="32"/>
          <w:szCs w:val="32"/>
        </w:rPr>
      </w:pPr>
    </w:p>
    <w:p>
      <w:pPr>
        <w:pageBreakBefore w:val="0"/>
        <w:topLinePunct w:val="0"/>
        <w:bidi w:val="0"/>
        <w:jc w:val="center"/>
        <w:outlineLvl w:val="9"/>
        <w:rPr>
          <w:rFonts w:hint="eastAsia"/>
          <w:sz w:val="24"/>
        </w:rPr>
      </w:pPr>
      <w:bookmarkStart w:id="16" w:name="_Toc493340747"/>
    </w:p>
    <w:p>
      <w:pPr>
        <w:pageBreakBefore w:val="0"/>
        <w:topLinePunct w:val="0"/>
        <w:bidi w:val="0"/>
        <w:jc w:val="center"/>
        <w:outlineLvl w:val="9"/>
        <w:rPr>
          <w:rFonts w:hint="eastAsia"/>
          <w:sz w:val="24"/>
        </w:rPr>
      </w:pPr>
    </w:p>
    <w:p>
      <w:pPr>
        <w:pageBreakBefore w:val="0"/>
        <w:topLinePunct w:val="0"/>
        <w:bidi w:val="0"/>
        <w:jc w:val="center"/>
        <w:outlineLvl w:val="9"/>
        <w:rPr>
          <w:rFonts w:hint="eastAsia"/>
          <w:sz w:val="24"/>
        </w:rPr>
      </w:pPr>
    </w:p>
    <w:p>
      <w:pPr>
        <w:pageBreakBefore w:val="0"/>
        <w:topLinePunct w:val="0"/>
        <w:bidi w:val="0"/>
        <w:jc w:val="center"/>
        <w:outlineLvl w:val="9"/>
        <w:rPr>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spacing w:before="156" w:beforeLines="50"/>
        <w:jc w:val="center"/>
        <w:outlineLvl w:val="9"/>
        <w:rPr>
          <w:sz w:val="24"/>
        </w:rPr>
      </w:pPr>
    </w:p>
    <w:p>
      <w:pPr>
        <w:pageBreakBefore w:val="0"/>
        <w:topLinePunct w:val="0"/>
        <w:bidi w:val="0"/>
        <w:spacing w:before="156" w:beforeLines="50"/>
        <w:jc w:val="center"/>
        <w:outlineLvl w:val="9"/>
        <w:rPr>
          <w:rFonts w:ascii="仿宋_GB2312" w:eastAsia="仿宋_GB2312"/>
          <w:sz w:val="32"/>
          <w:szCs w:val="32"/>
        </w:rPr>
      </w:pPr>
      <w:r>
        <w:rPr>
          <w:rFonts w:hint="eastAsia" w:ascii="仿宋_GB2312" w:eastAsia="仿宋_GB2312"/>
          <w:color w:val="000000"/>
          <w:kern w:val="0"/>
          <w:sz w:val="32"/>
          <w:szCs w:val="28"/>
        </w:rPr>
        <w:t xml:space="preserve">沪电信职院〔2017〕103号  </w:t>
      </w:r>
    </w:p>
    <w:p>
      <w:pPr>
        <w:pageBreakBefore w:val="0"/>
        <w:topLinePunct w:val="0"/>
        <w:bidi w:val="0"/>
        <w:spacing w:line="440" w:lineRule="exact"/>
        <w:outlineLvl w:val="9"/>
        <w:rPr>
          <w:rFonts w:hint="eastAsia" w:ascii="黑体" w:eastAsia="黑体"/>
          <w:color w:val="FF0000"/>
          <w:sz w:val="28"/>
          <w:szCs w:val="28"/>
          <w:u w:val="thick"/>
        </w:rPr>
      </w:pPr>
      <w:r>
        <w:rPr>
          <w:rFonts w:hint="eastAsia" w:ascii="黑体" w:eastAsia="黑体"/>
          <w:color w:val="FF0000"/>
          <w:sz w:val="28"/>
          <w:szCs w:val="28"/>
          <w:u w:val="thick"/>
        </w:rPr>
        <w:t xml:space="preserve">                                                           </w:t>
      </w:r>
    </w:p>
    <w:p>
      <w:pPr>
        <w:pageBreakBefore w:val="0"/>
        <w:topLinePunct w:val="0"/>
        <w:bidi w:val="0"/>
        <w:spacing w:line="560" w:lineRule="exact"/>
        <w:jc w:val="center"/>
        <w:outlineLvl w:val="9"/>
        <w:rPr>
          <w:rFonts w:hint="eastAsia" w:hAnsi="华文中宋" w:eastAsia="华文中宋"/>
          <w:b/>
          <w:kern w:val="0"/>
          <w:sz w:val="36"/>
          <w:szCs w:val="36"/>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bCs/>
          <w:sz w:val="36"/>
          <w:szCs w:val="36"/>
        </w:rPr>
      </w:pPr>
      <w:bookmarkStart w:id="17" w:name="_Toc30575"/>
      <w:r>
        <w:rPr>
          <w:rFonts w:hint="eastAsia" w:ascii="黑体" w:hAnsi="黑体" w:eastAsia="黑体" w:cs="黑体"/>
          <w:b/>
          <w:bCs/>
          <w:sz w:val="36"/>
          <w:szCs w:val="36"/>
        </w:rPr>
        <w:t>关于印发《上海电子信息职业技术学院教学督导委员会章程》的通知</w:t>
      </w:r>
      <w:bookmarkEnd w:id="17"/>
    </w:p>
    <w:p>
      <w:pPr>
        <w:pageBreakBefore w:val="0"/>
        <w:widowControl/>
        <w:topLinePunct w:val="0"/>
        <w:bidi w:val="0"/>
        <w:adjustRightInd w:val="0"/>
        <w:snapToGrid w:val="0"/>
        <w:spacing w:line="52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widowControl/>
        <w:topLinePunct w:val="0"/>
        <w:bidi w:val="0"/>
        <w:adjustRightInd w:val="0"/>
        <w:snapToGrid w:val="0"/>
        <w:spacing w:line="52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各教学单位、职能部门： </w:t>
      </w:r>
    </w:p>
    <w:p>
      <w:pPr>
        <w:pageBreakBefore w:val="0"/>
        <w:topLinePunct w:val="0"/>
        <w:bidi w:val="0"/>
        <w:spacing w:after="312" w:afterLines="10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after="312" w:afterLines="1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现将《上海电子信息职业技术学院教学督导委员会章程》印发给你们，请结合本部门工作实际，认真研究执行。</w:t>
      </w:r>
    </w:p>
    <w:p>
      <w:pPr>
        <w:pageBreakBefore w:val="0"/>
        <w:widowControl/>
        <w:topLinePunct w:val="0"/>
        <w:bidi w:val="0"/>
        <w:adjustRightInd w:val="0"/>
        <w:snapToGrid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after="312" w:afterLines="1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附件：上海电子信息职业技术学院教学督导委员会章程</w:t>
      </w:r>
    </w:p>
    <w:p>
      <w:pPr>
        <w:pageBreakBefore w:val="0"/>
        <w:widowControl/>
        <w:topLinePunct w:val="0"/>
        <w:bidi w:val="0"/>
        <w:adjustRightInd w:val="0"/>
        <w:snapToGrid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ind w:left="1575" w:leftChars="350" w:hanging="840" w:hangingChars="3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ind w:left="1693" w:leftChars="806" w:firstLine="1120" w:firstLineChars="4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r>
        <w:rPr>
          <w:rFonts w:hint="eastAsia" w:ascii="仿宋_GB2312" w:hAnsi="仿宋_GB2312" w:eastAsia="仿宋_GB2312" w:cs="仿宋_GB2312"/>
          <w:kern w:val="2"/>
          <w:sz w:val="28"/>
          <w:szCs w:val="28"/>
          <w:highlight w:val="none"/>
          <w:lang w:val="en-US" w:eastAsia="zh-CN" w:bidi="ar-SA"/>
        </w:rPr>
        <w:br w:type="textWrapping"/>
      </w:r>
      <w:r>
        <w:rPr>
          <w:rFonts w:hint="eastAsia" w:ascii="仿宋_GB2312" w:hAnsi="仿宋_GB2312" w:eastAsia="仿宋_GB2312" w:cs="仿宋_GB2312"/>
          <w:kern w:val="2"/>
          <w:sz w:val="28"/>
          <w:szCs w:val="28"/>
          <w:highlight w:val="none"/>
          <w:lang w:val="en-US" w:eastAsia="zh-CN" w:bidi="ar-SA"/>
        </w:rPr>
        <w:t xml:space="preserve">             2017年9月26日</w:t>
      </w:r>
    </w:p>
    <w:p>
      <w:pPr>
        <w:pageBreakBefore w:val="0"/>
        <w:topLinePunct w:val="0"/>
        <w:bidi w:val="0"/>
        <w:jc w:val="both"/>
        <w:outlineLvl w:val="9"/>
        <w:rPr>
          <w:rFonts w:hint="eastAsia" w:eastAsia="仿宋_GB2312"/>
          <w:sz w:val="32"/>
          <w:szCs w:val="32"/>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教学督导委员会章程</w:t>
      </w:r>
      <w:bookmarkEnd w:id="16"/>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第一条  为全面提高教学质量，加强学校教学质量内部监控，保证教学过程和各环节按规范进行，特成立上海电子信息职业技术学院教学督导委员会，并制订本章程。</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第二条  教学督导委员会是学校教学质量监控与教学督导的领导、组织与协调的专门性组织，由学校领导、行业企业专家和教育教学专家组成。教学督导委员会主任由院长聘任，委员聘期二年。</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第三条  督导委员会成员应熟悉高职教育的教学规律，了解高职教改的动向，有较丰富的管理经验与教学经验、较高的专业水平，责任心强，胜任本职工作。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第四条  学校教学督导委员会每学期召开不少于一次工作会议。</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第五条  职责与任务</w:t>
      </w:r>
    </w:p>
    <w:p>
      <w:pPr>
        <w:pageBreakBefore w:val="0"/>
        <w:topLinePunct w:val="0"/>
        <w:bidi w:val="0"/>
        <w:spacing w:line="360" w:lineRule="auto"/>
        <w:ind w:firstLine="51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1．监督学校制订的教育教学目标（包括各专业人才培养目标定位、重大教学改革方案和人才培养方案的制订，专业建设与发展方向）和各项质量标准要求在各教学单位和教学过程中的贯彻执行。</w:t>
      </w:r>
    </w:p>
    <w:p>
      <w:pPr>
        <w:pageBreakBefore w:val="0"/>
        <w:topLinePunct w:val="0"/>
        <w:bidi w:val="0"/>
        <w:spacing w:line="360" w:lineRule="auto"/>
        <w:ind w:firstLine="51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2．制订学校教学质量内部监控体系。</w:t>
      </w:r>
    </w:p>
    <w:p>
      <w:pPr>
        <w:pageBreakBefore w:val="0"/>
        <w:topLinePunct w:val="0"/>
        <w:bidi w:val="0"/>
        <w:spacing w:line="360" w:lineRule="auto"/>
        <w:ind w:firstLine="51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3．审定学校质量评价体系框架、教学质量内部监控工作规划以及相关质量管理规范。</w:t>
      </w:r>
    </w:p>
    <w:p>
      <w:pPr>
        <w:pageBreakBefore w:val="0"/>
        <w:topLinePunct w:val="0"/>
        <w:bidi w:val="0"/>
        <w:spacing w:line="360" w:lineRule="auto"/>
        <w:ind w:firstLine="51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4．根据学校发展规划和近期教学管理目标，确定年度督导工作重点，审定学期督导工作计划。</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5．协助对教学单位和教学管理部门的制度执行实施监督。</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6．完成与教学质量内部监控相关的其他指导性工作。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第六条  本章程自公布之日起施行，由学校教学督导委员会负责解释。</w:t>
      </w:r>
    </w:p>
    <w:p>
      <w:pPr>
        <w:pageBreakBefore w:val="0"/>
        <w:topLinePunct w:val="0"/>
        <w:bidi w:val="0"/>
        <w:ind w:firstLine="6240" w:firstLineChars="1950"/>
        <w:outlineLvl w:val="9"/>
        <w:rPr>
          <w:rFonts w:eastAsia="仿宋_GB2312"/>
          <w:sz w:val="32"/>
          <w:szCs w:val="32"/>
        </w:rPr>
      </w:pPr>
    </w:p>
    <w:p>
      <w:pPr>
        <w:pageBreakBefore w:val="0"/>
        <w:topLinePunct w:val="0"/>
        <w:bidi w:val="0"/>
        <w:jc w:val="center"/>
        <w:outlineLvl w:val="9"/>
        <w:rPr>
          <w:rFonts w:hint="eastAsia"/>
          <w:sz w:val="24"/>
        </w:rPr>
      </w:pPr>
      <w:r>
        <w:rPr>
          <w:rFonts w:eastAsia="仿宋_GB2312"/>
          <w:sz w:val="32"/>
          <w:szCs w:val="32"/>
        </w:rPr>
        <w:br w:type="page"/>
      </w:r>
      <w:bookmarkStart w:id="18" w:name="_Toc26068"/>
      <w:bookmarkStart w:id="19" w:name="_Toc14318"/>
      <w:bookmarkStart w:id="20" w:name="_Toc15910"/>
      <w:bookmarkStart w:id="21" w:name="_Toc30456"/>
    </w:p>
    <w:p>
      <w:pPr>
        <w:pageBreakBefore w:val="0"/>
        <w:topLinePunct w:val="0"/>
        <w:bidi w:val="0"/>
        <w:jc w:val="center"/>
        <w:outlineLvl w:val="9"/>
        <w:rPr>
          <w:rFonts w:hint="eastAsia"/>
          <w:sz w:val="24"/>
        </w:rPr>
      </w:pPr>
    </w:p>
    <w:p>
      <w:pPr>
        <w:pageBreakBefore w:val="0"/>
        <w:topLinePunct w:val="0"/>
        <w:bidi w:val="0"/>
        <w:jc w:val="center"/>
        <w:outlineLvl w:val="9"/>
        <w:rPr>
          <w:rFonts w:hint="eastAsia"/>
          <w:sz w:val="24"/>
        </w:rPr>
      </w:pPr>
    </w:p>
    <w:p>
      <w:pPr>
        <w:pageBreakBefore w:val="0"/>
        <w:topLinePunct w:val="0"/>
        <w:bidi w:val="0"/>
        <w:jc w:val="center"/>
        <w:outlineLvl w:val="9"/>
        <w:rPr>
          <w:rFonts w:hint="eastAsia"/>
          <w:sz w:val="24"/>
        </w:rPr>
      </w:pPr>
    </w:p>
    <w:p>
      <w:pPr>
        <w:pageBreakBefore w:val="0"/>
        <w:topLinePunct w:val="0"/>
        <w:bidi w:val="0"/>
        <w:jc w:val="center"/>
        <w:outlineLvl w:val="9"/>
        <w:rPr>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spacing w:before="156" w:beforeLines="50"/>
        <w:jc w:val="center"/>
        <w:outlineLvl w:val="9"/>
        <w:rPr>
          <w:sz w:val="24"/>
        </w:rPr>
      </w:pPr>
    </w:p>
    <w:p>
      <w:pPr>
        <w:pageBreakBefore w:val="0"/>
        <w:topLinePunct w:val="0"/>
        <w:bidi w:val="0"/>
        <w:spacing w:before="156" w:beforeLines="50"/>
        <w:jc w:val="center"/>
        <w:outlineLvl w:val="9"/>
        <w:rPr>
          <w:rFonts w:ascii="仿宋_GB2312" w:eastAsia="仿宋_GB2312"/>
          <w:sz w:val="32"/>
          <w:szCs w:val="32"/>
        </w:rPr>
      </w:pPr>
      <w:r>
        <w:rPr>
          <w:rFonts w:hint="eastAsia" w:ascii="仿宋_GB2312" w:eastAsia="仿宋_GB2312"/>
          <w:color w:val="000000"/>
          <w:kern w:val="0"/>
          <w:sz w:val="32"/>
          <w:szCs w:val="28"/>
        </w:rPr>
        <w:t xml:space="preserve">沪电信职院〔2017〕104号  </w:t>
      </w:r>
    </w:p>
    <w:p>
      <w:pPr>
        <w:pageBreakBefore w:val="0"/>
        <w:topLinePunct w:val="0"/>
        <w:bidi w:val="0"/>
        <w:spacing w:line="440" w:lineRule="exact"/>
        <w:outlineLvl w:val="9"/>
        <w:rPr>
          <w:rFonts w:hint="eastAsia" w:ascii="黑体" w:eastAsia="黑体"/>
          <w:color w:val="FF0000"/>
          <w:sz w:val="28"/>
          <w:szCs w:val="28"/>
          <w:u w:val="thick"/>
        </w:rPr>
      </w:pPr>
      <w:r>
        <w:rPr>
          <w:rFonts w:hint="eastAsia" w:ascii="黑体" w:eastAsia="黑体"/>
          <w:color w:val="FF0000"/>
          <w:sz w:val="28"/>
          <w:szCs w:val="28"/>
          <w:u w:val="thick"/>
        </w:rPr>
        <w:t xml:space="preserve">                                                          </w:t>
      </w:r>
    </w:p>
    <w:p>
      <w:pPr>
        <w:pageBreakBefore w:val="0"/>
        <w:topLinePunct w:val="0"/>
        <w:bidi w:val="0"/>
        <w:spacing w:line="560" w:lineRule="exact"/>
        <w:jc w:val="center"/>
        <w:outlineLvl w:val="9"/>
        <w:rPr>
          <w:rFonts w:hint="eastAsia" w:hAnsi="华文中宋" w:eastAsia="华文中宋"/>
          <w:b/>
          <w:kern w:val="0"/>
          <w:sz w:val="36"/>
          <w:szCs w:val="36"/>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bCs/>
          <w:sz w:val="36"/>
          <w:szCs w:val="36"/>
        </w:rPr>
      </w:pPr>
      <w:bookmarkStart w:id="22" w:name="_Toc24862"/>
      <w:r>
        <w:rPr>
          <w:rFonts w:hint="eastAsia" w:ascii="黑体" w:hAnsi="黑体" w:eastAsia="黑体" w:cs="黑体"/>
          <w:b/>
          <w:bCs/>
          <w:sz w:val="36"/>
          <w:szCs w:val="36"/>
        </w:rPr>
        <w:t>关于印发《上海电子信息职业技术学院教学工作委员会章程》的通知</w:t>
      </w:r>
      <w:bookmarkEnd w:id="22"/>
    </w:p>
    <w:p>
      <w:pPr>
        <w:pageBreakBefore w:val="0"/>
        <w:widowControl/>
        <w:topLinePunct w:val="0"/>
        <w:bidi w:val="0"/>
        <w:adjustRightInd w:val="0"/>
        <w:snapToGrid w:val="0"/>
        <w:spacing w:line="56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widowControl/>
        <w:topLinePunct w:val="0"/>
        <w:bidi w:val="0"/>
        <w:adjustRightInd w:val="0"/>
        <w:snapToGrid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各教学单位、职能部门： </w:t>
      </w:r>
    </w:p>
    <w:p>
      <w:pPr>
        <w:pageBreakBefore w:val="0"/>
        <w:topLinePunct w:val="0"/>
        <w:bidi w:val="0"/>
        <w:spacing w:line="56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现将《上海电子信息职业技术学院教学工作委员会章程》印发给你们，请结合本部门工作实际，认真研究执行。</w:t>
      </w:r>
    </w:p>
    <w:p>
      <w:pPr>
        <w:pageBreakBefore w:val="0"/>
        <w:widowControl/>
        <w:topLinePunct w:val="0"/>
        <w:bidi w:val="0"/>
        <w:adjustRightInd w:val="0"/>
        <w:snapToGrid w:val="0"/>
        <w:spacing w:line="560" w:lineRule="exact"/>
        <w:jc w:val="center"/>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附件：上海电子信息职业技术学院教学工作委员会章程</w:t>
      </w:r>
    </w:p>
    <w:p>
      <w:pPr>
        <w:pageBreakBefore w:val="0"/>
        <w:widowControl/>
        <w:topLinePunct w:val="0"/>
        <w:bidi w:val="0"/>
        <w:adjustRightInd w:val="0"/>
        <w:snapToGrid w:val="0"/>
        <w:spacing w:line="56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ind w:left="1575" w:leftChars="350" w:hanging="840" w:hangingChars="3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ind w:left="1575" w:leftChars="350"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left="1693" w:leftChars="806" w:firstLine="1120" w:firstLineChars="4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r>
        <w:rPr>
          <w:rFonts w:hint="eastAsia" w:ascii="仿宋_GB2312" w:hAnsi="仿宋_GB2312" w:eastAsia="仿宋_GB2312" w:cs="仿宋_GB2312"/>
          <w:kern w:val="2"/>
          <w:sz w:val="28"/>
          <w:szCs w:val="28"/>
          <w:highlight w:val="none"/>
          <w:lang w:val="en-US" w:eastAsia="zh-CN" w:bidi="ar-SA"/>
        </w:rPr>
        <w:br w:type="textWrapping"/>
      </w:r>
      <w:r>
        <w:rPr>
          <w:rFonts w:hint="eastAsia" w:ascii="仿宋_GB2312" w:hAnsi="仿宋_GB2312" w:eastAsia="仿宋_GB2312" w:cs="仿宋_GB2312"/>
          <w:kern w:val="2"/>
          <w:sz w:val="28"/>
          <w:szCs w:val="28"/>
          <w:highlight w:val="none"/>
          <w:lang w:val="en-US" w:eastAsia="zh-CN" w:bidi="ar-SA"/>
        </w:rPr>
        <w:t xml:space="preserve">             2017年9月26日</w:t>
      </w:r>
    </w:p>
    <w:p>
      <w:pPr>
        <w:pageBreakBefore w:val="0"/>
        <w:topLinePunct w:val="0"/>
        <w:bidi w:val="0"/>
        <w:spacing w:line="560" w:lineRule="exact"/>
        <w:jc w:val="center"/>
        <w:outlineLvl w:val="9"/>
        <w:rPr>
          <w:rFonts w:hint="eastAsia" w:eastAsia="仿宋_GB2312"/>
          <w:sz w:val="32"/>
          <w:szCs w:val="32"/>
        </w:rPr>
      </w:pPr>
    </w:p>
    <w:p>
      <w:pPr>
        <w:pageBreakBefore w:val="0"/>
        <w:topLinePunct w:val="0"/>
        <w:bidi w:val="0"/>
        <w:spacing w:after="312" w:afterLines="100" w:line="400" w:lineRule="exact"/>
        <w:jc w:val="both"/>
        <w:outlineLvl w:val="9"/>
        <w:rPr>
          <w:rFonts w:hint="eastAsia" w:eastAsia="仿宋_GB2312"/>
          <w:sz w:val="32"/>
          <w:szCs w:val="32"/>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教学工作委员会章程</w:t>
      </w:r>
      <w:bookmarkEnd w:id="18"/>
      <w:bookmarkEnd w:id="19"/>
      <w:bookmarkEnd w:id="20"/>
      <w:bookmarkEnd w:id="21"/>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bookmarkStart w:id="23" w:name="_Toc295991750"/>
      <w:r>
        <w:rPr>
          <w:rFonts w:hint="eastAsia" w:ascii="仿宋_GB2312" w:hAnsi="仿宋_GB2312" w:eastAsia="仿宋_GB2312" w:cs="仿宋_GB2312"/>
          <w:sz w:val="28"/>
          <w:szCs w:val="28"/>
          <w:highlight w:val="none"/>
          <w:lang w:val="en-US" w:eastAsia="zh-CN"/>
        </w:rPr>
        <w:t>一、总 则</w:t>
      </w:r>
      <w:bookmarkEnd w:id="23"/>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为进一步贯彻党和国家的教育方针政策，深化教育教学改革，提高教学质量，根据教育部《关于加强高职高专教育人才培养工作的意见》（教高【2000】2号）文件精神，学校成立教学工作委员会，并制定本章程。</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在校长领导下，教学工作委员会指导全校教学管理工作，研究和决定学校教学管理工作中的一些重大问题。</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bookmarkStart w:id="24" w:name="_Toc295991751"/>
      <w:r>
        <w:rPr>
          <w:rFonts w:hint="eastAsia" w:ascii="仿宋_GB2312" w:hAnsi="仿宋_GB2312" w:eastAsia="仿宋_GB2312" w:cs="仿宋_GB2312"/>
          <w:sz w:val="28"/>
          <w:szCs w:val="28"/>
          <w:highlight w:val="none"/>
          <w:lang w:val="en-US" w:eastAsia="zh-CN"/>
        </w:rPr>
        <w:t>二、组织形式</w:t>
      </w:r>
      <w:bookmarkEnd w:id="24"/>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（一）学校教学工作委员会由直接从事教学工作、有丰富教学经验的教师和熟悉教学工作、有经验的教学管理人员组成，设主任一名，副主任一名。主任由校长担任；副主任由分管教学的副校长担任。</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（二）教学工作委员会委员数量为不少于11人的单数，由校长办公会议讨论决定，校长聘任。每届任期三年，届内可根据工作需要对组成人员进行调整和充实。</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委员的聘任条件是：</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1．热心学校的教学工作，有较强的事业心和奉献精神；</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2．有丰富的高职教学与教学管理工作经验；</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3．作风正派，坚持原则，实事求是；</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4．身体健康，能履行工作职责。</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（三）教学工作委员会办公室设在教务处，办公室设兼职秘书一人。</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bookmarkStart w:id="25" w:name="_Toc295991752"/>
      <w:r>
        <w:rPr>
          <w:rFonts w:hint="eastAsia" w:ascii="仿宋_GB2312" w:hAnsi="仿宋_GB2312" w:eastAsia="仿宋_GB2312" w:cs="仿宋_GB2312"/>
          <w:sz w:val="28"/>
          <w:szCs w:val="28"/>
          <w:highlight w:val="none"/>
          <w:lang w:val="en-US" w:eastAsia="zh-CN"/>
        </w:rPr>
        <w:t>三、工作职责</w:t>
      </w:r>
      <w:bookmarkEnd w:id="25"/>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（一）研究专业建设、教学管理、教学改革中的一些重大问题。</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（二）审议学校的专业建设与发展规划；审议、通过各专业人才培养方案；为专业建设、课程建设等教学基本建设工作提供指导、咨询和建议。</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（三）督促、检查学校教学管理制度及教学任务的执行情况，处理需要由教学工作委员会审查的申诉案件。</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（四）审议学校规章制度规定需要由教学工作委员会讨论的其他事项。</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bookmarkStart w:id="26" w:name="_Toc295991753"/>
      <w:r>
        <w:rPr>
          <w:rFonts w:hint="eastAsia" w:ascii="仿宋_GB2312" w:hAnsi="仿宋_GB2312" w:eastAsia="仿宋_GB2312" w:cs="仿宋_GB2312"/>
          <w:sz w:val="28"/>
          <w:szCs w:val="28"/>
          <w:highlight w:val="none"/>
          <w:lang w:val="en-US" w:eastAsia="zh-CN"/>
        </w:rPr>
        <w:t>四、工作制度</w:t>
      </w:r>
      <w:bookmarkEnd w:id="26"/>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（一）教学工作委员会全体会议在教学工作委员会主任主持下召开，如教学工作委员会主任因故不能主持，可委托副主任主持。</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（二）教学工作委员会全体委员会议每学年召开一至两次。会议应有三分之二以上委员出席方可举行。根据教学工作需要，可召开教学工作委员会临时会议。</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（三）教学工作委员会决策重大教学问题前应进行充分讨论，投票表决时应有全体委员的二分之一以上同意方为通过。全体委员会会议应有会议纪要。</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bookmarkStart w:id="27" w:name="_Toc295991754"/>
      <w:r>
        <w:rPr>
          <w:rFonts w:hint="eastAsia" w:ascii="仿宋_GB2312" w:hAnsi="仿宋_GB2312" w:eastAsia="仿宋_GB2312" w:cs="仿宋_GB2312"/>
          <w:sz w:val="28"/>
          <w:szCs w:val="28"/>
          <w:highlight w:val="none"/>
          <w:lang w:val="en-US" w:eastAsia="zh-CN"/>
        </w:rPr>
        <w:t>五、附 则</w:t>
      </w:r>
      <w:bookmarkEnd w:id="27"/>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本章程自公布之日起实施，解释权归属学校教学工作委员会。</w:t>
      </w:r>
    </w:p>
    <w:p>
      <w:pPr>
        <w:pageBreakBefore w:val="0"/>
        <w:topLinePunct w:val="0"/>
        <w:bidi w:val="0"/>
        <w:jc w:val="both"/>
        <w:outlineLvl w:val="9"/>
        <w:rPr>
          <w:rFonts w:hint="eastAsia"/>
          <w:color w:val="000000"/>
        </w:rPr>
      </w:pPr>
    </w:p>
    <w:p>
      <w:pPr>
        <w:pageBreakBefore w:val="0"/>
        <w:topLinePunct w:val="0"/>
        <w:bidi w:val="0"/>
        <w:jc w:val="right"/>
        <w:outlineLvl w:val="9"/>
        <w:rPr>
          <w:rFonts w:hint="eastAsia"/>
          <w:color w:val="000000"/>
        </w:rPr>
      </w:pPr>
    </w:p>
    <w:p>
      <w:pPr>
        <w:pageBreakBefore w:val="0"/>
        <w:topLinePunct w:val="0"/>
        <w:bidi w:val="0"/>
        <w:jc w:val="center"/>
        <w:outlineLvl w:val="9"/>
        <w:rPr>
          <w:rFonts w:ascii="Calibri" w:hAnsi="Calibri"/>
          <w:sz w:val="24"/>
          <w:szCs w:val="22"/>
        </w:rPr>
      </w:pPr>
    </w:p>
    <w:p>
      <w:pPr>
        <w:pageBreakBefore w:val="0"/>
        <w:topLinePunct w:val="0"/>
        <w:bidi w:val="0"/>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rFonts w:ascii="Calibri" w:hAnsi="Calibri"/>
          <w:sz w:val="24"/>
          <w:szCs w:val="22"/>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20" w:beforeLines="50"/>
        <w:jc w:val="center"/>
        <w:outlineLvl w:val="9"/>
        <w:rPr>
          <w:rFonts w:eastAsia="仿宋_GB2312"/>
          <w:sz w:val="32"/>
          <w:szCs w:val="32"/>
        </w:rPr>
      </w:pPr>
      <w:r>
        <w:rPr>
          <w:rFonts w:hint="eastAsia" w:eastAsia="仿宋_GB2312"/>
          <w:color w:val="000000"/>
          <w:kern w:val="0"/>
          <w:sz w:val="32"/>
          <w:szCs w:val="28"/>
        </w:rPr>
        <w:t>沪电信职院</w:t>
      </w:r>
      <w:r>
        <w:rPr>
          <w:rFonts w:hint="eastAsia" w:ascii="仿宋_GB2312" w:eastAsia="仿宋_GB2312"/>
          <w:color w:val="000000"/>
          <w:kern w:val="0"/>
          <w:sz w:val="32"/>
          <w:szCs w:val="28"/>
        </w:rPr>
        <w:t xml:space="preserve">〔2017〕172号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pageBreakBefore w:val="0"/>
        <w:topLinePunct w:val="0"/>
        <w:bidi w:val="0"/>
        <w:spacing w:line="360" w:lineRule="auto"/>
        <w:jc w:val="center"/>
        <w:outlineLvl w:val="9"/>
        <w:rPr>
          <w:rFonts w:hint="eastAsia" w:ascii="黑体" w:hAnsi="黑体" w:eastAsia="黑体" w:cs="黑体"/>
          <w:b/>
          <w:bCs/>
          <w:sz w:val="36"/>
          <w:szCs w:val="36"/>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bCs/>
          <w:sz w:val="36"/>
          <w:szCs w:val="36"/>
        </w:rPr>
      </w:pPr>
      <w:bookmarkStart w:id="28" w:name="_Toc32459"/>
      <w:r>
        <w:rPr>
          <w:rFonts w:hint="eastAsia" w:ascii="黑体" w:hAnsi="黑体" w:eastAsia="黑体" w:cs="黑体"/>
          <w:b/>
          <w:bCs/>
          <w:sz w:val="36"/>
          <w:szCs w:val="36"/>
        </w:rPr>
        <w:t>关于印发《上海电子信息职业技术学院校内实训基地建设管理办法》的通知</w:t>
      </w:r>
      <w:bookmarkEnd w:id="28"/>
    </w:p>
    <w:p>
      <w:pPr>
        <w:pageBreakBefore w:val="0"/>
        <w:topLinePunct w:val="0"/>
        <w:bidi w:val="0"/>
        <w:spacing w:before="240" w:beforeLines="100" w:line="50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before="240" w:beforeLines="100" w:line="50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56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现将《上海电子信息职业技术学院校内实训基地建设管理办法》印发给你们，请结合本部门工作实际，认真研究执行。</w:t>
      </w:r>
      <w:r>
        <w:rPr>
          <w:rFonts w:hint="eastAsia" w:ascii="仿宋_GB2312" w:hAnsi="仿宋_GB2312" w:eastAsia="仿宋_GB2312" w:cs="仿宋_GB2312"/>
          <w:kern w:val="2"/>
          <w:sz w:val="28"/>
          <w:szCs w:val="28"/>
          <w:highlight w:val="none"/>
          <w:lang w:val="en-US" w:eastAsia="zh-CN" w:bidi="ar-SA"/>
        </w:rPr>
        <w:tab/>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left="1618" w:leftChars="304" w:hanging="980" w:hangingChars="350"/>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附件：上海电子信息职业技术学院校内实训基地建设管理办法</w:t>
      </w:r>
    </w:p>
    <w:p>
      <w:pPr>
        <w:pageBreakBefore w:val="0"/>
        <w:topLinePunct w:val="0"/>
        <w:bidi w:val="0"/>
        <w:spacing w:line="5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right="480" w:firstLine="3220" w:firstLineChars="115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right="480" w:firstLine="3220" w:firstLineChars="11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60" w:lineRule="exact"/>
        <w:ind w:right="480" w:firstLine="3780" w:firstLineChars="13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2017年12月21日</w:t>
      </w:r>
    </w:p>
    <w:p>
      <w:pPr>
        <w:pageBreakBefore w:val="0"/>
        <w:topLinePunct w:val="0"/>
        <w:bidi w:val="0"/>
        <w:spacing w:line="500" w:lineRule="exact"/>
        <w:ind w:firstLine="640" w:firstLineChars="200"/>
        <w:outlineLvl w:val="9"/>
        <w:rPr>
          <w:rFonts w:ascii="仿宋_GB2312" w:eastAsia="仿宋_GB2312" w:cs="宋体"/>
          <w:color w:val="000000"/>
          <w:sz w:val="32"/>
          <w:szCs w:val="32"/>
        </w:rPr>
      </w:pPr>
    </w:p>
    <w:p>
      <w:pPr>
        <w:pageBreakBefore w:val="0"/>
        <w:topLinePunct w:val="0"/>
        <w:bidi w:val="0"/>
        <w:spacing w:line="500" w:lineRule="exact"/>
        <w:ind w:firstLine="640" w:firstLineChars="200"/>
        <w:outlineLvl w:val="9"/>
        <w:rPr>
          <w:rFonts w:hint="eastAsia" w:ascii="仿宋_GB2312" w:eastAsia="仿宋_GB2312" w:cs="宋体"/>
          <w:color w:val="000000"/>
          <w:sz w:val="32"/>
          <w:szCs w:val="32"/>
        </w:rPr>
      </w:pPr>
    </w:p>
    <w:p>
      <w:pPr>
        <w:pageBreakBefore w:val="0"/>
        <w:widowControl/>
        <w:topLinePunct w:val="0"/>
        <w:bidi w:val="0"/>
        <w:adjustRightInd w:val="0"/>
        <w:snapToGrid w:val="0"/>
        <w:spacing w:line="360" w:lineRule="auto"/>
        <w:jc w:val="left"/>
        <w:outlineLvl w:val="9"/>
        <w:rPr>
          <w:rFonts w:ascii="宋体"/>
        </w:rPr>
      </w:pPr>
    </w:p>
    <w:p>
      <w:pPr>
        <w:pageBreakBefore w:val="0"/>
        <w:topLinePunct w:val="0"/>
        <w:bidi w:val="0"/>
        <w:spacing w:line="360" w:lineRule="auto"/>
        <w:jc w:val="center"/>
        <w:outlineLvl w:val="9"/>
        <w:rPr>
          <w:rFonts w:hint="eastAsia" w:ascii="黑体" w:hAnsi="黑体" w:eastAsia="黑体" w:cs="黑体"/>
          <w:b/>
          <w:bCs/>
          <w:sz w:val="36"/>
          <w:szCs w:val="36"/>
        </w:rPr>
      </w:pPr>
      <w:bookmarkStart w:id="29" w:name="_Toc18414"/>
      <w:bookmarkStart w:id="30" w:name="_Toc23597"/>
      <w:bookmarkStart w:id="31" w:name="_Toc12624"/>
      <w:bookmarkStart w:id="32" w:name="_Toc14253"/>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校内实训基地建设管理办法</w:t>
      </w:r>
      <w:bookmarkEnd w:id="29"/>
      <w:bookmarkEnd w:id="30"/>
      <w:bookmarkEnd w:id="31"/>
      <w:bookmarkEnd w:id="32"/>
    </w:p>
    <w:p>
      <w:pPr>
        <w:pageBreakBefore w:val="0"/>
        <w:topLinePunct w:val="0"/>
        <w:bidi w:val="0"/>
        <w:jc w:val="both"/>
        <w:outlineLvl w:val="9"/>
        <w:rPr>
          <w:rFonts w:ascii="仿宋" w:hAnsi="仿宋" w:eastAsia="仿宋" w:cs="仿宋"/>
          <w:b/>
          <w:color w:val="000000"/>
          <w:sz w:val="32"/>
          <w:szCs w:val="32"/>
        </w:rPr>
      </w:pP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校内实训基地是进行实践、科研、技术开发的重要场所，是培养适应社会需要的高素质技术技能型专门人才的基本保障。为加强校内实训基地的建设，提高实践教学质量、科研水平及人才培养质量，结合我校实际情况，特制订本办法。</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bookmarkStart w:id="33" w:name="_Toc295991921"/>
      <w:r>
        <w:rPr>
          <w:rFonts w:hint="eastAsia" w:ascii="仿宋_GB2312" w:hAnsi="仿宋_GB2312" w:eastAsia="仿宋_GB2312" w:cs="仿宋_GB2312"/>
          <w:kern w:val="2"/>
          <w:sz w:val="28"/>
          <w:szCs w:val="28"/>
          <w:highlight w:val="none"/>
          <w:lang w:val="en-US" w:eastAsia="zh-CN" w:bidi="ar-SA"/>
        </w:rPr>
        <w:t>一、建设原则</w:t>
      </w:r>
      <w:bookmarkEnd w:id="33"/>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1．符合学院整体建设规划，坚持总体规划、分步实施、突出重点、体现效益的原则。</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2．有利于开展实践教学工作，有利于提高校内实训基地及仪器设备的利用率和效益。</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3．专管共用，体现“规模效益”，仪器设备要充分发挥作用，避免重复购置，提倡校内实训基地资源共享、互通有无。</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4．符合学校各专业的发展需要，有利于形成特色。</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二、建立校内实训基地的基本条件</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 有稳定的专业发展方向和充实的实践教学或技术开发等任务。</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2．有符合实践教学或技术开发要求的房舍、设施及环境。</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3．有专职技术人员和管理人员。</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三、校内实训基地建设</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学校根据规划与实际需要，每年从教育事业费中划出一定比例的经费用于校内实训基地的建设。实训基地建设实行项目化管理，按照调研、论证、立项、实施、验收、绩效考核的程序进行。</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1．二级学院根据专业发展的需要，经充分调研后，撰写实训基地建设方案，上报教务处。</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2．教务处组织专家对实训基地建设方案进行必要性及可行性论证，资产管理处对采购的仪器设备进行审核，最后经校长办公会议批准后立项。</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资产管理处根据二级学院提出的仪器设备采购具体要求，按照《上海电子信息职业技术学院采购管理办法（试行）》进行仪器设备的采购，同时按《上海电子信息职业技术学院固定资产管理办法（试行）》进行设备管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在实训基地仪器设备等硬件建设以及相关管理制度制订、实训项目开发、实训教学指导书编写等软件建设工作完成后，二级学院填写《实训基地建设项目完成情况报告书》，由教务处组织相关职能部门进行验收。</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5．通过验收后，学校将根据《上海电子信息职业技术学院内涵建设重大项目管理办法》进行绩效奖励，未通过验收将根据具体情况追究相关责任人责任。</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四、附 则</w:t>
      </w:r>
    </w:p>
    <w:p>
      <w:pPr>
        <w:pStyle w:val="34"/>
        <w:pageBreakBefore w:val="0"/>
        <w:topLinePunct w:val="0"/>
        <w:bidi w:val="0"/>
        <w:spacing w:beforeAutospacing="0" w:afterAutospacing="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本办法自颁布之日起正式实施，由上海电子信息职业技术学院教务处负责解释。</w:t>
      </w:r>
    </w:p>
    <w:p>
      <w:pPr>
        <w:pageBreakBefore w:val="0"/>
        <w:topLinePunct w:val="0"/>
        <w:bidi w:val="0"/>
        <w:jc w:val="both"/>
        <w:outlineLvl w:val="9"/>
        <w:rPr>
          <w:rFonts w:eastAsia="仿宋_GB2312"/>
          <w:sz w:val="32"/>
          <w:szCs w:val="32"/>
        </w:rPr>
      </w:pPr>
    </w:p>
    <w:p>
      <w:pPr>
        <w:pageBreakBefore w:val="0"/>
        <w:topLinePunct w:val="0"/>
        <w:bidi w:val="0"/>
        <w:jc w:val="center"/>
        <w:outlineLvl w:val="9"/>
        <w:rPr>
          <w:rFonts w:eastAsia="仿宋_GB2312"/>
          <w:sz w:val="32"/>
          <w:szCs w:val="32"/>
        </w:rPr>
      </w:pPr>
    </w:p>
    <w:p>
      <w:pPr>
        <w:pageBreakBefore w:val="0"/>
        <w:topLinePunct w:val="0"/>
        <w:bidi w:val="0"/>
        <w:jc w:val="center"/>
        <w:outlineLvl w:val="9"/>
        <w:rPr>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rFonts w:ascii="Calibri" w:hAnsi="Calibri"/>
          <w:sz w:val="24"/>
          <w:szCs w:val="22"/>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20" w:beforeLines="50"/>
        <w:jc w:val="center"/>
        <w:outlineLvl w:val="9"/>
        <w:rPr>
          <w:rFonts w:eastAsia="仿宋_GB2312"/>
          <w:sz w:val="32"/>
          <w:szCs w:val="32"/>
        </w:rPr>
      </w:pPr>
      <w:r>
        <w:rPr>
          <w:rFonts w:hint="eastAsia" w:eastAsia="仿宋_GB2312"/>
          <w:color w:val="000000"/>
          <w:kern w:val="0"/>
          <w:sz w:val="32"/>
          <w:szCs w:val="28"/>
        </w:rPr>
        <w:t>沪电信职院</w:t>
      </w:r>
      <w:r>
        <w:rPr>
          <w:rFonts w:hint="eastAsia" w:ascii="仿宋_GB2312" w:eastAsia="仿宋_GB2312"/>
          <w:color w:val="000000"/>
          <w:kern w:val="0"/>
          <w:sz w:val="32"/>
          <w:szCs w:val="28"/>
        </w:rPr>
        <w:t xml:space="preserve">〔2017〕173号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pageBreakBefore w:val="0"/>
        <w:topLinePunct w:val="0"/>
        <w:bidi w:val="0"/>
        <w:spacing w:line="360" w:lineRule="auto"/>
        <w:jc w:val="center"/>
        <w:outlineLvl w:val="9"/>
        <w:rPr>
          <w:rFonts w:hint="eastAsia" w:ascii="黑体" w:hAnsi="黑体" w:eastAsia="黑体" w:cs="黑体"/>
          <w:b/>
          <w:bCs/>
          <w:sz w:val="36"/>
          <w:szCs w:val="36"/>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bCs/>
          <w:sz w:val="36"/>
          <w:szCs w:val="36"/>
        </w:rPr>
      </w:pPr>
      <w:bookmarkStart w:id="34" w:name="_Toc7225"/>
      <w:r>
        <w:rPr>
          <w:rFonts w:hint="eastAsia" w:ascii="黑体" w:hAnsi="黑体" w:eastAsia="黑体" w:cs="黑体"/>
          <w:b/>
          <w:bCs/>
          <w:sz w:val="36"/>
          <w:szCs w:val="36"/>
        </w:rPr>
        <w:t>关于印发《上海电子信息职业技术学院校内实训基地管理办法》的通知</w:t>
      </w:r>
      <w:bookmarkEnd w:id="34"/>
    </w:p>
    <w:p>
      <w:pPr>
        <w:pageBreakBefore w:val="0"/>
        <w:topLinePunct w:val="0"/>
        <w:bidi w:val="0"/>
        <w:spacing w:before="240" w:beforeLines="100" w:line="500" w:lineRule="exact"/>
        <w:outlineLvl w:val="9"/>
        <w:rPr>
          <w:rFonts w:hint="eastAsia" w:ascii="宋体" w:hAnsi="宋体" w:eastAsia="宋体" w:cs="宋体"/>
          <w:kern w:val="2"/>
          <w:sz w:val="28"/>
          <w:szCs w:val="28"/>
          <w:highlight w:val="none"/>
          <w:lang w:val="en-US" w:eastAsia="zh-CN" w:bidi="ar-SA"/>
        </w:rPr>
      </w:pPr>
    </w:p>
    <w:p>
      <w:pPr>
        <w:pageBreakBefore w:val="0"/>
        <w:topLinePunct w:val="0"/>
        <w:bidi w:val="0"/>
        <w:spacing w:before="240" w:beforeLines="100" w:line="50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56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现将《上海电子信息职业技术学院校内实训基地管理办法》印发给你们，请结合本部门工作实际，认真研究执行。</w:t>
      </w:r>
      <w:r>
        <w:rPr>
          <w:rFonts w:hint="eastAsia" w:ascii="仿宋_GB2312" w:hAnsi="仿宋_GB2312" w:eastAsia="仿宋_GB2312" w:cs="仿宋_GB2312"/>
          <w:kern w:val="2"/>
          <w:sz w:val="28"/>
          <w:szCs w:val="28"/>
          <w:highlight w:val="none"/>
          <w:lang w:val="en-US" w:eastAsia="zh-CN" w:bidi="ar-SA"/>
        </w:rPr>
        <w:tab/>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附件：上海电子信息职业技术学院校内实训基地管理办法</w:t>
      </w:r>
    </w:p>
    <w:p>
      <w:pPr>
        <w:pageBreakBefore w:val="0"/>
        <w:topLinePunct w:val="0"/>
        <w:bidi w:val="0"/>
        <w:spacing w:line="5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right="480" w:firstLine="3220" w:firstLineChars="115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right="480" w:firstLine="3220" w:firstLineChars="11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60" w:lineRule="exact"/>
        <w:ind w:right="480" w:firstLine="3780" w:firstLineChars="13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2017年12月21日</w:t>
      </w:r>
    </w:p>
    <w:p>
      <w:pPr>
        <w:pageBreakBefore w:val="0"/>
        <w:topLinePunct w:val="0"/>
        <w:bidi w:val="0"/>
        <w:spacing w:line="500" w:lineRule="exact"/>
        <w:ind w:firstLine="640" w:firstLineChars="200"/>
        <w:outlineLvl w:val="9"/>
        <w:rPr>
          <w:rFonts w:hint="eastAsia" w:ascii="仿宋_GB2312" w:hAnsi="仿宋_GB2312" w:eastAsia="仿宋_GB2312" w:cs="仿宋_GB2312"/>
          <w:color w:val="000000"/>
          <w:sz w:val="32"/>
          <w:szCs w:val="32"/>
        </w:rPr>
      </w:pPr>
    </w:p>
    <w:p>
      <w:pPr>
        <w:pageBreakBefore w:val="0"/>
        <w:topLinePunct w:val="0"/>
        <w:bidi w:val="0"/>
        <w:spacing w:line="500" w:lineRule="exact"/>
        <w:ind w:firstLine="640" w:firstLineChars="200"/>
        <w:outlineLvl w:val="9"/>
        <w:rPr>
          <w:rFonts w:hint="eastAsia" w:ascii="仿宋_GB2312" w:eastAsia="仿宋_GB2312" w:cs="宋体"/>
          <w:color w:val="000000"/>
          <w:sz w:val="32"/>
          <w:szCs w:val="32"/>
        </w:rPr>
      </w:pPr>
    </w:p>
    <w:p>
      <w:pPr>
        <w:pageBreakBefore w:val="0"/>
        <w:topLinePunct w:val="0"/>
        <w:bidi w:val="0"/>
        <w:spacing w:line="360" w:lineRule="auto"/>
        <w:jc w:val="center"/>
        <w:outlineLvl w:val="9"/>
        <w:rPr>
          <w:rFonts w:hint="eastAsia" w:ascii="黑体" w:hAnsi="黑体" w:eastAsia="黑体" w:cs="黑体"/>
          <w:b/>
          <w:bCs/>
          <w:sz w:val="36"/>
          <w:szCs w:val="36"/>
        </w:rPr>
      </w:pPr>
      <w:bookmarkStart w:id="35" w:name="_Toc295991927"/>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bookmarkStart w:id="36" w:name="_Toc2258"/>
      <w:bookmarkStart w:id="37" w:name="_Toc25991"/>
      <w:bookmarkStart w:id="38" w:name="_Toc7959"/>
      <w:bookmarkStart w:id="39" w:name="_Toc23299"/>
      <w:r>
        <w:rPr>
          <w:rFonts w:hint="eastAsia" w:ascii="黑体" w:hAnsi="黑体" w:eastAsia="黑体" w:cs="黑体"/>
          <w:b/>
          <w:bCs/>
          <w:sz w:val="36"/>
          <w:szCs w:val="36"/>
        </w:rPr>
        <w:t>校内实训基地管理办法</w:t>
      </w:r>
      <w:bookmarkEnd w:id="35"/>
      <w:bookmarkEnd w:id="36"/>
      <w:bookmarkEnd w:id="37"/>
      <w:bookmarkEnd w:id="38"/>
      <w:bookmarkEnd w:id="39"/>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为了加强校内实训基地管理，提高教育教学质量，结合我院的实际情况，特制订本管理办法。</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bookmarkStart w:id="40" w:name="_Toc295991929"/>
      <w:r>
        <w:rPr>
          <w:rFonts w:hint="eastAsia" w:ascii="仿宋_GB2312" w:hAnsi="仿宋_GB2312" w:eastAsia="仿宋_GB2312" w:cs="仿宋_GB2312"/>
          <w:kern w:val="2"/>
          <w:sz w:val="28"/>
          <w:szCs w:val="28"/>
          <w:highlight w:val="none"/>
          <w:lang w:val="en-US" w:eastAsia="zh-CN" w:bidi="ar-SA"/>
        </w:rPr>
        <w:t>一、基本任务</w:t>
      </w:r>
      <w:bookmarkEnd w:id="40"/>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校内实训基地要按照人才培养的目标及课程标准的要求，组织编写或选择实训教材、实训指导书等教学资料，不断完善实训器材、实训指导书、实训（记录）登记卡等教学资料，准备好实训仪器设备及材料，合理安排技术人员，保质保量完成实践教学任务。</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校内实训基地要努力提高实训的教学质量。学习先进的职教理论，加强校企合作，更新实训内容，改革教学方法，逐步提高综合型、工学结合型、工程应用型实训项目所占比例，培养学生严谨的科学态度和分析问题、解决问题的能力，努力提高学生的实践技能和创新能力。</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校内实训基地要积极创造条件，对社会开放。在保证完成教学任务的前提下，发挥自己的特色和优势，积极开展社会服务和技术开发，提高校内实训基地仪器设备的利用率，充分发挥投资效益，增强校内实训基地的活力。</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校内实训基地要做好仪器设备的配置、管理、维修、改造、计量及标定等工作，按照学校有关管理制度进行实训室仪器设备、材料、低值易耗品等物资的管理，保证仪器设备处于完好状态。要发动广大教师和实验员积极开展实训装置的研究和自制工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（五）校内实训基地要建立健全各项规章制度，使各项工作规范化、制度化。</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校内实训基地要健全安全防范管理制度，落实“三防”（防火、防盗、防事故）责任人，配置必要的防火设备和器材，并定期检查“三防”安全措施执行情况，及早消除各种险情，对有关人员要经常进行安全教育，确保人身与国家财产安全。</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 校内实训基地要进行科学管理，要采用信息化等现代化管理手段做好校内实训基地工作档案管理工作，对校内实训基地的工作、教学、人员、物资、经费、环境状态等信息进行记录、统计和分析，及时为学校提供校内实训基地的准确数据。</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 校内实训基地的房屋、设备、人员等资源是为完成学校的实践教学、生产试验和技术开发等任务而配置的，未经学校批准，任何单位和个人不得随意侵占。</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 校内实训基地要建立健全岗位责任制度、操作规程、安全制度以及其他有关管理办法、规章制度等，并定期对校内实训基地工作人员的执行情况进行考核。</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bookmarkStart w:id="41" w:name="_Toc295991931"/>
      <w:r>
        <w:rPr>
          <w:rFonts w:hint="eastAsia" w:ascii="仿宋_GB2312" w:hAnsi="仿宋_GB2312" w:eastAsia="仿宋_GB2312" w:cs="仿宋_GB2312"/>
          <w:kern w:val="2"/>
          <w:sz w:val="28"/>
          <w:szCs w:val="28"/>
          <w:highlight w:val="none"/>
          <w:lang w:val="en-US" w:eastAsia="zh-CN" w:bidi="ar-SA"/>
        </w:rPr>
        <w:t>二、管理体制</w:t>
      </w:r>
      <w:bookmarkEnd w:id="41"/>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校内实训基地实行院校两级管理。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（一）教务处代表学校管理校内实训基地工作，主要职责是：</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1．贯彻执行国家有关的方针、政策、法律法规，结合校内实训基地工作的实际，制定整体规划，进行布局调整。</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2．组织协调校内实训基地建设、完善等工作。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3．检查督促校内实训基地完成各项工作任务。</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（二）各二级学院应有一名副院长分管校内实训基地工作，根据本部门校内实训基地的规模和数量，设立相应的实训工作岗位，并协助二级学院负责人做好校内实训基地工作。</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bookmarkStart w:id="42" w:name="_Toc295991932"/>
      <w:r>
        <w:rPr>
          <w:rFonts w:hint="eastAsia" w:ascii="仿宋_GB2312" w:hAnsi="仿宋_GB2312" w:eastAsia="仿宋_GB2312" w:cs="仿宋_GB2312"/>
          <w:kern w:val="2"/>
          <w:sz w:val="28"/>
          <w:szCs w:val="28"/>
          <w:highlight w:val="none"/>
          <w:lang w:val="en-US" w:eastAsia="zh-CN" w:bidi="ar-SA"/>
        </w:rPr>
        <w:t>三、岗位职责</w:t>
      </w:r>
      <w:bookmarkEnd w:id="42"/>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（一）校内实训基地主任的主要职责：</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1．组织编制校内实训基地建设规划和计划，并组织实施和检查执行情况。</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2．领导并组织完成校内实训基地基本工作任务。</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3．搞好校内实训基地的科学管理，贯彻、实施有关规章制度。</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4．领导本基地各类人员的工作，关心本基地人员的生活和学习，制定岗位责任制，负责对本基地工作人员的培训及考核工作。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5．抓好信息收集、整理工作，按时提交相关数据采集信息。</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6．定期检查、总结校内实训基地的工作。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（二）实训教师的基本要求和岗位职责 </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1．基本要求</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实训教师要求有良好的职业道德，较高的思想政治觉悟，工作认真负责，为人师表。能较系统地掌握相关学科的基础理论知识，有较丰富的实训教学经验，能独立组织实施相关课程的实训教学活动。身体健康，能胜任本职工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2．岗位职责</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（1）认真备课，做好实训指导工作，保证实践教学质量。</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（2）承担相关的实训、职业技能考核、专业技术竞赛等指导与教学任务。</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（3）组织编写一定水平的实训教材和指导文件。严格指导和管理学生实训，认真记录实训教学情况，批改学生实训报告，评定学生实训成绩。</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承担校内实训基地的仪器设备的技术管理工作（对仪器设备定期进行质量检验、故障排除、整理和完善技术文件等）；完成相关精密、贵重仪器设备的验收、安装、调试、使用等工作；独立进行引进设备和仪器的技术消化、开发和编写使用指南等文件。</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（5）经常开展相关实训教学工作的科学研究。</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（6）协助校内实训基地主任制定和实施实训室的建设规划。</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（7）关心学生思想教育工作。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（8）首次开设的实训项目，实训教师要进行试做，并做好试做记录工作。首次上岗指导实训的教师应试讲、试做后方可上岗指导实训。</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四、附 则</w:t>
      </w:r>
    </w:p>
    <w:p>
      <w:pPr>
        <w:pStyle w:val="34"/>
        <w:pageBreakBefore w:val="0"/>
        <w:topLinePunct w:val="0"/>
        <w:bidi w:val="0"/>
        <w:spacing w:beforeAutospacing="0" w:afterAutospacing="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本办法自颁布之日起正式实施，由上海电子信息职业技术学院教务处负责解释。</w:t>
      </w:r>
    </w:p>
    <w:p>
      <w:pPr>
        <w:pageBreakBefore w:val="0"/>
        <w:topLinePunct w:val="0"/>
        <w:bidi w:val="0"/>
        <w:spacing w:line="360" w:lineRule="auto"/>
        <w:ind w:firstLine="560" w:firstLineChars="200"/>
        <w:outlineLvl w:val="9"/>
        <w:rPr>
          <w:rFonts w:ascii="仿宋" w:hAnsi="仿宋" w:eastAsia="仿宋" w:cs="仿宋"/>
          <w:sz w:val="28"/>
          <w:szCs w:val="28"/>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spacing w:line="20" w:lineRule="exact"/>
        <w:outlineLvl w:val="9"/>
        <w:rPr>
          <w:rFonts w:ascii="仿宋" w:hAnsi="仿宋" w:eastAsia="仿宋" w:cs="仿宋"/>
          <w:b/>
          <w:bCs/>
          <w:sz w:val="36"/>
          <w:szCs w:val="36"/>
        </w:rPr>
      </w:pPr>
    </w:p>
    <w:p>
      <w:pPr>
        <w:pageBreakBefore w:val="0"/>
        <w:topLinePunct w:val="0"/>
        <w:bidi w:val="0"/>
        <w:jc w:val="center"/>
        <w:outlineLvl w:val="9"/>
        <w:rPr>
          <w:rFonts w:ascii="Calibri" w:hAnsi="Calibri"/>
          <w:sz w:val="24"/>
          <w:szCs w:val="22"/>
        </w:rPr>
      </w:pPr>
    </w:p>
    <w:p>
      <w:pPr>
        <w:pageBreakBefore w:val="0"/>
        <w:topLinePunct w:val="0"/>
        <w:bidi w:val="0"/>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rFonts w:ascii="Calibri" w:hAnsi="Calibri"/>
          <w:sz w:val="24"/>
          <w:szCs w:val="22"/>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20" w:beforeLines="50"/>
        <w:jc w:val="center"/>
        <w:outlineLvl w:val="9"/>
        <w:rPr>
          <w:rFonts w:eastAsia="仿宋_GB2312"/>
          <w:sz w:val="32"/>
          <w:szCs w:val="32"/>
        </w:rPr>
      </w:pPr>
      <w:r>
        <w:rPr>
          <w:rFonts w:hint="eastAsia" w:eastAsia="仿宋_GB2312"/>
          <w:color w:val="000000"/>
          <w:kern w:val="0"/>
          <w:sz w:val="32"/>
          <w:szCs w:val="28"/>
        </w:rPr>
        <w:t>沪电信职院</w:t>
      </w:r>
      <w:r>
        <w:rPr>
          <w:rFonts w:hint="eastAsia" w:ascii="仿宋_GB2312" w:eastAsia="仿宋_GB2312"/>
          <w:color w:val="000000"/>
          <w:kern w:val="0"/>
          <w:sz w:val="32"/>
          <w:szCs w:val="28"/>
        </w:rPr>
        <w:t xml:space="preserve">〔2017〕174号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pageBreakBefore w:val="0"/>
        <w:topLinePunct w:val="0"/>
        <w:bidi w:val="0"/>
        <w:spacing w:line="360" w:lineRule="auto"/>
        <w:jc w:val="center"/>
        <w:outlineLvl w:val="9"/>
        <w:rPr>
          <w:rFonts w:hint="eastAsia" w:ascii="黑体" w:hAnsi="黑体" w:eastAsia="黑体" w:cs="黑体"/>
          <w:b/>
          <w:bCs/>
          <w:sz w:val="36"/>
          <w:szCs w:val="36"/>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bCs/>
          <w:sz w:val="36"/>
          <w:szCs w:val="36"/>
        </w:rPr>
      </w:pPr>
      <w:bookmarkStart w:id="43" w:name="_Toc17251"/>
      <w:r>
        <w:rPr>
          <w:rFonts w:hint="eastAsia" w:ascii="黑体" w:hAnsi="黑体" w:eastAsia="黑体" w:cs="黑体"/>
          <w:b/>
          <w:bCs/>
          <w:sz w:val="36"/>
          <w:szCs w:val="36"/>
        </w:rPr>
        <w:t>关于印发《上海电子信息职业技术学院校企共建校内实践教学基地的管理办法》的通知</w:t>
      </w:r>
      <w:bookmarkEnd w:id="43"/>
    </w:p>
    <w:p>
      <w:pPr>
        <w:pageBreakBefore w:val="0"/>
        <w:topLinePunct w:val="0"/>
        <w:bidi w:val="0"/>
        <w:spacing w:before="240" w:beforeLines="100" w:line="50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56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现将《上海电子信息职业技术学院校企共建校内实践教学基地的管理办法》印发给你们，请结合本部门工作实际，认真研究执行。</w:t>
      </w:r>
      <w:r>
        <w:rPr>
          <w:rFonts w:hint="eastAsia" w:ascii="仿宋_GB2312" w:hAnsi="仿宋_GB2312" w:eastAsia="仿宋_GB2312" w:cs="仿宋_GB2312"/>
          <w:kern w:val="2"/>
          <w:sz w:val="28"/>
          <w:szCs w:val="28"/>
          <w:highlight w:val="none"/>
          <w:lang w:val="en-US" w:eastAsia="zh-CN" w:bidi="ar-SA"/>
        </w:rPr>
        <w:tab/>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附件：上海电子信息职业技术学院校企共建校内实践教学基地的管理办法</w:t>
      </w:r>
    </w:p>
    <w:p>
      <w:pPr>
        <w:pageBreakBefore w:val="0"/>
        <w:topLinePunct w:val="0"/>
        <w:bidi w:val="0"/>
        <w:spacing w:line="5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right="480" w:firstLine="3220" w:firstLineChars="115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right="480" w:firstLine="3220" w:firstLineChars="11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60" w:lineRule="exact"/>
        <w:ind w:right="480" w:firstLine="3780" w:firstLineChars="13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2017年12月21日</w:t>
      </w:r>
    </w:p>
    <w:p>
      <w:pPr>
        <w:pageBreakBefore w:val="0"/>
        <w:topLinePunct w:val="0"/>
        <w:bidi w:val="0"/>
        <w:spacing w:line="360" w:lineRule="auto"/>
        <w:jc w:val="center"/>
        <w:outlineLvl w:val="9"/>
        <w:rPr>
          <w:rFonts w:hint="eastAsia" w:ascii="黑体" w:hAnsi="黑体" w:eastAsia="黑体" w:cs="黑体"/>
          <w:b/>
          <w:bCs/>
          <w:sz w:val="36"/>
          <w:szCs w:val="36"/>
        </w:rPr>
      </w:pPr>
      <w:bookmarkStart w:id="44" w:name="_Toc13518"/>
      <w:bookmarkStart w:id="45" w:name="_Toc5025"/>
      <w:bookmarkStart w:id="46" w:name="_Toc4924"/>
      <w:bookmarkStart w:id="47" w:name="_Toc3085"/>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仿宋" w:hAnsi="仿宋" w:eastAsia="仿宋" w:cs="仿宋"/>
          <w:sz w:val="28"/>
          <w:szCs w:val="28"/>
        </w:rPr>
      </w:pPr>
      <w:r>
        <w:rPr>
          <w:rFonts w:hint="eastAsia" w:ascii="黑体" w:hAnsi="黑体" w:eastAsia="黑体" w:cs="黑体"/>
          <w:b/>
          <w:bCs/>
          <w:sz w:val="36"/>
          <w:szCs w:val="36"/>
        </w:rPr>
        <w:t>校企共建校内实践教学基地的管理办法</w:t>
      </w:r>
      <w:bookmarkEnd w:id="44"/>
      <w:bookmarkEnd w:id="45"/>
      <w:bookmarkEnd w:id="46"/>
      <w:bookmarkEnd w:id="47"/>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为进一步加强和规范我校校企共建校内实践教学基地的建设与管理，为学生实训、科研、生产、社会培训、职业技能鉴定等提供良好的技术支撑，更好地发挥实践基地的功能，特制定本管理办法。</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一、建设原则</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真实原则，共建企业必须是在工商部门注册登记的企业法人，有良好的信誉，有较先进的技术水平。能给学生提供一个真实的企业环境、真实的项目、真实的工作流程、真实的岗位、真实的角色，使学生在校园内就可以在真实的企业环境和真实的项目中得到锻炼，培养学生的职业规范、职业道德和团队精神，提高专业技能和解决实际问题的能力。</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2．匹配原则，须符合专业中长期实践教学基地建设规划和本专业人才培养目标定位要求，与课程改革相配合。</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双赢原则，以共建的校内实践教学基地为平台，企业提供设备、生产资金、项目或产品、生产管理、兼职教师、共建课程等，学院为企业培训员工、推荐优秀毕业生、技术服务、提供场地等，实现校企“双赢”。</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4．协商原则，依据专业特点和企业意愿，校企双方协商，确定共建模式，如具有生产功能的“校中厂”和“校中公司”、具有技术开发功能的“学生工作室”、以企业命名的实训室等。</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二、建设程序</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1．二级学院根据中长期专业实践教学基地建设规划，和相关企业探索校企共建的可能性和可行性，并在共建内容、共建模式和双方的责任和权利等方面达成初步共识。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2．二级学院以书面形式向校长或教学副校长汇报校企双方的初步共识，并请示对下一步工作的指导意见。</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3．根据学校的意见和企业深入协商并形成校企共建实践教学基地协议书（初稿）。</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4．根据学校合同审批流程完成学校内部对协议书的审批流程。</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5．由校长或校长委托的代表人和共建企业签订校企共建实践教学基地协议书。</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6．按协议书规定的建设内容、建设时间和承担的责任完成建设工作；其中，场地装修、学校投入设备采购等按学校相关文件规定工作流程进行。</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7．验收并投入使用。</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三、共建协议</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1．共建协议书是校企双方友好商定，并具有法律效力的合同文件。</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2．共建协议书一般应包含共建宗旨、共建内容、双方责任和权利、知识产权和保密要求、学生利益保护、基地日常运行管理、合作期限、争议解决和违约赔偿条款。</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3．协议书中共建宗旨、共建内容应体现以培养技术技能人才为根本目的；同时，包含双师团队建设和课程建设等重要内容。</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四、运行管理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1．成立校企双方相关人员参加的管理委员会，或校企双方各指派一名负责合作共建人员，负责协调和协商解决建设和日常运行管理中的相关事项。</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2．具有生产功能的“校中厂”设2名负责人，企业指派的负责人主要负责学生岗前培训、实习指导和生产管理、质量管理、安全管理等；学校指派的负责人主要负责学生实习计划管理和实习期间学生管理等动作。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3．制定并实施生产管理、质量管理、安全管理、设备管理、岗前培训、实习实训管理和考核评价等规章制度。</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4．做好各类文档资料的收集管理工作。</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五、其 它</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1．教务处负责宏观指导和计划管理；负责信息汇总、教学运行的协调等工作。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2．企业派遣人员须在安全保卫处办理登记手续。</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3．安全保卫处定期对校企共建实践教学基地进行安全检查。</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六、附 则</w:t>
      </w:r>
    </w:p>
    <w:p>
      <w:pPr>
        <w:pStyle w:val="34"/>
        <w:pageBreakBefore w:val="0"/>
        <w:topLinePunct w:val="0"/>
        <w:bidi w:val="0"/>
        <w:spacing w:beforeAutospacing="0" w:afterAutospacing="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本办法自颁布之日起正式实施，由上海电子信息职业技术学院教务处负责解释。</w:t>
      </w:r>
    </w:p>
    <w:p>
      <w:pPr>
        <w:pageBreakBefore w:val="0"/>
        <w:widowControl/>
        <w:topLinePunct w:val="0"/>
        <w:bidi w:val="0"/>
        <w:spacing w:line="400" w:lineRule="exact"/>
        <w:ind w:firstLine="420" w:firstLineChars="200"/>
        <w:jc w:val="left"/>
        <w:outlineLvl w:val="9"/>
        <w:rPr>
          <w:rFonts w:ascii="宋体" w:hAnsi="宋体" w:cs="宋体"/>
          <w:color w:val="000000"/>
          <w:kern w:val="0"/>
          <w:szCs w:val="21"/>
        </w:rPr>
      </w:pPr>
    </w:p>
    <w:p>
      <w:pPr>
        <w:pageBreakBefore w:val="0"/>
        <w:topLinePunct w:val="0"/>
        <w:bidi w:val="0"/>
        <w:outlineLvl w:val="9"/>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spacing w:line="20" w:lineRule="exact"/>
        <w:outlineLvl w:val="9"/>
        <w:rPr>
          <w:rFonts w:eastAsia="仿宋_GB2312"/>
          <w:sz w:val="32"/>
          <w:szCs w:val="32"/>
        </w:rPr>
      </w:pPr>
    </w:p>
    <w:p>
      <w:pPr>
        <w:pageBreakBefore w:val="0"/>
        <w:topLinePunct w:val="0"/>
        <w:bidi w:val="0"/>
        <w:jc w:val="center"/>
        <w:outlineLvl w:val="9"/>
        <w:rPr>
          <w:rFonts w:ascii="仿宋" w:hAnsi="仿宋" w:eastAsia="仿宋" w:cs="仿宋"/>
          <w:b/>
          <w:bCs/>
          <w:sz w:val="36"/>
          <w:szCs w:val="36"/>
        </w:rPr>
      </w:pPr>
      <w:r>
        <w:rPr>
          <w:rFonts w:eastAsia="仿宋_GB2312"/>
          <w:sz w:val="32"/>
          <w:szCs w:val="32"/>
        </w:rPr>
        <w:br w:type="page"/>
      </w:r>
    </w:p>
    <w:p>
      <w:pPr>
        <w:pageBreakBefore w:val="0"/>
        <w:topLinePunct w:val="0"/>
        <w:bidi w:val="0"/>
        <w:jc w:val="center"/>
        <w:outlineLvl w:val="9"/>
        <w:rPr>
          <w:rFonts w:ascii="Calibri" w:hAnsi="Calibri"/>
          <w:sz w:val="24"/>
          <w:szCs w:val="22"/>
        </w:rPr>
      </w:pPr>
    </w:p>
    <w:p>
      <w:pPr>
        <w:pageBreakBefore w:val="0"/>
        <w:topLinePunct w:val="0"/>
        <w:bidi w:val="0"/>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rFonts w:ascii="Calibri" w:hAnsi="Calibri"/>
          <w:sz w:val="24"/>
          <w:szCs w:val="22"/>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20" w:beforeLines="50"/>
        <w:jc w:val="center"/>
        <w:outlineLvl w:val="9"/>
        <w:rPr>
          <w:rFonts w:eastAsia="仿宋_GB2312"/>
          <w:sz w:val="32"/>
          <w:szCs w:val="32"/>
        </w:rPr>
      </w:pPr>
      <w:r>
        <w:rPr>
          <w:rFonts w:hint="eastAsia" w:eastAsia="仿宋_GB2312"/>
          <w:color w:val="000000"/>
          <w:kern w:val="0"/>
          <w:sz w:val="32"/>
          <w:szCs w:val="28"/>
        </w:rPr>
        <w:t>沪电信职院</w:t>
      </w:r>
      <w:r>
        <w:rPr>
          <w:rFonts w:hint="eastAsia" w:ascii="仿宋_GB2312" w:eastAsia="仿宋_GB2312"/>
          <w:color w:val="000000"/>
          <w:kern w:val="0"/>
          <w:sz w:val="32"/>
          <w:szCs w:val="28"/>
        </w:rPr>
        <w:t xml:space="preserve">〔2017〕175号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bCs/>
          <w:sz w:val="36"/>
          <w:szCs w:val="36"/>
        </w:rPr>
      </w:pPr>
      <w:bookmarkStart w:id="48" w:name="_Toc2130"/>
      <w:r>
        <w:rPr>
          <w:rFonts w:hint="eastAsia" w:ascii="黑体" w:hAnsi="黑体" w:eastAsia="黑体" w:cs="黑体"/>
          <w:b/>
          <w:bCs/>
          <w:sz w:val="36"/>
          <w:szCs w:val="36"/>
        </w:rPr>
        <w:t>关于印发《上海电子信息职业技术学院实训课学生守则》的通知</w:t>
      </w:r>
      <w:bookmarkEnd w:id="48"/>
    </w:p>
    <w:p>
      <w:pPr>
        <w:pageBreakBefore w:val="0"/>
        <w:topLinePunct w:val="0"/>
        <w:bidi w:val="0"/>
        <w:spacing w:before="240" w:beforeLines="100" w:line="50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56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现将《上海电子信息职业技术学院实训课学生守则》印发给你们，请结合本部门工作实际，认真研究执行。</w:t>
      </w:r>
      <w:r>
        <w:rPr>
          <w:rFonts w:hint="eastAsia" w:ascii="仿宋_GB2312" w:hAnsi="仿宋_GB2312" w:eastAsia="仿宋_GB2312" w:cs="仿宋_GB2312"/>
          <w:kern w:val="2"/>
          <w:sz w:val="28"/>
          <w:szCs w:val="28"/>
          <w:highlight w:val="none"/>
          <w:lang w:val="en-US" w:eastAsia="zh-CN" w:bidi="ar-SA"/>
        </w:rPr>
        <w:tab/>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附件：上海电子信息职业技术学院实训课学生守则</w:t>
      </w:r>
    </w:p>
    <w:p>
      <w:pPr>
        <w:pageBreakBefore w:val="0"/>
        <w:topLinePunct w:val="0"/>
        <w:bidi w:val="0"/>
        <w:spacing w:line="560" w:lineRule="exact"/>
        <w:ind w:right="480" w:firstLine="3220" w:firstLineChars="115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right="480" w:firstLine="3220" w:firstLineChars="115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right="480" w:firstLine="3220" w:firstLineChars="11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60" w:lineRule="exact"/>
        <w:ind w:right="480" w:firstLine="3780" w:firstLineChars="13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2017年12月21日</w:t>
      </w:r>
    </w:p>
    <w:p>
      <w:pPr>
        <w:pageBreakBefore w:val="0"/>
        <w:topLinePunct w:val="0"/>
        <w:bidi w:val="0"/>
        <w:spacing w:line="500" w:lineRule="exact"/>
        <w:ind w:firstLine="640" w:firstLineChars="200"/>
        <w:jc w:val="right"/>
        <w:outlineLvl w:val="9"/>
        <w:rPr>
          <w:rFonts w:ascii="仿宋_GB2312" w:eastAsia="仿宋_GB2312" w:cs="宋体"/>
          <w:color w:val="000000"/>
          <w:sz w:val="32"/>
          <w:szCs w:val="32"/>
        </w:rPr>
      </w:pPr>
    </w:p>
    <w:p>
      <w:pPr>
        <w:pageBreakBefore w:val="0"/>
        <w:topLinePunct w:val="0"/>
        <w:bidi w:val="0"/>
        <w:spacing w:line="500" w:lineRule="exact"/>
        <w:ind w:firstLine="640" w:firstLineChars="200"/>
        <w:outlineLvl w:val="9"/>
        <w:rPr>
          <w:rFonts w:hint="eastAsia" w:ascii="仿宋_GB2312" w:eastAsia="仿宋_GB2312" w:cs="宋体"/>
          <w:color w:val="000000"/>
          <w:sz w:val="32"/>
          <w:szCs w:val="32"/>
        </w:rPr>
      </w:pPr>
    </w:p>
    <w:p>
      <w:pPr>
        <w:pageBreakBefore w:val="0"/>
        <w:topLinePunct w:val="0"/>
        <w:bidi w:val="0"/>
        <w:spacing w:line="500" w:lineRule="exact"/>
        <w:ind w:firstLine="640" w:firstLineChars="200"/>
        <w:outlineLvl w:val="9"/>
        <w:rPr>
          <w:rFonts w:hint="eastAsia" w:ascii="仿宋_GB2312" w:eastAsia="仿宋_GB2312" w:cs="宋体"/>
          <w:color w:val="000000"/>
          <w:sz w:val="32"/>
          <w:szCs w:val="32"/>
        </w:rPr>
      </w:pPr>
    </w:p>
    <w:p>
      <w:pPr>
        <w:pageBreakBefore w:val="0"/>
        <w:topLinePunct w:val="0"/>
        <w:bidi w:val="0"/>
        <w:spacing w:line="500" w:lineRule="exact"/>
        <w:outlineLvl w:val="9"/>
        <w:rPr>
          <w:rFonts w:hint="eastAsia" w:ascii="仿宋_GB2312" w:eastAsia="仿宋_GB2312" w:cs="宋体"/>
          <w:color w:val="000000"/>
          <w:sz w:val="32"/>
          <w:szCs w:val="32"/>
        </w:rPr>
      </w:pPr>
    </w:p>
    <w:p>
      <w:pPr>
        <w:pageBreakBefore w:val="0"/>
        <w:widowControl/>
        <w:topLinePunct w:val="0"/>
        <w:bidi w:val="0"/>
        <w:adjustRightInd w:val="0"/>
        <w:snapToGrid w:val="0"/>
        <w:spacing w:line="360" w:lineRule="auto"/>
        <w:jc w:val="left"/>
        <w:outlineLvl w:val="9"/>
        <w:rPr>
          <w:rFonts w:ascii="宋体"/>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bookmarkStart w:id="49" w:name="_Toc22622"/>
      <w:bookmarkStart w:id="50" w:name="_Toc17540"/>
      <w:bookmarkStart w:id="51" w:name="_Toc13246"/>
      <w:bookmarkStart w:id="52" w:name="_Toc21745"/>
      <w:r>
        <w:rPr>
          <w:rFonts w:hint="eastAsia" w:ascii="黑体" w:hAnsi="黑体" w:eastAsia="黑体" w:cs="黑体"/>
          <w:b/>
          <w:bCs/>
          <w:sz w:val="36"/>
          <w:szCs w:val="36"/>
        </w:rPr>
        <w:t>实训课学生守则</w:t>
      </w:r>
      <w:bookmarkEnd w:id="49"/>
      <w:bookmarkEnd w:id="50"/>
      <w:bookmarkEnd w:id="51"/>
      <w:bookmarkEnd w:id="52"/>
    </w:p>
    <w:p>
      <w:pPr>
        <w:pageBreakBefore w:val="0"/>
        <w:topLinePunct w:val="0"/>
        <w:bidi w:val="0"/>
        <w:jc w:val="center"/>
        <w:outlineLvl w:val="9"/>
        <w:rPr>
          <w:rFonts w:ascii="仿宋" w:hAnsi="仿宋" w:eastAsia="仿宋" w:cs="仿宋"/>
          <w:b/>
          <w:color w:val="000000"/>
          <w:sz w:val="32"/>
          <w:szCs w:val="32"/>
        </w:rPr>
      </w:pP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实训是教学计划的重要组成部分，是培养学生的动手能力、分析和解决实际问题能力、提高综合职业技能的重要手段。因此，每个学生都必须认真对待，遵守实训规程。</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一、上实训课前，全体学生应按照指导教师要求认真做好预习，仔细阅读实训指导书，熟悉所用仪器设备的操作规程，明确实训目的、要求和操作步骤。</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二、上实训课时，每个学生要带好记录本等必备学习材料，按时进入实训室，不迟到、不早退、不旷课。对有净化要求的实训室，在进入实训室时应按要求换上工作服和拖鞋。</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三、进入实训室后，应自觉遵守实训室的各项规章制度，不许动用与本次实训无关的仪器设备，听从指导教师的安排，保持室内安静，不准高声喧哗和打闹，不准吸烟，不准随地吐痰和乱抛废纸杂物。</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四、在进行实训动手操作前，应对实训装置、仪器、设备进行仔细检查，发现问题，要及时向指导教师报告。</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五、凡电气类实训，通电前必须经指导教师检查同意后方能接通电源。对易燃、易爆、易腐蚀及剧毒物品的使用，一定要在指导老师的指导下，严格按照操作规程进行。</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六、实训时，应集中思想，认真仔细地观察，如实地记录好各种数据、图表和各种技术参数，积极地进行分析思考。</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七、实训过程中要自始至终严守操作规程，注意安全，节省水、电、气；如发现反常现象或事故苗头，应立即中断实训，报告指导老师或管理员予以处理。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八、实训完毕，学生应主动请指导教师检查有关数据和所用的仪器设备，搞好清洁卫生工作，经指导教师同意后，方可离开实训室。</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九、实训结束，按要求独立完成报告，按时交给指导老师批阅。实训报告应做到：</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1．如实反映自己的实验、实训成果，数据完整，计算无误，并能做到科学地分析。</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2．力求言简意赅，文理通顺，书写工整，图表清晰，结论明确。</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3．认真回答实训指导书上所列思考题。   </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十、对违反实训室管理制度和操作规程，擅自动用与本次实训无关的仪器设备、私自拆卸仪器设备而造成事故和损失的，视情节轻重和认识态度予以处理。</w:t>
      </w:r>
    </w:p>
    <w:p>
      <w:pPr>
        <w:pageBreakBefore w:val="0"/>
        <w:topLinePunct w:val="0"/>
        <w:bidi w:val="0"/>
        <w:spacing w:line="400" w:lineRule="exact"/>
        <w:jc w:val="left"/>
        <w:outlineLvl w:val="9"/>
        <w:rPr>
          <w:b/>
          <w:bCs/>
          <w:color w:val="000000"/>
          <w:sz w:val="32"/>
          <w:szCs w:val="32"/>
        </w:rPr>
      </w:pPr>
    </w:p>
    <w:p>
      <w:pPr>
        <w:pageBreakBefore w:val="0"/>
        <w:topLinePunct w:val="0"/>
        <w:autoSpaceDE w:val="0"/>
        <w:autoSpaceDN w:val="0"/>
        <w:bidi w:val="0"/>
        <w:adjustRightInd w:val="0"/>
        <w:spacing w:line="400" w:lineRule="exact"/>
        <w:jc w:val="center"/>
        <w:outlineLvl w:val="9"/>
        <w:rPr>
          <w:rFonts w:ascii="宋体" w:hAnsi="宋体"/>
          <w:b/>
          <w:color w:val="000000"/>
          <w:kern w:val="0"/>
          <w:sz w:val="32"/>
          <w:szCs w:val="32"/>
        </w:rPr>
      </w:pPr>
    </w:p>
    <w:p>
      <w:pPr>
        <w:pageBreakBefore w:val="0"/>
        <w:topLinePunct w:val="0"/>
        <w:autoSpaceDE w:val="0"/>
        <w:autoSpaceDN w:val="0"/>
        <w:bidi w:val="0"/>
        <w:adjustRightInd w:val="0"/>
        <w:spacing w:line="400" w:lineRule="exact"/>
        <w:jc w:val="center"/>
        <w:outlineLvl w:val="9"/>
        <w:rPr>
          <w:rFonts w:ascii="宋体" w:hAnsi="宋体"/>
          <w:b/>
          <w:color w:val="000000"/>
          <w:kern w:val="0"/>
          <w:sz w:val="32"/>
          <w:szCs w:val="32"/>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ind w:right="-57" w:rightChars="-27"/>
        <w:jc w:val="center"/>
        <w:outlineLvl w:val="9"/>
        <w:rPr>
          <w:rFonts w:ascii="华文中宋" w:hAnsi="华文中宋" w:eastAsia="华文中宋"/>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rFonts w:ascii="Calibri" w:hAnsi="Calibri"/>
          <w:sz w:val="24"/>
          <w:szCs w:val="22"/>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20" w:beforeLines="50"/>
        <w:jc w:val="center"/>
        <w:outlineLvl w:val="9"/>
        <w:rPr>
          <w:rFonts w:eastAsia="仿宋_GB2312"/>
          <w:sz w:val="32"/>
          <w:szCs w:val="32"/>
        </w:rPr>
      </w:pPr>
      <w:r>
        <w:rPr>
          <w:rFonts w:hint="eastAsia" w:eastAsia="仿宋_GB2312"/>
          <w:color w:val="000000"/>
          <w:kern w:val="0"/>
          <w:sz w:val="32"/>
          <w:szCs w:val="28"/>
        </w:rPr>
        <w:t>沪电信职院</w:t>
      </w:r>
      <w:r>
        <w:rPr>
          <w:rFonts w:hint="eastAsia" w:ascii="仿宋_GB2312" w:eastAsia="仿宋_GB2312"/>
          <w:color w:val="000000"/>
          <w:kern w:val="0"/>
          <w:sz w:val="32"/>
          <w:szCs w:val="28"/>
        </w:rPr>
        <w:t xml:space="preserve">〔2017〕176号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bCs/>
          <w:sz w:val="36"/>
          <w:szCs w:val="36"/>
        </w:rPr>
      </w:pPr>
      <w:bookmarkStart w:id="53" w:name="_Toc1523"/>
      <w:r>
        <w:rPr>
          <w:rFonts w:hint="eastAsia" w:ascii="黑体" w:hAnsi="黑体" w:eastAsia="黑体" w:cs="黑体"/>
          <w:b/>
          <w:bCs/>
          <w:sz w:val="36"/>
          <w:szCs w:val="36"/>
        </w:rPr>
        <w:t>关于印发《上海电子信息职业技术学院学生实习守则》的通知</w:t>
      </w:r>
      <w:bookmarkEnd w:id="53"/>
    </w:p>
    <w:p>
      <w:pPr>
        <w:pageBreakBefore w:val="0"/>
        <w:topLinePunct w:val="0"/>
        <w:bidi w:val="0"/>
        <w:spacing w:before="240" w:beforeLines="100" w:line="50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keepNext w:val="0"/>
        <w:keepLines w:val="0"/>
        <w:pageBreakBefore w:val="0"/>
        <w:widowControl w:val="0"/>
        <w:kinsoku/>
        <w:wordWrap/>
        <w:overflowPunct/>
        <w:topLinePunct w:val="0"/>
        <w:autoSpaceDE/>
        <w:autoSpaceDN/>
        <w:bidi w:val="0"/>
        <w:adjustRightInd/>
        <w:snapToGrid/>
        <w:spacing w:before="240" w:beforeLines="100" w:line="50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现将《上海电子信息职业技术学院学生实习守则》印发给你们，请结合本部门工作实际，认真研究执行。</w:t>
      </w:r>
      <w:r>
        <w:rPr>
          <w:rFonts w:hint="eastAsia" w:ascii="仿宋_GB2312" w:hAnsi="仿宋_GB2312" w:eastAsia="仿宋_GB2312" w:cs="仿宋_GB2312"/>
          <w:kern w:val="2"/>
          <w:sz w:val="28"/>
          <w:szCs w:val="28"/>
          <w:highlight w:val="none"/>
          <w:lang w:val="en-US" w:eastAsia="zh-CN" w:bidi="ar-SA"/>
        </w:rPr>
        <w:tab/>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附件：上海电子信息职业技术学院学生实习守则</w:t>
      </w:r>
    </w:p>
    <w:p>
      <w:pPr>
        <w:pageBreakBefore w:val="0"/>
        <w:topLinePunct w:val="0"/>
        <w:bidi w:val="0"/>
        <w:spacing w:line="56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right="480" w:firstLine="3220" w:firstLineChars="115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right="480" w:firstLine="3220" w:firstLineChars="11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60" w:lineRule="exact"/>
        <w:ind w:right="480" w:firstLine="3780" w:firstLineChars="13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2017年12月21日</w:t>
      </w:r>
    </w:p>
    <w:p>
      <w:pPr>
        <w:pageBreakBefore w:val="0"/>
        <w:topLinePunct w:val="0"/>
        <w:bidi w:val="0"/>
        <w:spacing w:line="500" w:lineRule="exact"/>
        <w:ind w:firstLine="640" w:firstLineChars="200"/>
        <w:outlineLvl w:val="9"/>
        <w:rPr>
          <w:rFonts w:ascii="仿宋_GB2312" w:eastAsia="仿宋_GB2312" w:cs="宋体"/>
          <w:color w:val="000000"/>
          <w:sz w:val="32"/>
          <w:szCs w:val="32"/>
        </w:rPr>
      </w:pPr>
    </w:p>
    <w:p>
      <w:pPr>
        <w:pageBreakBefore w:val="0"/>
        <w:topLinePunct w:val="0"/>
        <w:bidi w:val="0"/>
        <w:spacing w:line="500" w:lineRule="exact"/>
        <w:outlineLvl w:val="9"/>
        <w:rPr>
          <w:rFonts w:hint="eastAsia" w:ascii="仿宋_GB2312" w:eastAsia="仿宋_GB2312" w:cs="宋体"/>
          <w:color w:val="000000"/>
          <w:sz w:val="32"/>
          <w:szCs w:val="32"/>
        </w:rPr>
      </w:pPr>
    </w:p>
    <w:p>
      <w:pPr>
        <w:pageBreakBefore w:val="0"/>
        <w:topLinePunct w:val="0"/>
        <w:bidi w:val="0"/>
        <w:spacing w:line="500" w:lineRule="exact"/>
        <w:outlineLvl w:val="9"/>
        <w:rPr>
          <w:rFonts w:hint="eastAsia" w:ascii="仿宋_GB2312" w:eastAsia="仿宋_GB2312" w:cs="宋体"/>
          <w:color w:val="000000"/>
          <w:sz w:val="32"/>
          <w:szCs w:val="32"/>
        </w:rPr>
      </w:pPr>
    </w:p>
    <w:p>
      <w:pPr>
        <w:pageBreakBefore w:val="0"/>
        <w:topLinePunct w:val="0"/>
        <w:bidi w:val="0"/>
        <w:spacing w:line="500" w:lineRule="exact"/>
        <w:outlineLvl w:val="9"/>
        <w:rPr>
          <w:rFonts w:hint="eastAsia" w:ascii="仿宋_GB2312" w:eastAsia="仿宋_GB2312" w:cs="宋体"/>
          <w:color w:val="000000"/>
          <w:sz w:val="32"/>
          <w:szCs w:val="32"/>
        </w:rPr>
      </w:pPr>
    </w:p>
    <w:p>
      <w:pPr>
        <w:pageBreakBefore w:val="0"/>
        <w:topLinePunct w:val="0"/>
        <w:bidi w:val="0"/>
        <w:spacing w:line="360" w:lineRule="auto"/>
        <w:jc w:val="center"/>
        <w:outlineLvl w:val="9"/>
        <w:rPr>
          <w:rFonts w:hint="eastAsia" w:ascii="黑体" w:hAnsi="黑体" w:eastAsia="黑体" w:cs="黑体"/>
          <w:b/>
          <w:bCs/>
          <w:sz w:val="36"/>
          <w:szCs w:val="36"/>
        </w:rPr>
      </w:pPr>
      <w:bookmarkStart w:id="54" w:name="_Toc21117"/>
      <w:bookmarkStart w:id="55" w:name="_Toc22595"/>
      <w:bookmarkStart w:id="56" w:name="_Toc22560"/>
      <w:bookmarkStart w:id="57" w:name="_Toc2878"/>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黑体" w:hAnsi="黑体" w:eastAsia="黑体" w:cs="黑体"/>
          <w:b/>
          <w:bCs/>
          <w:sz w:val="36"/>
          <w:szCs w:val="36"/>
        </w:rPr>
        <w:t>学生实习守则</w:t>
      </w:r>
      <w:bookmarkEnd w:id="54"/>
      <w:bookmarkEnd w:id="55"/>
      <w:bookmarkEnd w:id="56"/>
      <w:bookmarkEnd w:id="57"/>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实习是理论联系实际，在职业环境中按照生产、管理、服务岗位的实际要求进行职业技能训练，培养学生的技术应用能力与独立工作能力，进行职业道德与职业素质教育，加强学生职业能力与职业养成教育的重要的实践性教学环节。为使实习工作顺利进行，学生应遵循如下规定：</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一、实习学生必须遵纪守法，自觉遵守社会公德，维护学校、实习单位声誉，遵守学生日常行为规范。</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二、学生在实习期间应虚心听从实习指导教师的指导，按照实习计划的要求全面完成实习任务。</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三、严格遵守实习单位的各项规章制度，按时上下班，不得无故缺席。</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学生因故不能参加实习，应持有关单位或医疗部门的证明向指导老师请假。征得指导教师同意后方可生效。请假三天以上者必须经二级学院领导审批，否则按旷课论处。实习期间连续旷工三天以上，或累计七天以上，实习成绩以零分计。</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学生实习要确保安全，应严格遵守安全操作规程，注意爱护实习单位的机器设备，未经许可不得擅自操作机器设备。在实习期间，学生因违反实习纪律和安全规则造成自身伤害由学生本人负责，造成他人伤害或给企业、国家造成经济损失的，由学生本人及家长承担相应的法律责任。</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六、学生应将每周实习观察的结果收集整理，认真填写实习周记。对实习涉及到的保密内容，应遵守保密制度，严守机密，防止泄漏。</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七、学生在实习过程中，要虚心向工人师傅和工程技术人员学习，爱岗敬业，在完成实习任务的情况下，可主动协助实习单位做一些力所能及的公益劳动。</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八、学生在实习期间应按时提交顶岗实习周记、实习报告。</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九、学生在顶岗实习过程中发生下列情况之一者，顶岗实习成绩按不及格处理：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1．因严重违纪或工作懒散等原因，被实习单位终止实习或造成恶劣影响者，同时学校将不再安排新的实习单位，并将做出相应的纪律处分。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2．无故不按时提交顶岗实习报告或其它规定的实习材料者。</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十、学生凡参加顶岗实习时间不足学校规定时间80%者，不予评定实习成绩。</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十一、在实习期间对实习单位有意见应及时与指导教师联系，由指导教师负责协商，实习生不得直接与实习单位发生冲突，若无理取闹，给学校声誉造成不良影响，将对其做出相应的处分。</w:t>
      </w:r>
    </w:p>
    <w:p>
      <w:pPr>
        <w:pageBreakBefore w:val="0"/>
        <w:widowControl/>
        <w:topLinePunct w:val="0"/>
        <w:bidi w:val="0"/>
        <w:spacing w:line="400" w:lineRule="exact"/>
        <w:ind w:firstLine="420" w:firstLineChars="200"/>
        <w:outlineLvl w:val="9"/>
        <w:rPr>
          <w:rFonts w:ascii="宋体" w:hAnsi="宋体" w:cs="宋体"/>
          <w:color w:val="000000"/>
          <w:kern w:val="0"/>
          <w:szCs w:val="21"/>
        </w:rPr>
      </w:pPr>
    </w:p>
    <w:p>
      <w:pPr>
        <w:pageBreakBefore w:val="0"/>
        <w:topLinePunct w:val="0"/>
        <w:bidi w:val="0"/>
        <w:outlineLvl w:val="9"/>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rFonts w:ascii="Calibri" w:hAnsi="Calibri"/>
          <w:sz w:val="24"/>
          <w:szCs w:val="22"/>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20" w:beforeLines="50"/>
        <w:jc w:val="center"/>
        <w:outlineLvl w:val="9"/>
        <w:rPr>
          <w:rFonts w:eastAsia="仿宋_GB2312"/>
          <w:sz w:val="32"/>
          <w:szCs w:val="32"/>
        </w:rPr>
      </w:pPr>
      <w:r>
        <w:rPr>
          <w:rFonts w:hint="eastAsia" w:eastAsia="仿宋_GB2312"/>
          <w:color w:val="000000"/>
          <w:kern w:val="0"/>
          <w:sz w:val="32"/>
          <w:szCs w:val="28"/>
        </w:rPr>
        <w:t>沪电信职院</w:t>
      </w:r>
      <w:r>
        <w:rPr>
          <w:rFonts w:hint="eastAsia" w:ascii="仿宋_GB2312" w:eastAsia="仿宋_GB2312"/>
          <w:color w:val="000000"/>
          <w:kern w:val="0"/>
          <w:sz w:val="32"/>
          <w:szCs w:val="28"/>
        </w:rPr>
        <w:t xml:space="preserve">〔2017〕177号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480" w:beforeLines="200"/>
        <w:jc w:val="center"/>
        <w:textAlignment w:val="auto"/>
        <w:outlineLvl w:val="0"/>
        <w:rPr>
          <w:rFonts w:hint="eastAsia" w:ascii="黑体" w:hAnsi="黑体" w:eastAsia="黑体" w:cs="黑体"/>
          <w:color w:val="000000"/>
          <w:sz w:val="36"/>
          <w:szCs w:val="36"/>
        </w:rPr>
      </w:pPr>
      <w:bookmarkStart w:id="58" w:name="_Toc29875"/>
      <w:r>
        <w:rPr>
          <w:rFonts w:hint="eastAsia" w:ascii="黑体" w:hAnsi="黑体" w:eastAsia="黑体" w:cs="黑体"/>
          <w:b/>
          <w:sz w:val="36"/>
          <w:szCs w:val="36"/>
        </w:rPr>
        <w:t>关于印</w:t>
      </w:r>
      <w:r>
        <w:rPr>
          <w:rFonts w:hint="eastAsia" w:ascii="黑体" w:hAnsi="黑体" w:eastAsia="黑体" w:cs="黑体"/>
          <w:b/>
          <w:kern w:val="0"/>
          <w:sz w:val="36"/>
          <w:szCs w:val="36"/>
        </w:rPr>
        <w:t>发《上海电子信息职业技术学院校外实习基地建设管理办法》的通</w:t>
      </w:r>
      <w:r>
        <w:rPr>
          <w:rFonts w:hint="eastAsia" w:ascii="黑体" w:hAnsi="黑体" w:eastAsia="黑体" w:cs="黑体"/>
          <w:b/>
          <w:sz w:val="36"/>
          <w:szCs w:val="36"/>
        </w:rPr>
        <w:t>知</w:t>
      </w:r>
      <w:bookmarkEnd w:id="58"/>
    </w:p>
    <w:p>
      <w:pPr>
        <w:pageBreakBefore w:val="0"/>
        <w:topLinePunct w:val="0"/>
        <w:bidi w:val="0"/>
        <w:spacing w:line="360" w:lineRule="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现将《上海电子信息职业技术学院校外实习基地建设管理办法》印发给你们，请结合本部门工作实际，认真研究执行。</w:t>
      </w:r>
      <w:r>
        <w:rPr>
          <w:rFonts w:hint="eastAsia" w:ascii="仿宋_GB2312" w:hAnsi="仿宋_GB2312" w:eastAsia="仿宋_GB2312" w:cs="仿宋_GB2312"/>
          <w:kern w:val="2"/>
          <w:sz w:val="28"/>
          <w:szCs w:val="28"/>
          <w:highlight w:val="none"/>
          <w:lang w:val="en-US" w:eastAsia="zh-CN" w:bidi="ar-SA"/>
        </w:rPr>
        <w:tab/>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附件：上海电子信息职业技术学院校外实习基地建设管理办法</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360" w:lineRule="auto"/>
        <w:ind w:firstLine="560" w:firstLineChars="200"/>
        <w:jc w:val="righ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360" w:lineRule="auto"/>
        <w:ind w:firstLine="560" w:firstLineChars="200"/>
        <w:jc w:val="righ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360" w:lineRule="auto"/>
        <w:ind w:firstLine="560" w:firstLineChars="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360" w:lineRule="auto"/>
        <w:ind w:firstLine="560" w:firstLineChars="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2017年12月21日</w:t>
      </w:r>
    </w:p>
    <w:p>
      <w:pPr>
        <w:pageBreakBefore w:val="0"/>
        <w:topLinePunct w:val="0"/>
        <w:bidi w:val="0"/>
        <w:spacing w:line="500" w:lineRule="exact"/>
        <w:ind w:firstLine="640" w:firstLineChars="200"/>
        <w:outlineLvl w:val="9"/>
        <w:rPr>
          <w:rFonts w:ascii="仿宋_GB2312" w:eastAsia="仿宋_GB2312" w:cs="宋体"/>
          <w:color w:val="000000"/>
          <w:sz w:val="32"/>
          <w:szCs w:val="32"/>
        </w:rPr>
      </w:pPr>
    </w:p>
    <w:p>
      <w:pPr>
        <w:pageBreakBefore w:val="0"/>
        <w:topLinePunct w:val="0"/>
        <w:bidi w:val="0"/>
        <w:spacing w:line="500" w:lineRule="exact"/>
        <w:ind w:firstLine="640" w:firstLineChars="200"/>
        <w:outlineLvl w:val="9"/>
        <w:rPr>
          <w:rFonts w:hint="eastAsia" w:ascii="仿宋_GB2312" w:eastAsia="仿宋_GB2312" w:cs="宋体"/>
          <w:color w:val="000000"/>
          <w:sz w:val="32"/>
          <w:szCs w:val="32"/>
        </w:rPr>
      </w:pPr>
    </w:p>
    <w:p>
      <w:pPr>
        <w:pageBreakBefore w:val="0"/>
        <w:widowControl/>
        <w:topLinePunct w:val="0"/>
        <w:bidi w:val="0"/>
        <w:adjustRightInd w:val="0"/>
        <w:snapToGrid w:val="0"/>
        <w:spacing w:line="360" w:lineRule="auto"/>
        <w:jc w:val="left"/>
        <w:outlineLvl w:val="9"/>
        <w:rPr>
          <w:rFonts w:ascii="宋体"/>
        </w:rPr>
      </w:pPr>
    </w:p>
    <w:p>
      <w:pPr>
        <w:pageBreakBefore w:val="0"/>
        <w:topLinePunct w:val="0"/>
        <w:bidi w:val="0"/>
        <w:spacing w:line="360" w:lineRule="auto"/>
        <w:jc w:val="center"/>
        <w:outlineLvl w:val="9"/>
        <w:rPr>
          <w:rFonts w:hint="eastAsia" w:ascii="黑体" w:hAnsi="黑体" w:eastAsia="黑体" w:cs="黑体"/>
          <w:b/>
          <w:bCs/>
          <w:sz w:val="36"/>
          <w:szCs w:val="36"/>
        </w:rPr>
      </w:pPr>
      <w:bookmarkStart w:id="59" w:name="_Toc295991936"/>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ascii="宋体" w:hAnsi="宋体"/>
          <w:b/>
          <w:color w:val="000000"/>
          <w:kern w:val="0"/>
          <w:sz w:val="32"/>
          <w:szCs w:val="32"/>
        </w:rPr>
      </w:pPr>
      <w:bookmarkStart w:id="60" w:name="_Toc14153"/>
      <w:bookmarkStart w:id="61" w:name="_Toc1728"/>
      <w:bookmarkStart w:id="62" w:name="_Toc25855"/>
      <w:bookmarkStart w:id="63" w:name="_Toc13961"/>
      <w:r>
        <w:rPr>
          <w:rFonts w:hint="eastAsia" w:ascii="黑体" w:hAnsi="黑体" w:eastAsia="黑体" w:cs="黑体"/>
          <w:b/>
          <w:bCs/>
          <w:sz w:val="36"/>
          <w:szCs w:val="36"/>
        </w:rPr>
        <w:t>校外实习基地建设管理办法</w:t>
      </w:r>
      <w:bookmarkEnd w:id="59"/>
      <w:bookmarkEnd w:id="60"/>
      <w:bookmarkEnd w:id="61"/>
      <w:bookmarkEnd w:id="62"/>
      <w:bookmarkEnd w:id="63"/>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校外实习基地是指具有一定实习规模并相对稳定的社会实践的重要场所。实习基地建设直接关系到实习教学质量，对于高素质技术技能型人才的实践能力和创业能力的培养有着十分重要的作用，是实现学校人才培养目标的重要条件之一。为了进一步加强和规范校外实习基地的建设和管理，特制订本管理办法。</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bookmarkStart w:id="64" w:name="_Toc295991937"/>
      <w:r>
        <w:rPr>
          <w:rFonts w:hint="eastAsia" w:ascii="仿宋_GB2312" w:hAnsi="仿宋_GB2312" w:eastAsia="仿宋_GB2312" w:cs="仿宋_GB2312"/>
          <w:kern w:val="2"/>
          <w:sz w:val="28"/>
          <w:szCs w:val="28"/>
          <w:highlight w:val="none"/>
          <w:lang w:val="en-US" w:eastAsia="zh-CN" w:bidi="ar-SA"/>
        </w:rPr>
        <w:t>一、建立校外实习基地的原则</w:t>
      </w:r>
      <w:bookmarkEnd w:id="64"/>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（一）校外实习基地由学校与有关企事业单位协商共同建立。</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（二）学校应根据各专业特点，有目的、有计划、有步骤地选择能满足实习条件的企事业单位，共同建立学校校外实习基地。</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（三）校外实习基地应专业对口，相对稳定，尽可能立足本市，就地就近，既便于开展工作，又利于节约经费。</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（四）学校优先支持层次较高、接受我校学生人数多的实习基地进行建设。</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（五）新建的实习基地，应优先考虑那些多次接收我校学生实习且符合实习要求，但尚未签约的单位。</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bookmarkStart w:id="65" w:name="_Toc295991938"/>
      <w:r>
        <w:rPr>
          <w:rFonts w:hint="eastAsia" w:ascii="仿宋_GB2312" w:hAnsi="仿宋_GB2312" w:eastAsia="仿宋_GB2312" w:cs="仿宋_GB2312"/>
          <w:kern w:val="2"/>
          <w:sz w:val="28"/>
          <w:szCs w:val="28"/>
          <w:highlight w:val="none"/>
          <w:lang w:val="en-US" w:eastAsia="zh-CN" w:bidi="ar-SA"/>
        </w:rPr>
        <w:t>二、建立实习基地的基本条件和要求</w:t>
      </w:r>
      <w:bookmarkEnd w:id="65"/>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能满足我校完成实习教学任务的要求，具备先进的生产手段、技术装备和科学的经营管理方式，拥有一支素质较高的技术人员和职工队伍；为培养方案规定的实习提供场地和指导人员，接受我校有关专业一定数量的学生开展实习。</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（二）基地建设双方应互惠互利，走共同建设、共同发展的道路。</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（三）能满足实习学生学习、劳动保护和卫生等方面的条件。</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bookmarkStart w:id="66" w:name="_Toc295991939"/>
      <w:r>
        <w:rPr>
          <w:rFonts w:hint="eastAsia" w:ascii="仿宋_GB2312" w:hAnsi="仿宋_GB2312" w:eastAsia="仿宋_GB2312" w:cs="仿宋_GB2312"/>
          <w:kern w:val="2"/>
          <w:sz w:val="28"/>
          <w:szCs w:val="28"/>
          <w:highlight w:val="none"/>
          <w:lang w:val="en-US" w:eastAsia="zh-CN" w:bidi="ar-SA"/>
        </w:rPr>
        <w:t>三、学校与实习基地共建单位的权利和义务</w:t>
      </w:r>
      <w:bookmarkEnd w:id="66"/>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（一）学校的权利和义务</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1．学校根据人才培养方案要求，制定实习计划，提前送交实习基地共建单位，并委派责任心强、有实践经验的教师担任实习指导教师。</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2．参加实习的指导教师和学生在实习期间必须严格遵守实习基地共建单位的有关规章制度。</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3．学校在人才培训、委托培养、课程进修、技术咨询服务、信息交流、成果转化等方面对实习基地共建单位优先给予考虑。</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（二）实习基地共建单位权利和义务</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1．实习基地共建单位按学校提供的实习计划要求，委派技术人员参与指导。</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2．实习基地要严格遵守国家有关部门颁布的法律法规及条例，制定关于实习环境管理和劳动保护方面的管理规定、安全操作管理规程和文明生产措施。</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 在上级教育主管部门有关高校毕业生就业政策许可范围内，实习基地共建单位可优先选聘我校毕业生。</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bookmarkStart w:id="67" w:name="_Toc295991940"/>
      <w:r>
        <w:rPr>
          <w:rFonts w:hint="eastAsia" w:ascii="仿宋_GB2312" w:hAnsi="仿宋_GB2312" w:eastAsia="仿宋_GB2312" w:cs="仿宋_GB2312"/>
          <w:kern w:val="2"/>
          <w:sz w:val="28"/>
          <w:szCs w:val="28"/>
          <w:highlight w:val="none"/>
          <w:lang w:val="en-US" w:eastAsia="zh-CN" w:bidi="ar-SA"/>
        </w:rPr>
        <w:t>四、实习基地</w:t>
      </w:r>
      <w:bookmarkEnd w:id="67"/>
      <w:r>
        <w:rPr>
          <w:rFonts w:hint="eastAsia" w:ascii="仿宋_GB2312" w:hAnsi="仿宋_GB2312" w:eastAsia="仿宋_GB2312" w:cs="仿宋_GB2312"/>
          <w:kern w:val="2"/>
          <w:sz w:val="28"/>
          <w:szCs w:val="28"/>
          <w:highlight w:val="none"/>
          <w:lang w:val="en-US" w:eastAsia="zh-CN" w:bidi="ar-SA"/>
        </w:rPr>
        <w:t>建设</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实习基地的确定应充分调查研究与协商，确定能够促进学生专业应用能力的提高，能够满足实习基地的要求，经学校校企合作办公室审核同意后，按学校合同流程，学校与共建企业签订合作协议，合作年限双方协商确定。</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（二）实习基地签订合作协议后，其基地的调整与撤销，应经合作双方同意。</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（三）实习基地成立后，学校应与基地商定双方管理模式，建立长期合作关系。</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（四）学校要加强对校外实习基地的指导与管理，协助企事业单位解决实习基地建设和管理工作中的实际问题，帮助实习基地做好建设、发展、培训的各项工作。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五）实习基地建设与管理情况，将作为学校专业建设评估的重要条件。校企合作办公室应会同学校各有关部门不定期地到基地检查、评估学生实习情况。对协议到期的实习基地，根据双方合作意向与成效决定是否续签合作协议。 </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bookmarkStart w:id="68" w:name="_Toc295991942"/>
      <w:r>
        <w:rPr>
          <w:rFonts w:hint="eastAsia" w:ascii="仿宋_GB2312" w:hAnsi="仿宋_GB2312" w:eastAsia="仿宋_GB2312" w:cs="仿宋_GB2312"/>
          <w:kern w:val="2"/>
          <w:sz w:val="28"/>
          <w:szCs w:val="28"/>
          <w:highlight w:val="none"/>
          <w:lang w:val="en-US" w:eastAsia="zh-CN" w:bidi="ar-SA"/>
        </w:rPr>
        <w:t>五、实习基地挂牌</w:t>
      </w:r>
      <w:bookmarkEnd w:id="68"/>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学校与实习基地共建单位签订合作协议后，挂“上海电子信息职业技术学院实习基地”铜牌，具体名称由基地共建双方协商确定。</w:t>
      </w:r>
    </w:p>
    <w:p>
      <w:pPr>
        <w:pStyle w:val="34"/>
        <w:pageBreakBefore w:val="0"/>
        <w:topLinePunct w:val="0"/>
        <w:bidi w:val="0"/>
        <w:spacing w:beforeAutospacing="0" w:afterAutospacing="0"/>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六、附 则</w:t>
      </w:r>
    </w:p>
    <w:p>
      <w:pPr>
        <w:pStyle w:val="34"/>
        <w:pageBreakBefore w:val="0"/>
        <w:topLinePunct w:val="0"/>
        <w:bidi w:val="0"/>
        <w:spacing w:beforeAutospacing="0" w:afterAutospacing="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本办法自颁布之日起正式实施，由上海电子信息职业技术学院教务处负责解释。</w:t>
      </w: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8〕9</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Lines="100"/>
        <w:ind w:firstLine="420"/>
        <w:jc w:val="center"/>
        <w:textAlignment w:val="auto"/>
        <w:outlineLvl w:val="0"/>
        <w:rPr>
          <w:rFonts w:hint="eastAsia" w:ascii="黑体" w:hAnsi="黑体" w:eastAsia="黑体" w:cs="黑体"/>
          <w:b/>
          <w:sz w:val="36"/>
          <w:szCs w:val="36"/>
        </w:rPr>
      </w:pPr>
      <w:bookmarkStart w:id="69" w:name="_Toc19127"/>
      <w:r>
        <w:rPr>
          <w:rFonts w:hint="eastAsia" w:ascii="黑体" w:hAnsi="黑体" w:eastAsia="黑体" w:cs="黑体"/>
          <w:b/>
          <w:sz w:val="36"/>
          <w:szCs w:val="36"/>
        </w:rPr>
        <w:t>关于印</w:t>
      </w:r>
      <w:r>
        <w:rPr>
          <w:rFonts w:hint="eastAsia" w:ascii="黑体" w:hAnsi="黑体" w:eastAsia="黑体" w:cs="黑体"/>
          <w:b/>
          <w:kern w:val="0"/>
          <w:sz w:val="36"/>
          <w:szCs w:val="36"/>
        </w:rPr>
        <w:t>发《上海电子信息</w:t>
      </w:r>
      <w:r>
        <w:rPr>
          <w:rFonts w:hint="eastAsia" w:ascii="黑体" w:hAnsi="黑体" w:eastAsia="黑体" w:cs="黑体"/>
          <w:b/>
          <w:sz w:val="36"/>
          <w:szCs w:val="36"/>
        </w:rPr>
        <w:t>职业技术学院学分制管理规定》的通知</w:t>
      </w:r>
      <w:bookmarkEnd w:id="69"/>
    </w:p>
    <w:p>
      <w:pPr>
        <w:pageBreakBefore w:val="0"/>
        <w:topLinePunct w:val="0"/>
        <w:bidi w:val="0"/>
        <w:spacing w:beforeLines="100" w:line="52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现将《上海电子信息职业技术学院学分制管理规定》印发给你们，请结合本部门工作实际，认真研究执行。</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附件：上海电子信息职业技术学院学分制管理规定               </w:t>
      </w:r>
    </w:p>
    <w:p>
      <w:pPr>
        <w:pageBreakBefore w:val="0"/>
        <w:topLinePunct w:val="0"/>
        <w:bidi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righ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p>
    <w:p>
      <w:pPr>
        <w:pageBreakBefore w:val="0"/>
        <w:topLinePunct w:val="0"/>
        <w:bidi w:val="0"/>
        <w:spacing w:line="520" w:lineRule="exact"/>
        <w:ind w:right="480"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2018年1月19日</w:t>
      </w:r>
    </w:p>
    <w:p>
      <w:pPr>
        <w:pageBreakBefore w:val="0"/>
        <w:topLinePunct w:val="0"/>
        <w:bidi w:val="0"/>
        <w:spacing w:line="52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360" w:lineRule="auto"/>
        <w:jc w:val="both"/>
        <w:outlineLvl w:val="9"/>
        <w:rPr>
          <w:rFonts w:hint="eastAsia" w:ascii="黑体" w:hAnsi="黑体" w:eastAsia="黑体" w:cs="黑体"/>
          <w:b/>
          <w:bCs/>
          <w:sz w:val="36"/>
          <w:szCs w:val="36"/>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bookmarkStart w:id="70" w:name="_Toc295991803"/>
      <w:bookmarkStart w:id="71" w:name="_Toc11822"/>
      <w:bookmarkStart w:id="72" w:name="_Toc19053"/>
      <w:bookmarkStart w:id="73" w:name="_Toc346802163"/>
      <w:bookmarkStart w:id="74" w:name="_Toc16916"/>
      <w:bookmarkStart w:id="75" w:name="_Toc27939"/>
      <w:bookmarkStart w:id="76" w:name="_Toc346790980"/>
      <w:r>
        <w:rPr>
          <w:rFonts w:hint="eastAsia" w:ascii="黑体" w:hAnsi="黑体" w:eastAsia="黑体" w:cs="黑体"/>
          <w:b/>
          <w:bCs/>
          <w:sz w:val="36"/>
          <w:szCs w:val="36"/>
        </w:rPr>
        <w:t>学分制管理规定</w:t>
      </w:r>
      <w:bookmarkEnd w:id="70"/>
      <w:bookmarkEnd w:id="71"/>
      <w:bookmarkEnd w:id="72"/>
      <w:bookmarkEnd w:id="73"/>
      <w:bookmarkEnd w:id="74"/>
      <w:bookmarkEnd w:id="75"/>
      <w:bookmarkEnd w:id="76"/>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分制是以选课为前提，以学分作为学习的计量单位，在专业人才培养方案主导下的自主学习的一种教学管理制度。实行学分制是全面贯彻党的教育方针，贯彻《国务院关于大力发展职业教育的决定》精神，落实教育部《关于全面提高高等职业教育教学质量的若干意见》的需要。实行学分制，有利于激发学生的学习积极性、主动性，有利于满足经济建设和社会发展对人才多样化的需求。根据我校教学的实际情况，现对原学分制管理规定修订如下：</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77" w:name="_Toc295991804"/>
      <w:r>
        <w:rPr>
          <w:rFonts w:hint="eastAsia" w:ascii="仿宋_GB2312" w:hAnsi="仿宋_GB2312" w:eastAsia="仿宋_GB2312" w:cs="仿宋_GB2312"/>
          <w:kern w:val="2"/>
          <w:sz w:val="28"/>
          <w:szCs w:val="28"/>
          <w:highlight w:val="none"/>
          <w:lang w:val="en-US" w:eastAsia="zh-CN" w:bidi="ar-SA"/>
        </w:rPr>
        <w:t>一、学制与</w:t>
      </w:r>
      <w:bookmarkEnd w:id="77"/>
      <w:r>
        <w:rPr>
          <w:rFonts w:hint="eastAsia" w:ascii="仿宋_GB2312" w:hAnsi="仿宋_GB2312" w:eastAsia="仿宋_GB2312" w:cs="仿宋_GB2312"/>
          <w:kern w:val="2"/>
          <w:sz w:val="28"/>
          <w:szCs w:val="28"/>
          <w:highlight w:val="none"/>
          <w:lang w:val="en-US" w:eastAsia="zh-CN" w:bidi="ar-SA"/>
        </w:rPr>
        <w:t>学习年限</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（一）高等职业技术教育</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基本学制：3年</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最长学习年限：6年</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78" w:name="_Toc295991805"/>
      <w:r>
        <w:rPr>
          <w:rFonts w:hint="eastAsia" w:ascii="仿宋_GB2312" w:hAnsi="仿宋_GB2312" w:eastAsia="仿宋_GB2312" w:cs="仿宋_GB2312"/>
          <w:kern w:val="2"/>
          <w:sz w:val="28"/>
          <w:szCs w:val="28"/>
          <w:highlight w:val="none"/>
          <w:lang w:val="en-US" w:eastAsia="zh-CN" w:bidi="ar-SA"/>
        </w:rPr>
        <w:t>（二）中高职教育贯通培养</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高职阶段基本学制：2年</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高职阶段最长学习年限：4年</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二、课程分类</w:t>
      </w:r>
      <w:bookmarkEnd w:id="78"/>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分制专业的课程主要有通识教育课程、职业教育课程、职业拓展课程三个部分组成。课程有必修课和选修课之分。必修课是每个学生必须修读并取得学分的课程，选修课分为限定选修课与任意选修课，允许学生有选择性地修读并取得相应学分。</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79" w:name="_Toc295991806"/>
      <w:r>
        <w:rPr>
          <w:rFonts w:hint="eastAsia" w:ascii="仿宋_GB2312" w:hAnsi="仿宋_GB2312" w:eastAsia="仿宋_GB2312" w:cs="仿宋_GB2312"/>
          <w:kern w:val="2"/>
          <w:sz w:val="28"/>
          <w:szCs w:val="28"/>
          <w:highlight w:val="none"/>
          <w:lang w:val="en-US" w:eastAsia="zh-CN" w:bidi="ar-SA"/>
        </w:rPr>
        <w:t>三、学分计算</w:t>
      </w:r>
      <w:bookmarkEnd w:id="79"/>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全校各三年制专业的课内教学总学时为1600-1800学时，最低毕业学分为140学分。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（一）以理论教学为主的课程16-18学时折合1学分；不足16学时但达到9学时以上的计0.5学分,不足9学时的不计学分。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（二）一体化教学学分按理论课计学分，集中实训环节每周不超过30学时计算，计1学分，实习环节按每周24学时计算，计1学分。</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80" w:name="_Toc295991807"/>
      <w:r>
        <w:rPr>
          <w:rFonts w:hint="eastAsia" w:ascii="仿宋_GB2312" w:hAnsi="仿宋_GB2312" w:eastAsia="仿宋_GB2312" w:cs="仿宋_GB2312"/>
          <w:kern w:val="2"/>
          <w:sz w:val="28"/>
          <w:szCs w:val="28"/>
          <w:highlight w:val="none"/>
          <w:lang w:val="en-US" w:eastAsia="zh-CN" w:bidi="ar-SA"/>
        </w:rPr>
        <w:t>四、学分的取得</w:t>
      </w:r>
      <w:bookmarkEnd w:id="80"/>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（一）学分数是学生取得毕业资格的主要依据。学生每学期所修读的课程，均需经过考核，成绩合格，才能取得学分；成绩不合格不能取得学分。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（二）符合《学生学籍管理规定》第26条免修规定，可以取得相应学分。</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81" w:name="_Toc295991809"/>
      <w:r>
        <w:rPr>
          <w:rFonts w:hint="eastAsia" w:ascii="仿宋_GB2312" w:hAnsi="仿宋_GB2312" w:eastAsia="仿宋_GB2312" w:cs="仿宋_GB2312"/>
          <w:kern w:val="2"/>
          <w:sz w:val="28"/>
          <w:szCs w:val="28"/>
          <w:highlight w:val="none"/>
          <w:lang w:val="en-US" w:eastAsia="zh-CN" w:bidi="ar-SA"/>
        </w:rPr>
        <w:t>五、学分费用</w:t>
      </w:r>
      <w:bookmarkEnd w:id="81"/>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（一）学费的收缴按照上海市物价局关于普通高校学生缴费的规定收取。基准学习年限内的，按学年收取学费。超过基准学习年限的，按学分收费，不再按学年收取学费。</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复读必须缴纳复读费。未履行缴费义务者，不能参加复读并取得相应学分。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（二）学分收费标准参照以下公式进行计算：</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单位学分应缴费=学生年学费标准×基准学习年限/学生应修总学分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课程应缴费=单位学分应缴费×课程学分。</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82" w:name="_Toc295991810"/>
      <w:r>
        <w:rPr>
          <w:rFonts w:hint="eastAsia" w:ascii="仿宋_GB2312" w:hAnsi="仿宋_GB2312" w:eastAsia="仿宋_GB2312" w:cs="仿宋_GB2312"/>
          <w:kern w:val="2"/>
          <w:sz w:val="28"/>
          <w:szCs w:val="28"/>
          <w:highlight w:val="none"/>
          <w:lang w:val="en-US" w:eastAsia="zh-CN" w:bidi="ar-SA"/>
        </w:rPr>
        <w:t>六、选课与退课</w:t>
      </w:r>
      <w:bookmarkEnd w:id="82"/>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新生（中高职贯通培养学生除外）第一学期不安排通识教育选修课选课，学校根据新生的行政编班组织教学，学生从第二学期起，可根据专业人才培养方案和个人实际需求与学习能力安排选修课程。</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学生应参照所在专业的指导性人才培养教学进程表按学期进行选课，各二级学院应加强选课指导与选课管理。选课时要首先保证必修课的学习，有严格的先行、后续关系的课程，应先选修先行课程，再选修后续课程。</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（二）学生每学期所修的课程总学分一般应在教学进程表所规定的学期课程总学分的±4学分内。</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学生凡未办理选课手续，擅自听课、考试者，其成绩一律不予承认。 </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（三）学生选课应按选课办法执行。单科教学班人数低于30人时，原则上停开或合并，并通知学生改选其他课程。因特殊情况，需开设少于人数控制线的单科教学班，应由分管教学的副校长批准。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（四）学生选修的课程（不含必修课）若与其他课程冲突或因其他特殊原因可在规定的时间范围内按照规定的程序改选或退课。</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83" w:name="_Toc295991811"/>
      <w:r>
        <w:rPr>
          <w:rFonts w:hint="eastAsia" w:ascii="仿宋_GB2312" w:hAnsi="仿宋_GB2312" w:eastAsia="仿宋_GB2312" w:cs="仿宋_GB2312"/>
          <w:kern w:val="2"/>
          <w:sz w:val="28"/>
          <w:szCs w:val="28"/>
          <w:highlight w:val="none"/>
          <w:lang w:val="en-US" w:eastAsia="zh-CN" w:bidi="ar-SA"/>
        </w:rPr>
        <w:t>七、编班与学籍管理</w:t>
      </w:r>
      <w:bookmarkEnd w:id="83"/>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（一）实行学分制后，学生按二级学院、专业、年级编排行政班。学生选课后，在教学过程中，根据选课组成教学班，学校按教学班进行日常教学管理。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（二）延长学业的学生，由学校编入低一年级相应专业的行政班。</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（三）学生的保留入学资格、保留学籍、休学、复学、转学、转专业、退学，毕业、结业、肄业等按《学生学籍管理规定》办理。</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84" w:name="_Toc295991813"/>
      <w:r>
        <w:rPr>
          <w:rFonts w:hint="eastAsia" w:ascii="仿宋_GB2312" w:hAnsi="仿宋_GB2312" w:eastAsia="仿宋_GB2312" w:cs="仿宋_GB2312"/>
          <w:kern w:val="2"/>
          <w:sz w:val="28"/>
          <w:szCs w:val="28"/>
          <w:highlight w:val="none"/>
          <w:lang w:val="en-US" w:eastAsia="zh-CN" w:bidi="ar-SA"/>
        </w:rPr>
        <w:t>八、附则</w:t>
      </w:r>
      <w:bookmarkEnd w:id="84"/>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（一）在本规定实施过程中，如有与上级教学主管部门颁发的规定、办法不一致的，以上级教学主管部门颁发的规定、办法为准。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（二）本规定自颁布之日起正式实施，由上海电子信息职业技术学院教务处负责解释。</w:t>
      </w:r>
    </w:p>
    <w:p>
      <w:pPr>
        <w:pageBreakBefore w:val="0"/>
        <w:topLinePunct w:val="0"/>
        <w:bidi w:val="0"/>
        <w:spacing w:line="360" w:lineRule="auto"/>
        <w:ind w:firstLine="560" w:firstLineChars="200"/>
        <w:outlineLvl w:val="9"/>
        <w:rPr>
          <w:rFonts w:hint="eastAsia" w:ascii="仿宋" w:hAnsi="仿宋" w:eastAsia="仿宋" w:cs="仿宋"/>
          <w:sz w:val="28"/>
          <w:szCs w:val="28"/>
        </w:rPr>
      </w:pPr>
    </w:p>
    <w:p>
      <w:pPr>
        <w:pageBreakBefore w:val="0"/>
        <w:topLinePunct w:val="0"/>
        <w:bidi w:val="0"/>
        <w:spacing w:line="360" w:lineRule="auto"/>
        <w:ind w:firstLine="560" w:firstLineChars="200"/>
        <w:outlineLvl w:val="9"/>
        <w:rPr>
          <w:rFonts w:hint="eastAsia" w:ascii="仿宋" w:hAnsi="仿宋" w:eastAsia="仿宋" w:cs="仿宋"/>
          <w:sz w:val="28"/>
          <w:szCs w:val="28"/>
        </w:rPr>
      </w:pPr>
    </w:p>
    <w:p>
      <w:pPr>
        <w:pageBreakBefore w:val="0"/>
        <w:topLinePunct w:val="0"/>
        <w:bidi w:val="0"/>
        <w:spacing w:line="360" w:lineRule="auto"/>
        <w:ind w:firstLine="560" w:firstLineChars="200"/>
        <w:outlineLvl w:val="9"/>
        <w:rPr>
          <w:rFonts w:ascii="仿宋" w:hAnsi="仿宋" w:eastAsia="仿宋" w:cs="仿宋"/>
          <w:sz w:val="28"/>
          <w:szCs w:val="28"/>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widowControl/>
        <w:tabs>
          <w:tab w:val="left" w:pos="426"/>
          <w:tab w:val="left" w:pos="851"/>
        </w:tabs>
        <w:topLinePunct w:val="0"/>
        <w:bidi w:val="0"/>
        <w:spacing w:line="440" w:lineRule="exact"/>
        <w:ind w:firstLine="420" w:firstLineChars="200"/>
        <w:jc w:val="left"/>
        <w:outlineLvl w:val="9"/>
        <w:rPr>
          <w:rFonts w:hint="eastAsia" w:ascii="宋体" w:hAnsi="宋体"/>
          <w:snapToGrid w:val="0"/>
          <w:color w:val="000000"/>
          <w:kern w:val="0"/>
          <w:szCs w:val="21"/>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ind w:right="-57" w:rightChars="-27"/>
        <w:jc w:val="center"/>
        <w:outlineLvl w:val="9"/>
        <w:rPr>
          <w:rFonts w:ascii="华文中宋" w:hAnsi="华文中宋" w:eastAsia="华文中宋"/>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8〕10</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312" w:beforeLines="100"/>
        <w:ind w:firstLine="420"/>
        <w:jc w:val="center"/>
        <w:textAlignment w:val="auto"/>
        <w:outlineLvl w:val="0"/>
        <w:rPr>
          <w:rFonts w:hint="eastAsia" w:ascii="黑体" w:hAnsi="黑体" w:eastAsia="黑体" w:cs="黑体"/>
          <w:b/>
          <w:sz w:val="36"/>
          <w:szCs w:val="36"/>
        </w:rPr>
      </w:pPr>
      <w:bookmarkStart w:id="85" w:name="_Toc5717"/>
      <w:r>
        <w:rPr>
          <w:rFonts w:hint="eastAsia" w:ascii="黑体" w:hAnsi="黑体" w:eastAsia="黑体" w:cs="黑体"/>
          <w:b/>
          <w:sz w:val="36"/>
          <w:szCs w:val="36"/>
        </w:rPr>
        <w:t>关于印</w:t>
      </w:r>
      <w:r>
        <w:rPr>
          <w:rFonts w:hint="eastAsia" w:ascii="黑体" w:hAnsi="黑体" w:eastAsia="黑体" w:cs="黑体"/>
          <w:b/>
          <w:kern w:val="0"/>
          <w:sz w:val="36"/>
          <w:szCs w:val="36"/>
        </w:rPr>
        <w:t>发《上海电子信息</w:t>
      </w:r>
      <w:r>
        <w:rPr>
          <w:rFonts w:hint="eastAsia" w:ascii="黑体" w:hAnsi="黑体" w:eastAsia="黑体" w:cs="黑体"/>
          <w:b/>
          <w:sz w:val="36"/>
          <w:szCs w:val="36"/>
        </w:rPr>
        <w:t>职业技术学院排课及调</w:t>
      </w:r>
      <w:r>
        <w:rPr>
          <w:rFonts w:hint="eastAsia" w:ascii="黑体" w:hAnsi="黑体" w:eastAsia="黑体" w:cs="黑体"/>
          <w:b/>
          <w:sz w:val="36"/>
          <w:szCs w:val="36"/>
          <w:lang w:eastAsia="zh-CN"/>
        </w:rPr>
        <w:t>、</w:t>
      </w:r>
      <w:r>
        <w:rPr>
          <w:rFonts w:hint="eastAsia" w:ascii="黑体" w:hAnsi="黑体" w:eastAsia="黑体" w:cs="黑体"/>
          <w:b/>
          <w:sz w:val="36"/>
          <w:szCs w:val="36"/>
        </w:rPr>
        <w:t>停课管理规定》的通知</w:t>
      </w:r>
      <w:bookmarkEnd w:id="85"/>
    </w:p>
    <w:p>
      <w:pPr>
        <w:pageBreakBefore w:val="0"/>
        <w:topLinePunct w:val="0"/>
        <w:bidi w:val="0"/>
        <w:spacing w:before="156" w:beforeLines="50" w:line="52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shd w:val="clear" w:color="auto" w:fill="FFFFFF"/>
        <w:topLinePunct w:val="0"/>
        <w:bidi w:val="0"/>
        <w:spacing w:line="520" w:lineRule="exact"/>
        <w:jc w:val="both"/>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shd w:val="clear" w:color="auto" w:fill="FFFFFF"/>
        <w:kinsoku/>
        <w:wordWrap/>
        <w:overflowPunct/>
        <w:topLinePunct w:val="0"/>
        <w:autoSpaceDE/>
        <w:autoSpaceDN/>
        <w:bidi w:val="0"/>
        <w:adjustRightInd/>
        <w:snapToGrid/>
        <w:spacing w:line="520" w:lineRule="exact"/>
        <w:ind w:firstLine="560" w:firstLineChars="200"/>
        <w:jc w:val="both"/>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现将《上海电子信息职业技术学院排课及调、停课管理规定》印发给你们，请结合本部门工作实际，认真研究执行。</w:t>
      </w:r>
    </w:p>
    <w:p>
      <w:pPr>
        <w:pageBreakBefore w:val="0"/>
        <w:shd w:val="clear" w:color="auto" w:fill="FFFFFF"/>
        <w:topLinePunct w:val="0"/>
        <w:bidi w:val="0"/>
        <w:spacing w:line="52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shd w:val="clear" w:color="auto" w:fill="FFFFFF"/>
        <w:topLinePunct w:val="0"/>
        <w:bidi w:val="0"/>
        <w:spacing w:line="52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shd w:val="clear" w:color="auto" w:fill="FFFFFF"/>
        <w:topLinePunct w:val="0"/>
        <w:bidi w:val="0"/>
        <w:spacing w:line="52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附件：上海电子信息职业技术学院排课及调、停课管理规定</w:t>
      </w:r>
    </w:p>
    <w:p>
      <w:pPr>
        <w:pageBreakBefore w:val="0"/>
        <w:topLinePunct w:val="0"/>
        <w:bidi w:val="0"/>
        <w:spacing w:line="520" w:lineRule="exact"/>
        <w:ind w:firstLine="42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righ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20" w:lineRule="exact"/>
        <w:ind w:right="480"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2018年1月19日</w:t>
      </w:r>
    </w:p>
    <w:p>
      <w:pPr>
        <w:pageBreakBefore w:val="0"/>
        <w:topLinePunct w:val="0"/>
        <w:bidi w:val="0"/>
        <w:spacing w:line="520" w:lineRule="exact"/>
        <w:ind w:firstLine="640" w:firstLineChars="200"/>
        <w:outlineLvl w:val="9"/>
        <w:rPr>
          <w:rFonts w:hint="eastAsia" w:ascii="仿宋_GB2312" w:eastAsia="仿宋_GB2312" w:cs="宋体"/>
          <w:color w:val="000000"/>
          <w:sz w:val="32"/>
          <w:szCs w:val="32"/>
        </w:rPr>
      </w:pPr>
    </w:p>
    <w:p>
      <w:pPr>
        <w:pageBreakBefore w:val="0"/>
        <w:topLinePunct w:val="0"/>
        <w:bidi w:val="0"/>
        <w:spacing w:line="520" w:lineRule="exact"/>
        <w:ind w:firstLine="640" w:firstLineChars="200"/>
        <w:outlineLvl w:val="9"/>
        <w:rPr>
          <w:rFonts w:hint="eastAsia" w:ascii="仿宋_GB2312" w:eastAsia="仿宋_GB2312" w:cs="宋体"/>
          <w:color w:val="000000"/>
          <w:sz w:val="32"/>
          <w:szCs w:val="32"/>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bookmarkStart w:id="86" w:name="_Toc31364"/>
      <w:bookmarkStart w:id="87" w:name="_Toc24641"/>
      <w:bookmarkStart w:id="88" w:name="_Toc663"/>
      <w:bookmarkStart w:id="89" w:name="_Toc7924"/>
      <w:r>
        <w:rPr>
          <w:rFonts w:hint="eastAsia" w:ascii="黑体" w:hAnsi="黑体" w:eastAsia="黑体" w:cs="黑体"/>
          <w:b/>
          <w:bCs/>
          <w:sz w:val="36"/>
          <w:szCs w:val="36"/>
        </w:rPr>
        <w:t>排课及调、停课管理规定</w:t>
      </w:r>
      <w:bookmarkEnd w:id="86"/>
      <w:bookmarkEnd w:id="87"/>
      <w:bookmarkEnd w:id="88"/>
      <w:bookmarkEnd w:id="89"/>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为保证教学有序进行，进一步规范排课及调、停课等工作行为，现规定如下：</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一、排 课</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（一）各二级学院应在规定的时间内将下一学期教学实施计划交教务处审定，落实完善教学任务安排。有合班、指定教学场地等具体排课要求的必须在排课前说明。</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（二）编排课程表必须严格按照专业人才培养方案中规定的课程门数、每门课程学期总学时数、根据班级、任课教师、考试课与考查课等具体情况进行编排。</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（三）排课由教务处统一协调，公共课教学单位配合，各二级学院落实。</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（四）排课时间段一般为周一至周四的第1～8节、周五的第1～4节，个别课程经教务处同意可以安排在其它时间。通识教育选修课安排在周一、三的第7～12节，非通识教育选修课不得在此时间段排课。</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各二级学院在最终排定课表时，班级课表每天的第1～2节课及周五上午的课应尽量编排上课，不得无故放空。</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（五）排课地点，应安排在各二级学院划定的教学场所内（外出实习、实践除外）。</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（六）排课应优先安排考虑校外兼职、兼课教师。</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（七）在本校师资情况无法满足教学需求时，可以考虑聘用校外兼课教师。</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（八）排课课时量的限制，按《教师教学工作量计算办法（修订）》执行。</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（九）周学时为4学时或超4学时的课程不宜连续两天排课，尤其是理论性较强或作业量大的课程，更不能4节连排；对于理实一体的课程，为了保证讲练的紧密结合，可连续安排4节课。</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排课前要充分考虑教师的合理要求（专任教师在外校兼课时间冲突不属此范围），在条件允许的情况下，尽可能满足教师，特别是外聘（兼课/兼职）教师的合理要求。同时须考虑学生的学习承受强度与学习规律，若因条件限制不能满足要求时，任课教师须服从整体安排，以确保教学活动的正常进行。</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（十一）专任教师每天的排课量应控制在6节课以内；排课量超过6节课的，须有充分的编排理由，且所属教学单位须将编排理由书面报教务处备案。</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（十二）中层干部原则上不安排在周二、周五上课。</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（十三）课程表一经排定，必须保持其相对稳定，不得随意变动。</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二、调、停课</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（一）开学后2周内，为了保证正常的教学秩序，非因特殊理由，各教学单位不得调课。从开学第3周起，各教学单位可以就教学运行中发生的问题对课表进行适当调整，但须严格控制。</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办理调、停课手续，应有充分理由，各二级学院应严格把关。任课教师因私在外兼课、兼职及其他不合理要求，需要办理调、停课手续的，各二级学院不予以批准。因公原因，应有相关文件及主管领导批准。</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（三）任课教师因故调、停课，必须事前办理调、停课手续。因紧急情况来不及办理的，应先口头办理，事后补办正式手续。</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（四）校内兼课教师到课程归属部门办理调、停课手续，其他教师到所属二级学院办理。</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（五）停课超过一周的课程，相关教学部门应安排代课教师。</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（六）受理任课教师调、停课的部门，应通知涉及的教学部门、教师、班级，并作相应的教学安排。</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（七）所有调、停课记录都应存档。</w:t>
      </w:r>
    </w:p>
    <w:p>
      <w:pPr>
        <w:pageBreakBefore w:val="0"/>
        <w:shd w:val="clear" w:color="auto" w:fill="FFFFFF"/>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（八）任课教师私自调、停课的，按《教学事故认定及处理办法》处理，其所调的课时或后续所补课时不得计算教学工作量。</w:t>
      </w:r>
    </w:p>
    <w:p>
      <w:pPr>
        <w:pageBreakBefore w:val="0"/>
        <w:numPr>
          <w:ilvl w:val="0"/>
          <w:numId w:val="0"/>
        </w:numPr>
        <w:shd w:val="clear" w:color="auto" w:fill="FFFFFF"/>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三、附则</w:t>
      </w:r>
    </w:p>
    <w:p>
      <w:pPr>
        <w:pageBreakBefore w:val="0"/>
        <w:numPr>
          <w:ilvl w:val="0"/>
          <w:numId w:val="0"/>
        </w:numPr>
        <w:shd w:val="clear" w:color="auto" w:fill="FFFFFF"/>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本规定自颁布之日起正式实施，由上海电子信息职业技术学院教务处负责解释。</w:t>
      </w:r>
    </w:p>
    <w:p>
      <w:pPr>
        <w:pageBreakBefore w:val="0"/>
        <w:numPr>
          <w:ilvl w:val="0"/>
          <w:numId w:val="0"/>
        </w:numPr>
        <w:shd w:val="clear" w:color="auto" w:fill="FFFFFF"/>
        <w:topLinePunct w:val="0"/>
        <w:bidi w:val="0"/>
        <w:ind w:firstLine="560" w:firstLineChars="200"/>
        <w:outlineLvl w:val="9"/>
        <w:rPr>
          <w:rFonts w:hint="eastAsia" w:ascii="仿宋" w:hAnsi="仿宋" w:eastAsia="仿宋" w:cs="仿宋"/>
          <w:color w:val="000000"/>
          <w:sz w:val="28"/>
          <w:szCs w:val="28"/>
        </w:rPr>
      </w:pPr>
    </w:p>
    <w:p>
      <w:pPr>
        <w:pageBreakBefore w:val="0"/>
        <w:numPr>
          <w:ilvl w:val="0"/>
          <w:numId w:val="0"/>
        </w:numPr>
        <w:shd w:val="clear" w:color="auto" w:fill="FFFFFF"/>
        <w:topLinePunct w:val="0"/>
        <w:bidi w:val="0"/>
        <w:ind w:firstLine="560" w:firstLineChars="200"/>
        <w:outlineLvl w:val="9"/>
        <w:rPr>
          <w:rFonts w:hint="eastAsia" w:ascii="仿宋" w:hAnsi="仿宋" w:eastAsia="仿宋" w:cs="仿宋"/>
          <w:color w:val="000000"/>
          <w:sz w:val="28"/>
          <w:szCs w:val="28"/>
        </w:rPr>
      </w:pPr>
    </w:p>
    <w:p>
      <w:pPr>
        <w:pageBreakBefore w:val="0"/>
        <w:numPr>
          <w:ilvl w:val="0"/>
          <w:numId w:val="0"/>
        </w:numPr>
        <w:shd w:val="clear" w:color="auto" w:fill="FFFFFF"/>
        <w:topLinePunct w:val="0"/>
        <w:bidi w:val="0"/>
        <w:ind w:firstLine="560" w:firstLineChars="200"/>
        <w:outlineLvl w:val="9"/>
        <w:rPr>
          <w:rFonts w:hint="eastAsia" w:ascii="仿宋" w:hAnsi="仿宋" w:eastAsia="仿宋" w:cs="仿宋"/>
          <w:color w:val="000000"/>
          <w:sz w:val="28"/>
          <w:szCs w:val="28"/>
        </w:rPr>
      </w:pPr>
    </w:p>
    <w:p>
      <w:pPr>
        <w:pageBreakBefore w:val="0"/>
        <w:widowControl/>
        <w:tabs>
          <w:tab w:val="left" w:pos="426"/>
          <w:tab w:val="left" w:pos="851"/>
        </w:tabs>
        <w:topLinePunct w:val="0"/>
        <w:bidi w:val="0"/>
        <w:spacing w:line="440" w:lineRule="exact"/>
        <w:jc w:val="left"/>
        <w:outlineLvl w:val="9"/>
        <w:rPr>
          <w:rFonts w:ascii="宋体" w:hAnsi="宋体"/>
          <w:snapToGrid w:val="0"/>
          <w:color w:val="000000"/>
          <w:kern w:val="0"/>
          <w:szCs w:val="21"/>
        </w:rPr>
      </w:pPr>
    </w:p>
    <w:p>
      <w:pPr>
        <w:pageBreakBefore w:val="0"/>
        <w:topLinePunct w:val="0"/>
        <w:bidi w:val="0"/>
        <w:spacing w:line="20" w:lineRule="exact"/>
        <w:outlineLvl w:val="9"/>
      </w:pPr>
    </w:p>
    <w:p>
      <w:pPr>
        <w:pageBreakBefore w:val="0"/>
        <w:topLinePunct w:val="0"/>
        <w:bidi w:val="0"/>
        <w:jc w:val="center"/>
        <w:outlineLvl w:val="9"/>
        <w:rPr>
          <w:sz w:val="24"/>
        </w:rPr>
      </w:pPr>
      <w:r>
        <w:br w:type="page"/>
      </w:r>
      <w:bookmarkStart w:id="90" w:name="_Toc6638"/>
      <w:bookmarkStart w:id="91" w:name="_Toc12391"/>
      <w:bookmarkStart w:id="92" w:name="_Toc31544"/>
      <w:bookmarkStart w:id="93" w:name="_Toc28237"/>
      <w:bookmarkStart w:id="94" w:name="_Toc25502"/>
      <w:bookmarkStart w:id="95" w:name="_Toc3891"/>
      <w:bookmarkStart w:id="96" w:name="_Toc24041"/>
    </w:p>
    <w:p>
      <w:pPr>
        <w:pageBreakBefore w:val="0"/>
        <w:topLinePunct w:val="0"/>
        <w:bidi w:val="0"/>
        <w:jc w:val="center"/>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8〕12</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156" w:beforeLines="50"/>
        <w:ind w:firstLine="420"/>
        <w:jc w:val="center"/>
        <w:textAlignment w:val="auto"/>
        <w:outlineLvl w:val="0"/>
        <w:rPr>
          <w:rFonts w:hint="eastAsia" w:ascii="黑体" w:hAnsi="黑体" w:eastAsia="黑体" w:cs="黑体"/>
          <w:b/>
          <w:bCs/>
          <w:color w:val="000000"/>
          <w:sz w:val="36"/>
          <w:szCs w:val="36"/>
        </w:rPr>
      </w:pPr>
      <w:bookmarkStart w:id="97" w:name="_Toc27952"/>
      <w:r>
        <w:rPr>
          <w:rFonts w:hint="eastAsia" w:ascii="黑体" w:hAnsi="黑体" w:eastAsia="黑体" w:cs="黑体"/>
          <w:b/>
          <w:sz w:val="36"/>
          <w:szCs w:val="36"/>
        </w:rPr>
        <w:t>关于印</w:t>
      </w:r>
      <w:r>
        <w:rPr>
          <w:rFonts w:hint="eastAsia" w:ascii="黑体" w:hAnsi="黑体" w:eastAsia="黑体" w:cs="黑体"/>
          <w:b/>
          <w:kern w:val="0"/>
          <w:sz w:val="36"/>
          <w:szCs w:val="36"/>
        </w:rPr>
        <w:t>发《上海电子信息</w:t>
      </w:r>
      <w:r>
        <w:rPr>
          <w:rFonts w:hint="eastAsia" w:ascii="黑体" w:hAnsi="黑体" w:eastAsia="黑体" w:cs="黑体"/>
          <w:b/>
          <w:sz w:val="36"/>
          <w:szCs w:val="36"/>
        </w:rPr>
        <w:t>职业技术学院</w:t>
      </w:r>
      <w:r>
        <w:rPr>
          <w:rFonts w:hint="eastAsia" w:ascii="黑体" w:hAnsi="黑体" w:eastAsia="黑体" w:cs="黑体"/>
          <w:b/>
          <w:bCs/>
          <w:color w:val="000000"/>
          <w:sz w:val="36"/>
          <w:szCs w:val="36"/>
        </w:rPr>
        <w:t>课程考核管理规定</w:t>
      </w:r>
      <w:r>
        <w:rPr>
          <w:rFonts w:hint="eastAsia" w:ascii="黑体" w:hAnsi="黑体" w:eastAsia="黑体" w:cs="黑体"/>
          <w:b/>
          <w:sz w:val="36"/>
          <w:szCs w:val="36"/>
        </w:rPr>
        <w:t>》的通知</w:t>
      </w:r>
      <w:bookmarkEnd w:id="97"/>
    </w:p>
    <w:p>
      <w:pPr>
        <w:pageBreakBefore w:val="0"/>
        <w:topLinePunct w:val="0"/>
        <w:bidi w:val="0"/>
        <w:spacing w:before="312" w:beforeLines="100" w:line="52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现将《上海电子信息职业技术学院课程考核管理规定》印发给你们，请结合本部门工作实际，认真研究执行。</w:t>
      </w:r>
    </w:p>
    <w:p>
      <w:pPr>
        <w:pageBreakBefore w:val="0"/>
        <w:topLinePunct w:val="0"/>
        <w:bidi w:val="0"/>
        <w:spacing w:line="52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附件：上海电子信息职业技术学院课程考核管理规定</w:t>
      </w:r>
    </w:p>
    <w:p>
      <w:pPr>
        <w:pageBreakBefore w:val="0"/>
        <w:topLinePunct w:val="0"/>
        <w:bidi w:val="0"/>
        <w:spacing w:line="52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shd w:val="clear" w:color="auto" w:fill="FFFFFF"/>
        <w:topLinePunct w:val="0"/>
        <w:bidi w:val="0"/>
        <w:spacing w:line="52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p>
    <w:p>
      <w:pPr>
        <w:pageBreakBefore w:val="0"/>
        <w:topLinePunct w:val="0"/>
        <w:bidi w:val="0"/>
        <w:spacing w:line="520" w:lineRule="exact"/>
        <w:ind w:right="480"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2018年1月19日</w:t>
      </w:r>
    </w:p>
    <w:p>
      <w:pPr>
        <w:pageBreakBefore w:val="0"/>
        <w:topLinePunct w:val="0"/>
        <w:bidi w:val="0"/>
        <w:jc w:val="both"/>
        <w:outlineLvl w:val="9"/>
        <w:rPr>
          <w:rFonts w:hint="eastAsia" w:ascii="仿宋" w:hAnsi="仿宋" w:eastAsia="仿宋" w:cs="仿宋"/>
          <w:b/>
          <w:bCs/>
          <w:color w:val="000000"/>
          <w:sz w:val="32"/>
          <w:szCs w:val="32"/>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课程考核管理规定</w:t>
      </w:r>
      <w:bookmarkEnd w:id="90"/>
      <w:bookmarkEnd w:id="91"/>
      <w:bookmarkEnd w:id="92"/>
      <w:bookmarkEnd w:id="93"/>
      <w:bookmarkEnd w:id="94"/>
      <w:bookmarkEnd w:id="95"/>
      <w:bookmarkEnd w:id="96"/>
    </w:p>
    <w:p>
      <w:pPr>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课程考核是指对学生按照人才培养方案规定修读的必修课和选修课课程所进行的，能够检验学生学习效果和实际动手能力的各种形式的考评。面向我校有学籍的学生开设的各类课程均须进行考试或考查（以下统称“考核”）。学生修读后必须参加课程考核，考核成绩载入学籍档案。为规范课程多样化考核，特制定本管理规定。</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一、课程考核的原则</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（一）科学性原则。考核形式、内容能处理好知识与能力、理论与实践、重点与覆盖面的相互关系。</w:t>
      </w:r>
    </w:p>
    <w:p>
      <w:pPr>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（二）合理性原则。考核的内容、范围、深度均符合课程标准的有关规定；考核结构在题型、题量、题分、难度、区分度、认知层次比例方面分配合理；评分标准简便、准确，便于把握。</w:t>
      </w:r>
    </w:p>
    <w:p>
      <w:pPr>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（三）有效性原则。考核内容具有代表性，能够准确地测评学生掌握知识的程度和运用知识解决问题的能力。</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98" w:name="_Toc295991822"/>
      <w:r>
        <w:rPr>
          <w:rFonts w:hint="eastAsia" w:ascii="仿宋_GB2312" w:hAnsi="仿宋_GB2312" w:eastAsia="仿宋_GB2312" w:cs="仿宋_GB2312"/>
          <w:kern w:val="2"/>
          <w:sz w:val="28"/>
          <w:szCs w:val="28"/>
          <w:highlight w:val="none"/>
          <w:lang w:val="en-US" w:eastAsia="zh-CN" w:bidi="ar-SA"/>
        </w:rPr>
        <w:t>二、课程考核的组织、安排</w:t>
      </w:r>
      <w:bookmarkEnd w:id="98"/>
    </w:p>
    <w:p>
      <w:pPr>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（一）课程考核工作实行院校二级管理，在教学校长的领导下，课程考核工作由教务处组织和协调，各二级学院组织实施。</w:t>
      </w:r>
    </w:p>
    <w:p>
      <w:pPr>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（二）学校鼓励教师进行课程考核改革，任课教师必须在开学前提交考核实施方案，并经教研室审核，二级学院审批，教务处备案后方可实施。教师在开学两周内，告知学生关于本课程考核的实施方案。</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99" w:name="_Toc295991823"/>
      <w:r>
        <w:rPr>
          <w:rFonts w:hint="eastAsia" w:ascii="仿宋_GB2312" w:hAnsi="仿宋_GB2312" w:eastAsia="仿宋_GB2312" w:cs="仿宋_GB2312"/>
          <w:kern w:val="2"/>
          <w:sz w:val="28"/>
          <w:szCs w:val="28"/>
          <w:highlight w:val="none"/>
          <w:lang w:val="en-US" w:eastAsia="zh-CN" w:bidi="ar-SA"/>
        </w:rPr>
        <w:t>三、课程考核方式、记分方式</w:t>
      </w:r>
      <w:bookmarkEnd w:id="99"/>
    </w:p>
    <w:p>
      <w:pPr>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考核形式分成项目化考核与非项目化考核两种。项目化考核由各个项目成绩按照相应比例折算的成绩为最终成绩；非项目化考核可根据课程需求，将学生的出勤、平时作业、笔试（闭卷、开卷）、口试、上机操作等多种模块结合的方式，由教师设定的每个模块相应比例折算的成绩为最终成绩。</w:t>
      </w:r>
    </w:p>
    <w:p>
      <w:pPr>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（二）课程考核采用百分制记分。</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四、考核相关资料的保存与作废</w:t>
      </w:r>
    </w:p>
    <w:p>
      <w:pPr>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（一）考核相关资料保存</w:t>
      </w:r>
    </w:p>
    <w:p>
      <w:pPr>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学生考勤的点名册、项目化考核资料、平时考核资料、笔试试卷或作业资料、教师登分表等原始资料应及时整理归档。</w:t>
      </w:r>
    </w:p>
    <w:p>
      <w:pPr>
        <w:pageBreakBefore w:val="0"/>
        <w:numPr>
          <w:ilvl w:val="0"/>
          <w:numId w:val="2"/>
        </w:numPr>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以论文或报告作为考核依据的课程，其论文或报告装订与试卷装订相同。</w:t>
      </w:r>
    </w:p>
    <w:p>
      <w:pPr>
        <w:pageBreakBefore w:val="0"/>
        <w:numPr>
          <w:ilvl w:val="0"/>
          <w:numId w:val="2"/>
        </w:numPr>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上机考试类型的课程要刻成光盘，光盘中要有成绩单、标准答案及评分标准、试卷分析、学生答题(成绩单、试卷分析可另附)。</w:t>
      </w:r>
    </w:p>
    <w:p>
      <w:pPr>
        <w:pageBreakBefore w:val="0"/>
        <w:numPr>
          <w:ilvl w:val="0"/>
          <w:numId w:val="2"/>
        </w:numPr>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作品等类型的课程可将学生作品拍照，刻成光盘，光盘中要求有成绩单、标准答案及评分标准、试卷分析（成绩单、试卷分析可另附）。</w:t>
      </w:r>
    </w:p>
    <w:p>
      <w:pPr>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以上资料由二级学院的教学秘书统一保管，要用教务处统一发放的试卷袋封存，试卷袋按照要求进行填写，并标明作废时期为：入学年份+4年；存放专门封存地点，按专业、年级、课程进行摆放，做到上架或入柜，有条有理；由专人负责保管。</w:t>
      </w:r>
    </w:p>
    <w:p>
      <w:pPr>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（二）考核相关资料销毁</w:t>
      </w:r>
    </w:p>
    <w:p>
      <w:pPr>
        <w:pageBreakBefore w:val="0"/>
        <w:numPr>
          <w:ilvl w:val="0"/>
          <w:numId w:val="3"/>
        </w:numPr>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以上资料保存到学生毕业离校后一年，作废日期一到，即由二级学院指派专人统一做销毁处理，并做好记录。</w:t>
      </w:r>
    </w:p>
    <w:p>
      <w:pPr>
        <w:pageBreakBefore w:val="0"/>
        <w:numPr>
          <w:ilvl w:val="0"/>
          <w:numId w:val="3"/>
        </w:numPr>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班级中有因休学、参军、延长学业等特殊原因导致延缓毕业的学生考核资料，需从待销毁的资料中抽出另外保存。</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100" w:name="_Toc295991830"/>
      <w:r>
        <w:rPr>
          <w:rFonts w:hint="eastAsia" w:ascii="仿宋_GB2312" w:hAnsi="仿宋_GB2312" w:eastAsia="仿宋_GB2312" w:cs="仿宋_GB2312"/>
          <w:kern w:val="2"/>
          <w:sz w:val="28"/>
          <w:szCs w:val="28"/>
          <w:highlight w:val="none"/>
          <w:lang w:val="en-US" w:eastAsia="zh-CN" w:bidi="ar-SA"/>
        </w:rPr>
        <w:t>五、附 则</w:t>
      </w:r>
      <w:bookmarkEnd w:id="100"/>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（一）各二级学院可依据本规定制定相关实施细则。</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（二）本规定自颁布之日起正式实施，由上海电子信息职业技术学院教务处负责解释，原上海电子信息职业技术学院有关课程考核管理的规定同时废止。</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附件：课程考核实施方案（模板）</w:t>
      </w:r>
    </w:p>
    <w:p>
      <w:pPr>
        <w:pageBreakBefore w:val="0"/>
        <w:topLinePunct w:val="0"/>
        <w:bidi w:val="0"/>
        <w:spacing w:line="400" w:lineRule="exact"/>
        <w:ind w:firstLine="420" w:firstLineChars="200"/>
        <w:jc w:val="right"/>
        <w:outlineLvl w:val="9"/>
        <w:rPr>
          <w:rFonts w:hint="eastAsia" w:ascii="仿宋" w:hAnsi="仿宋" w:eastAsia="仿宋" w:cs="仿宋"/>
          <w:color w:val="000000"/>
          <w:szCs w:val="21"/>
        </w:rPr>
      </w:pPr>
    </w:p>
    <w:p>
      <w:pPr>
        <w:pageBreakBefore w:val="0"/>
        <w:topLinePunct w:val="0"/>
        <w:bidi w:val="0"/>
        <w:spacing w:line="400" w:lineRule="exact"/>
        <w:outlineLvl w:val="9"/>
        <w:rPr>
          <w:rFonts w:hint="eastAsia" w:ascii="仿宋" w:hAnsi="仿宋" w:eastAsia="仿宋" w:cs="仿宋"/>
          <w:bCs/>
          <w:color w:val="000000"/>
          <w:sz w:val="28"/>
          <w:szCs w:val="28"/>
        </w:rPr>
      </w:pPr>
      <w:r>
        <w:rPr>
          <w:rFonts w:hint="eastAsia" w:ascii="仿宋" w:hAnsi="仿宋" w:eastAsia="仿宋" w:cs="仿宋"/>
          <w:b/>
          <w:color w:val="000000"/>
          <w:szCs w:val="21"/>
        </w:rPr>
        <w:br w:type="page"/>
      </w:r>
      <w:r>
        <w:rPr>
          <w:rFonts w:hint="eastAsia" w:ascii="仿宋" w:hAnsi="仿宋" w:eastAsia="仿宋" w:cs="仿宋"/>
          <w:bCs/>
          <w:color w:val="000000"/>
          <w:sz w:val="28"/>
          <w:szCs w:val="28"/>
        </w:rPr>
        <w:t>附件</w:t>
      </w:r>
    </w:p>
    <w:p>
      <w:pPr>
        <w:pageBreakBefore w:val="0"/>
        <w:topLinePunct w:val="0"/>
        <w:bidi w:val="0"/>
        <w:spacing w:line="400" w:lineRule="exact"/>
        <w:ind w:firstLine="560" w:firstLineChars="200"/>
        <w:outlineLvl w:val="9"/>
        <w:rPr>
          <w:rFonts w:hint="eastAsia" w:ascii="仿宋" w:hAnsi="仿宋" w:eastAsia="仿宋" w:cs="仿宋"/>
          <w:bCs/>
          <w:color w:val="000000"/>
          <w:sz w:val="28"/>
          <w:szCs w:val="28"/>
        </w:rPr>
      </w:pPr>
    </w:p>
    <w:p>
      <w:pPr>
        <w:pageBreakBefore w:val="0"/>
        <w:topLinePunct w:val="0"/>
        <w:bidi w:val="0"/>
        <w:spacing w:line="400" w:lineRule="exact"/>
        <w:jc w:val="center"/>
        <w:outlineLvl w:val="9"/>
        <w:rPr>
          <w:rFonts w:hint="eastAsia" w:ascii="仿宋" w:hAnsi="仿宋" w:eastAsia="仿宋" w:cs="仿宋"/>
          <w:bCs/>
          <w:color w:val="000000"/>
          <w:sz w:val="28"/>
          <w:szCs w:val="28"/>
        </w:rPr>
      </w:pPr>
      <w:r>
        <w:rPr>
          <w:rFonts w:hint="eastAsia" w:ascii="仿宋" w:hAnsi="仿宋" w:eastAsia="仿宋" w:cs="仿宋"/>
          <w:bCs/>
          <w:color w:val="000000"/>
          <w:sz w:val="28"/>
          <w:szCs w:val="28"/>
        </w:rPr>
        <w:t>课程考核实施方案（模板）</w:t>
      </w:r>
    </w:p>
    <w:p>
      <w:pPr>
        <w:pageBreakBefore w:val="0"/>
        <w:topLinePunct w:val="0"/>
        <w:bidi w:val="0"/>
        <w:spacing w:line="400" w:lineRule="exact"/>
        <w:jc w:val="center"/>
        <w:outlineLvl w:val="9"/>
        <w:rPr>
          <w:rFonts w:hint="eastAsia" w:ascii="仿宋" w:hAnsi="仿宋" w:eastAsia="仿宋" w:cs="仿宋"/>
          <w:b/>
          <w:color w:val="000000"/>
          <w:szCs w:val="21"/>
        </w:rPr>
      </w:pPr>
    </w:p>
    <w:p>
      <w:pPr>
        <w:pageBreakBefore w:val="0"/>
        <w:topLinePunct w:val="0"/>
        <w:bidi w:val="0"/>
        <w:spacing w:line="400" w:lineRule="exact"/>
        <w:outlineLvl w:val="9"/>
        <w:rPr>
          <w:rFonts w:hint="eastAsia" w:ascii="仿宋" w:hAnsi="仿宋" w:eastAsia="仿宋" w:cs="仿宋"/>
          <w:b/>
          <w:color w:val="000000"/>
          <w:szCs w:val="21"/>
        </w:rPr>
      </w:pPr>
      <w:r>
        <w:rPr>
          <w:rFonts w:hint="eastAsia" w:ascii="仿宋" w:hAnsi="仿宋" w:eastAsia="仿宋" w:cs="仿宋"/>
          <w:b/>
          <w:color w:val="000000"/>
          <w:szCs w:val="21"/>
        </w:rPr>
        <w:t>一、课程名称</w:t>
      </w:r>
    </w:p>
    <w:p>
      <w:pPr>
        <w:pageBreakBefore w:val="0"/>
        <w:topLinePunct w:val="0"/>
        <w:bidi w:val="0"/>
        <w:spacing w:line="400" w:lineRule="exact"/>
        <w:outlineLvl w:val="9"/>
        <w:rPr>
          <w:rFonts w:hint="eastAsia" w:ascii="仿宋" w:hAnsi="仿宋" w:eastAsia="仿宋" w:cs="仿宋"/>
          <w:b/>
          <w:color w:val="000000"/>
          <w:szCs w:val="21"/>
        </w:rPr>
      </w:pPr>
    </w:p>
    <w:p>
      <w:pPr>
        <w:pageBreakBefore w:val="0"/>
        <w:topLinePunct w:val="0"/>
        <w:bidi w:val="0"/>
        <w:spacing w:line="400" w:lineRule="exact"/>
        <w:outlineLvl w:val="9"/>
        <w:rPr>
          <w:rFonts w:hint="eastAsia" w:ascii="仿宋" w:hAnsi="仿宋" w:eastAsia="仿宋" w:cs="仿宋"/>
          <w:b/>
          <w:color w:val="000000"/>
          <w:szCs w:val="21"/>
        </w:rPr>
      </w:pPr>
      <w:r>
        <w:rPr>
          <w:rFonts w:hint="eastAsia" w:ascii="仿宋" w:hAnsi="仿宋" w:eastAsia="仿宋" w:cs="仿宋"/>
          <w:b/>
          <w:color w:val="000000"/>
          <w:szCs w:val="21"/>
        </w:rPr>
        <w:t>二、学时、学分</w:t>
      </w:r>
    </w:p>
    <w:p>
      <w:pPr>
        <w:pageBreakBefore w:val="0"/>
        <w:topLinePunct w:val="0"/>
        <w:bidi w:val="0"/>
        <w:spacing w:line="400" w:lineRule="exact"/>
        <w:outlineLvl w:val="9"/>
        <w:rPr>
          <w:rFonts w:hint="eastAsia" w:ascii="仿宋" w:hAnsi="仿宋" w:eastAsia="仿宋" w:cs="仿宋"/>
          <w:b/>
          <w:color w:val="000000"/>
          <w:szCs w:val="21"/>
        </w:rPr>
      </w:pPr>
    </w:p>
    <w:p>
      <w:pPr>
        <w:pageBreakBefore w:val="0"/>
        <w:topLinePunct w:val="0"/>
        <w:bidi w:val="0"/>
        <w:spacing w:line="400" w:lineRule="exact"/>
        <w:outlineLvl w:val="9"/>
        <w:rPr>
          <w:rFonts w:hint="eastAsia" w:ascii="仿宋" w:hAnsi="仿宋" w:eastAsia="仿宋" w:cs="仿宋"/>
          <w:b/>
          <w:color w:val="000000"/>
          <w:szCs w:val="21"/>
        </w:rPr>
      </w:pPr>
      <w:r>
        <w:rPr>
          <w:rFonts w:hint="eastAsia" w:ascii="仿宋" w:hAnsi="仿宋" w:eastAsia="仿宋" w:cs="仿宋"/>
          <w:b/>
          <w:color w:val="000000"/>
          <w:szCs w:val="21"/>
        </w:rPr>
        <w:t>三、考核对象</w:t>
      </w:r>
    </w:p>
    <w:p>
      <w:pPr>
        <w:pageBreakBefore w:val="0"/>
        <w:topLinePunct w:val="0"/>
        <w:bidi w:val="0"/>
        <w:spacing w:line="400" w:lineRule="exact"/>
        <w:ind w:left="724" w:leftChars="345"/>
        <w:outlineLvl w:val="9"/>
        <w:rPr>
          <w:rFonts w:hint="eastAsia" w:ascii="仿宋" w:hAnsi="仿宋" w:eastAsia="仿宋" w:cs="仿宋"/>
          <w:b/>
          <w:color w:val="000000"/>
          <w:szCs w:val="21"/>
        </w:rPr>
      </w:pPr>
      <w:r>
        <w:rPr>
          <w:rFonts w:hint="eastAsia" w:ascii="仿宋" w:hAnsi="仿宋" w:eastAsia="仿宋" w:cs="仿宋"/>
          <w:color w:val="000000"/>
          <w:szCs w:val="21"/>
        </w:rPr>
        <w:t>20</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级</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专业</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班级</w:t>
      </w:r>
    </w:p>
    <w:p>
      <w:pPr>
        <w:pageBreakBefore w:val="0"/>
        <w:topLinePunct w:val="0"/>
        <w:bidi w:val="0"/>
        <w:spacing w:line="400" w:lineRule="exact"/>
        <w:outlineLvl w:val="9"/>
        <w:rPr>
          <w:rFonts w:hint="eastAsia" w:ascii="仿宋" w:hAnsi="仿宋" w:eastAsia="仿宋" w:cs="仿宋"/>
          <w:b/>
          <w:color w:val="000000"/>
          <w:szCs w:val="21"/>
        </w:rPr>
      </w:pPr>
      <w:r>
        <w:rPr>
          <w:rFonts w:hint="eastAsia" w:ascii="仿宋" w:hAnsi="仿宋" w:eastAsia="仿宋" w:cs="仿宋"/>
          <w:b/>
          <w:color w:val="000000"/>
          <w:szCs w:val="21"/>
        </w:rPr>
        <w:t>四、考核目的</w:t>
      </w:r>
    </w:p>
    <w:p>
      <w:pPr>
        <w:pageBreakBefore w:val="0"/>
        <w:topLinePunct w:val="0"/>
        <w:bidi w:val="0"/>
        <w:spacing w:line="400" w:lineRule="exact"/>
        <w:outlineLvl w:val="9"/>
        <w:rPr>
          <w:rFonts w:hint="eastAsia" w:ascii="仿宋" w:hAnsi="仿宋" w:eastAsia="仿宋" w:cs="仿宋"/>
          <w:b/>
          <w:color w:val="000000"/>
          <w:szCs w:val="21"/>
        </w:rPr>
      </w:pPr>
    </w:p>
    <w:p>
      <w:pPr>
        <w:pageBreakBefore w:val="0"/>
        <w:topLinePunct w:val="0"/>
        <w:bidi w:val="0"/>
        <w:spacing w:line="400" w:lineRule="exact"/>
        <w:outlineLvl w:val="9"/>
        <w:rPr>
          <w:rFonts w:hint="eastAsia" w:ascii="仿宋" w:hAnsi="仿宋" w:eastAsia="仿宋" w:cs="仿宋"/>
          <w:b/>
          <w:color w:val="000000"/>
          <w:szCs w:val="21"/>
        </w:rPr>
      </w:pPr>
    </w:p>
    <w:p>
      <w:pPr>
        <w:pageBreakBefore w:val="0"/>
        <w:topLinePunct w:val="0"/>
        <w:bidi w:val="0"/>
        <w:spacing w:line="400" w:lineRule="exact"/>
        <w:outlineLvl w:val="9"/>
        <w:rPr>
          <w:rFonts w:hint="eastAsia" w:ascii="仿宋" w:hAnsi="仿宋" w:eastAsia="仿宋" w:cs="仿宋"/>
          <w:b/>
          <w:color w:val="000000"/>
          <w:szCs w:val="21"/>
        </w:rPr>
      </w:pPr>
      <w:r>
        <w:rPr>
          <w:rFonts w:hint="eastAsia" w:ascii="仿宋" w:hAnsi="仿宋" w:eastAsia="仿宋" w:cs="仿宋"/>
          <w:b/>
          <w:color w:val="000000"/>
          <w:szCs w:val="21"/>
        </w:rPr>
        <w:t>五、考核形式</w:t>
      </w:r>
    </w:p>
    <w:p>
      <w:pPr>
        <w:pageBreakBefore w:val="0"/>
        <w:topLinePunct w:val="0"/>
        <w:bidi w:val="0"/>
        <w:spacing w:line="400" w:lineRule="exact"/>
        <w:outlineLvl w:val="9"/>
        <w:rPr>
          <w:rFonts w:hint="eastAsia" w:ascii="仿宋" w:hAnsi="仿宋" w:eastAsia="仿宋" w:cs="仿宋"/>
          <w:b/>
          <w:color w:val="000000"/>
          <w:szCs w:val="21"/>
        </w:rPr>
      </w:pPr>
      <w:r>
        <w:rPr>
          <w:rFonts w:hint="eastAsia" w:ascii="仿宋" w:hAnsi="仿宋" w:eastAsia="仿宋" w:cs="仿宋"/>
          <w:b/>
          <w:color w:val="000000"/>
          <w:szCs w:val="21"/>
        </w:rPr>
        <w:t>项目化考核</w:t>
      </w:r>
    </w:p>
    <w:p>
      <w:pPr>
        <w:pageBreakBefore w:val="0"/>
        <w:topLinePunct w:val="0"/>
        <w:bidi w:val="0"/>
        <w:spacing w:line="400" w:lineRule="exact"/>
        <w:outlineLvl w:val="9"/>
        <w:rPr>
          <w:rFonts w:hint="eastAsia" w:ascii="仿宋" w:hAnsi="仿宋" w:eastAsia="仿宋" w:cs="仿宋"/>
          <w:b/>
          <w:color w:val="000000"/>
          <w:szCs w:val="21"/>
        </w:rPr>
      </w:pPr>
    </w:p>
    <w:p>
      <w:pPr>
        <w:pageBreakBefore w:val="0"/>
        <w:topLinePunct w:val="0"/>
        <w:bidi w:val="0"/>
        <w:spacing w:line="400" w:lineRule="exact"/>
        <w:outlineLvl w:val="9"/>
        <w:rPr>
          <w:rFonts w:hint="eastAsia" w:ascii="仿宋" w:hAnsi="仿宋" w:eastAsia="仿宋" w:cs="仿宋"/>
          <w:b/>
          <w:color w:val="000000"/>
          <w:szCs w:val="21"/>
        </w:rPr>
      </w:pPr>
      <w:r>
        <w:rPr>
          <w:rFonts w:hint="eastAsia" w:ascii="仿宋" w:hAnsi="仿宋" w:eastAsia="仿宋" w:cs="仿宋"/>
          <w:b/>
          <w:color w:val="000000"/>
          <w:szCs w:val="21"/>
        </w:rPr>
        <w:t>非项目化考核</w:t>
      </w:r>
    </w:p>
    <w:p>
      <w:pPr>
        <w:pageBreakBefore w:val="0"/>
        <w:topLinePunct w:val="0"/>
        <w:bidi w:val="0"/>
        <w:spacing w:line="400" w:lineRule="exact"/>
        <w:outlineLvl w:val="9"/>
        <w:rPr>
          <w:rFonts w:hint="eastAsia" w:ascii="仿宋" w:hAnsi="仿宋" w:eastAsia="仿宋" w:cs="仿宋"/>
          <w:b/>
          <w:color w:val="000000"/>
          <w:szCs w:val="21"/>
        </w:rPr>
      </w:pPr>
    </w:p>
    <w:p>
      <w:pPr>
        <w:pageBreakBefore w:val="0"/>
        <w:topLinePunct w:val="0"/>
        <w:bidi w:val="0"/>
        <w:spacing w:line="400" w:lineRule="exact"/>
        <w:outlineLvl w:val="9"/>
        <w:rPr>
          <w:rFonts w:hint="eastAsia" w:ascii="仿宋" w:hAnsi="仿宋" w:eastAsia="仿宋" w:cs="仿宋"/>
          <w:b/>
          <w:color w:val="000000"/>
          <w:szCs w:val="21"/>
        </w:rPr>
      </w:pPr>
      <w:r>
        <w:rPr>
          <w:rFonts w:hint="eastAsia" w:ascii="仿宋" w:hAnsi="仿宋" w:eastAsia="仿宋" w:cs="仿宋"/>
          <w:b/>
          <w:color w:val="000000"/>
          <w:szCs w:val="21"/>
        </w:rPr>
        <w:t>六、考核内容与评分标准</w:t>
      </w:r>
    </w:p>
    <w:p>
      <w:pPr>
        <w:pageBreakBefore w:val="0"/>
        <w:topLinePunct w:val="0"/>
        <w:bidi w:val="0"/>
        <w:spacing w:line="400" w:lineRule="exact"/>
        <w:ind w:firstLine="420" w:firstLineChars="200"/>
        <w:outlineLvl w:val="9"/>
        <w:rPr>
          <w:rFonts w:hint="eastAsia" w:ascii="仿宋" w:hAnsi="仿宋" w:eastAsia="仿宋" w:cs="仿宋"/>
          <w:color w:val="000000"/>
          <w:szCs w:val="21"/>
        </w:rPr>
      </w:pPr>
      <w:r>
        <w:rPr>
          <w:rFonts w:hint="eastAsia" w:ascii="仿宋" w:hAnsi="仿宋" w:eastAsia="仿宋" w:cs="仿宋"/>
          <w:color w:val="000000"/>
          <w:szCs w:val="21"/>
        </w:rPr>
        <w:t>项目化考核需按项目、非项目化考核按模块详尽列出。</w:t>
      </w: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outlineLvl w:val="9"/>
        <w:rPr>
          <w:rFonts w:hint="eastAsia" w:ascii="仿宋" w:hAnsi="仿宋" w:eastAsia="仿宋" w:cs="仿宋"/>
          <w:b/>
          <w:color w:val="000000"/>
          <w:szCs w:val="21"/>
        </w:rPr>
      </w:pPr>
      <w:r>
        <w:rPr>
          <w:rFonts w:hint="eastAsia" w:ascii="仿宋" w:hAnsi="仿宋" w:eastAsia="仿宋" w:cs="仿宋"/>
          <w:b/>
          <w:color w:val="000000"/>
          <w:szCs w:val="21"/>
        </w:rPr>
        <w:t>七、其它</w:t>
      </w:r>
    </w:p>
    <w:p>
      <w:pPr>
        <w:pageBreakBefore w:val="0"/>
        <w:topLinePunct w:val="0"/>
        <w:bidi w:val="0"/>
        <w:spacing w:line="400" w:lineRule="exact"/>
        <w:ind w:firstLine="420" w:firstLineChars="200"/>
        <w:outlineLvl w:val="9"/>
        <w:rPr>
          <w:rFonts w:hint="eastAsia" w:ascii="仿宋" w:hAnsi="仿宋" w:eastAsia="仿宋" w:cs="仿宋"/>
          <w:color w:val="000000"/>
          <w:szCs w:val="21"/>
        </w:rPr>
      </w:pPr>
      <w:r>
        <w:rPr>
          <w:rFonts w:hint="eastAsia" w:ascii="仿宋" w:hAnsi="仿宋" w:eastAsia="仿宋" w:cs="仿宋"/>
          <w:color w:val="000000"/>
          <w:szCs w:val="21"/>
        </w:rPr>
        <w:t>实施本方案所需要补充说明的事项</w:t>
      </w:r>
    </w:p>
    <w:p>
      <w:pPr>
        <w:pageBreakBefore w:val="0"/>
        <w:topLinePunct w:val="0"/>
        <w:bidi w:val="0"/>
        <w:spacing w:line="400" w:lineRule="exact"/>
        <w:ind w:firstLine="315" w:firstLineChars="150"/>
        <w:outlineLvl w:val="9"/>
        <w:rPr>
          <w:rFonts w:hint="eastAsia" w:ascii="仿宋" w:hAnsi="仿宋" w:eastAsia="仿宋" w:cs="仿宋"/>
          <w:color w:val="000000"/>
          <w:szCs w:val="21"/>
        </w:rPr>
      </w:pPr>
    </w:p>
    <w:p>
      <w:pPr>
        <w:pageBreakBefore w:val="0"/>
        <w:topLinePunct w:val="0"/>
        <w:bidi w:val="0"/>
        <w:spacing w:line="400" w:lineRule="exact"/>
        <w:ind w:firstLine="315" w:firstLineChars="150"/>
        <w:outlineLvl w:val="9"/>
        <w:rPr>
          <w:rFonts w:hint="eastAsia" w:ascii="仿宋" w:hAnsi="仿宋" w:eastAsia="仿宋" w:cs="仿宋"/>
          <w:color w:val="000000"/>
          <w:szCs w:val="21"/>
        </w:rPr>
      </w:pPr>
    </w:p>
    <w:p>
      <w:pPr>
        <w:pageBreakBefore w:val="0"/>
        <w:topLinePunct w:val="0"/>
        <w:bidi w:val="0"/>
        <w:spacing w:line="400" w:lineRule="exact"/>
        <w:ind w:firstLine="315" w:firstLineChars="150"/>
        <w:outlineLvl w:val="9"/>
        <w:rPr>
          <w:rFonts w:hint="eastAsia" w:ascii="仿宋" w:hAnsi="仿宋" w:eastAsia="仿宋" w:cs="仿宋"/>
          <w:color w:val="000000"/>
          <w:szCs w:val="21"/>
        </w:rPr>
      </w:pPr>
    </w:p>
    <w:p>
      <w:pPr>
        <w:pageBreakBefore w:val="0"/>
        <w:topLinePunct w:val="0"/>
        <w:bidi w:val="0"/>
        <w:spacing w:line="400" w:lineRule="exact"/>
        <w:jc w:val="right"/>
        <w:outlineLvl w:val="9"/>
        <w:rPr>
          <w:rFonts w:hint="eastAsia" w:ascii="仿宋" w:hAnsi="仿宋" w:eastAsia="仿宋" w:cs="仿宋"/>
          <w:color w:val="000000"/>
          <w:szCs w:val="21"/>
        </w:rPr>
      </w:pPr>
    </w:p>
    <w:p>
      <w:pPr>
        <w:pageBreakBefore w:val="0"/>
        <w:topLinePunct w:val="0"/>
        <w:bidi w:val="0"/>
        <w:spacing w:line="400" w:lineRule="exact"/>
        <w:ind w:right="578" w:firstLine="5376" w:firstLineChars="2550"/>
        <w:outlineLvl w:val="9"/>
        <w:rPr>
          <w:rFonts w:hint="eastAsia" w:ascii="仿宋" w:hAnsi="仿宋" w:eastAsia="仿宋" w:cs="仿宋"/>
          <w:b/>
          <w:color w:val="000000"/>
          <w:szCs w:val="21"/>
        </w:rPr>
      </w:pPr>
      <w:r>
        <w:rPr>
          <w:rFonts w:hint="eastAsia" w:ascii="仿宋" w:hAnsi="仿宋" w:eastAsia="仿宋" w:cs="仿宋"/>
          <w:b/>
          <w:color w:val="000000"/>
          <w:szCs w:val="21"/>
        </w:rPr>
        <w:t xml:space="preserve">考核负责人： </w:t>
      </w:r>
    </w:p>
    <w:p>
      <w:pPr>
        <w:pageBreakBefore w:val="0"/>
        <w:topLinePunct w:val="0"/>
        <w:bidi w:val="0"/>
        <w:spacing w:line="400" w:lineRule="exact"/>
        <w:ind w:right="580"/>
        <w:jc w:val="center"/>
        <w:outlineLvl w:val="9"/>
        <w:rPr>
          <w:rFonts w:hint="eastAsia" w:ascii="仿宋" w:hAnsi="仿宋" w:eastAsia="仿宋" w:cs="仿宋"/>
          <w:b/>
          <w:color w:val="000000"/>
          <w:szCs w:val="21"/>
        </w:rPr>
      </w:pPr>
      <w:r>
        <w:rPr>
          <w:rFonts w:hint="eastAsia" w:ascii="仿宋" w:hAnsi="仿宋" w:eastAsia="仿宋" w:cs="仿宋"/>
          <w:b/>
          <w:color w:val="000000"/>
          <w:szCs w:val="21"/>
        </w:rPr>
        <w:t xml:space="preserve">                                        教研室审核：                              </w:t>
      </w:r>
    </w:p>
    <w:p>
      <w:pPr>
        <w:pageBreakBefore w:val="0"/>
        <w:topLinePunct w:val="0"/>
        <w:bidi w:val="0"/>
        <w:spacing w:line="400" w:lineRule="exact"/>
        <w:ind w:right="685"/>
        <w:jc w:val="center"/>
        <w:outlineLvl w:val="9"/>
        <w:rPr>
          <w:rFonts w:hint="eastAsia" w:ascii="仿宋" w:hAnsi="仿宋" w:eastAsia="仿宋" w:cs="仿宋"/>
          <w:b/>
          <w:color w:val="000000"/>
          <w:szCs w:val="21"/>
        </w:rPr>
      </w:pPr>
      <w:r>
        <w:rPr>
          <w:rFonts w:hint="eastAsia" w:ascii="仿宋" w:hAnsi="仿宋" w:eastAsia="仿宋" w:cs="仿宋"/>
          <w:b/>
          <w:color w:val="000000"/>
          <w:szCs w:val="21"/>
        </w:rPr>
        <w:t xml:space="preserve">                                             二级学院（部）审批：</w:t>
      </w:r>
    </w:p>
    <w:p>
      <w:pPr>
        <w:pageBreakBefore w:val="0"/>
        <w:topLinePunct w:val="0"/>
        <w:bidi w:val="0"/>
        <w:spacing w:line="400" w:lineRule="exact"/>
        <w:ind w:right="580"/>
        <w:jc w:val="center"/>
        <w:outlineLvl w:val="9"/>
        <w:rPr>
          <w:rFonts w:hint="eastAsia" w:ascii="仿宋" w:hAnsi="仿宋" w:eastAsia="仿宋" w:cs="仿宋"/>
          <w:b/>
          <w:color w:val="000000"/>
          <w:szCs w:val="21"/>
        </w:rPr>
      </w:pPr>
      <w:r>
        <w:rPr>
          <w:rFonts w:hint="eastAsia" w:ascii="仿宋" w:hAnsi="仿宋" w:eastAsia="仿宋" w:cs="仿宋"/>
          <w:b/>
          <w:color w:val="000000"/>
          <w:szCs w:val="21"/>
        </w:rPr>
        <w:t xml:space="preserve">                                     日  期：</w:t>
      </w: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jc w:val="center"/>
        <w:outlineLvl w:val="9"/>
        <w:rPr>
          <w:sz w:val="24"/>
        </w:rPr>
      </w:pPr>
      <w:bookmarkStart w:id="101" w:name="_Toc27290"/>
      <w:bookmarkStart w:id="102" w:name="_Toc25484"/>
      <w:bookmarkStart w:id="103" w:name="_Toc2994"/>
      <w:bookmarkStart w:id="104" w:name="_Toc10586"/>
      <w:bookmarkStart w:id="105" w:name="_Toc28517"/>
      <w:bookmarkStart w:id="106" w:name="_Toc22543"/>
      <w:bookmarkStart w:id="107" w:name="_Toc3381"/>
    </w:p>
    <w:p>
      <w:pPr>
        <w:pageBreakBefore w:val="0"/>
        <w:topLinePunct w:val="0"/>
        <w:bidi w:val="0"/>
        <w:jc w:val="center"/>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8〕14</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312" w:beforeLines="100"/>
        <w:ind w:firstLine="420"/>
        <w:jc w:val="center"/>
        <w:textAlignment w:val="auto"/>
        <w:outlineLvl w:val="0"/>
        <w:rPr>
          <w:rFonts w:hint="eastAsia" w:ascii="黑体" w:hAnsi="黑体" w:eastAsia="黑体" w:cs="黑体"/>
          <w:b/>
          <w:bCs/>
          <w:color w:val="000000"/>
          <w:sz w:val="36"/>
          <w:szCs w:val="36"/>
        </w:rPr>
      </w:pPr>
      <w:bookmarkStart w:id="108" w:name="_Toc4975"/>
      <w:r>
        <w:rPr>
          <w:rFonts w:hint="eastAsia" w:ascii="黑体" w:hAnsi="黑体" w:eastAsia="黑体" w:cs="黑体"/>
          <w:b/>
          <w:sz w:val="36"/>
          <w:szCs w:val="36"/>
        </w:rPr>
        <w:t>关于印</w:t>
      </w:r>
      <w:r>
        <w:rPr>
          <w:rFonts w:hint="eastAsia" w:ascii="黑体" w:hAnsi="黑体" w:eastAsia="黑体" w:cs="黑体"/>
          <w:b/>
          <w:kern w:val="0"/>
          <w:sz w:val="36"/>
          <w:szCs w:val="36"/>
        </w:rPr>
        <w:t>发《上海电子信息</w:t>
      </w:r>
      <w:r>
        <w:rPr>
          <w:rFonts w:hint="eastAsia" w:ascii="黑体" w:hAnsi="黑体" w:eastAsia="黑体" w:cs="黑体"/>
          <w:b/>
          <w:sz w:val="36"/>
          <w:szCs w:val="36"/>
        </w:rPr>
        <w:t>职业技术学院</w:t>
      </w:r>
      <w:r>
        <w:rPr>
          <w:rFonts w:hint="eastAsia" w:ascii="黑体" w:hAnsi="黑体" w:eastAsia="黑体" w:cs="黑体"/>
          <w:b/>
          <w:bCs/>
          <w:color w:val="000000"/>
          <w:sz w:val="36"/>
          <w:szCs w:val="36"/>
        </w:rPr>
        <w:t>试卷管理规定</w:t>
      </w:r>
      <w:r>
        <w:rPr>
          <w:rFonts w:hint="eastAsia" w:ascii="黑体" w:hAnsi="黑体" w:eastAsia="黑体" w:cs="黑体"/>
          <w:b/>
          <w:sz w:val="36"/>
          <w:szCs w:val="36"/>
        </w:rPr>
        <w:t>》的通知</w:t>
      </w:r>
      <w:bookmarkEnd w:id="108"/>
    </w:p>
    <w:p>
      <w:pPr>
        <w:pageBreakBefore w:val="0"/>
        <w:topLinePunct w:val="0"/>
        <w:bidi w:val="0"/>
        <w:spacing w:before="312" w:beforeLines="100"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现将《上海电子信息职业技术学院试卷管理规定》印发给你们，请结合本部门工作实际，认真研究执行。</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附件：上海电子信息职业技术学院试卷管理规定</w:t>
      </w:r>
    </w:p>
    <w:p>
      <w:pPr>
        <w:pageBreakBefore w:val="0"/>
        <w:shd w:val="clear" w:color="auto" w:fill="FFFFFF"/>
        <w:topLinePunct w:val="0"/>
        <w:bidi w:val="0"/>
        <w:spacing w:line="52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p>
    <w:p>
      <w:pPr>
        <w:pageBreakBefore w:val="0"/>
        <w:topLinePunct w:val="0"/>
        <w:bidi w:val="0"/>
        <w:spacing w:line="520" w:lineRule="exact"/>
        <w:ind w:right="480"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2018年1月19日</w:t>
      </w:r>
    </w:p>
    <w:p>
      <w:pPr>
        <w:pageBreakBefore w:val="0"/>
        <w:topLinePunct w:val="0"/>
        <w:bidi w:val="0"/>
        <w:spacing w:line="520" w:lineRule="exact"/>
        <w:ind w:right="480" w:firstLine="3360" w:firstLineChars="1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试卷管理规定</w:t>
      </w:r>
      <w:bookmarkEnd w:id="101"/>
      <w:bookmarkEnd w:id="102"/>
      <w:bookmarkEnd w:id="103"/>
      <w:bookmarkEnd w:id="104"/>
      <w:bookmarkEnd w:id="105"/>
      <w:bookmarkEnd w:id="106"/>
      <w:bookmarkEnd w:id="107"/>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笔试是课程考核的重要组成部分，笔试试卷是衡量和评价学生学习绩效和水平的重要依据。为规范我校的试卷管理工作，特制定本规定。</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一、试卷的设计要求</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（一）试卷需交A、B两套试卷。所有上交的试卷都必须附有相应的参考答案和评分标准，规范填写《试卷审批表》（包括课程名称、用卷班级、命题教师等栏目）。</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（二）试卷必须采用教务处统一规定的格式。</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（三）试卷密封线上方区域要有：专业班级、姓名、学号等主要信息。</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（四）试卷卷首应体现：学年、学期、课程名称、适用班级、考试时间、考核方式（开/闭卷）等主要信息。</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（五）试卷卷首应有试题号和得分栏以及总分栏。</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（六）页面下端（页脚）有“第几页、共几页”标志（居中）。</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（七）大题题首应注明总分及分项分值。</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二、试卷的生成、保密与保存</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（一）试卷格式按学校的统一要求印制。任课教师按要求命题，经二级学院负责人审核后，再送文印室印制。</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（二）各二级学院教务办公室负责试卷分装、保管并在考试前20分钟发放给监考教师，考试结束后，监考教师清点好试卷，移交二级学院教务办公室。</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（三）在接收试卷时，教师要认真核对试卷袋上的实际考试人数、考生签到人数与成绩单上的考试成绩获得人数是否一致，若出现不一致的现象，应查明原因并在试卷袋上注明。</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（四）接触试卷的人员和教师不得以任何方式泄漏试题内容，凡在命题、审题、印卷、领取和保管试卷过程中造成泄密事故者，按学校《教学事故认定及处理办法》处理。</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试卷的保存参照《课程考核管理规定》中考核相关资料的保存方法。试卷袋里面另附试卷空白卷、评分标准及标准答案、考试成绩单、考生签到表、考场情况记录单、考试试卷情况分析表等，试卷袋上的每个项目应填写齐全，评卷教师必须在试卷袋上签名，并按每项要求做好。</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109" w:name="_Toc295991825"/>
      <w:r>
        <w:rPr>
          <w:rFonts w:hint="eastAsia" w:ascii="仿宋_GB2312" w:hAnsi="仿宋_GB2312" w:eastAsia="仿宋_GB2312" w:cs="仿宋_GB2312"/>
          <w:kern w:val="2"/>
          <w:sz w:val="28"/>
          <w:szCs w:val="28"/>
          <w:highlight w:val="none"/>
          <w:lang w:val="en-US" w:eastAsia="zh-CN" w:bidi="ar-SA"/>
        </w:rPr>
        <w:t>三、试卷的批改与评分</w:t>
      </w:r>
      <w:bookmarkEnd w:id="109"/>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（一）教师评卷要以评分标准和参考答案为依据，做到认真负责，客观公正，给分有理，扣分有据，防止漏改或错改。若试卷的标准答案或评分标准需要改动，必须附有命题教师的签名。</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评卷方法：试卷批阅统一采用得分标准，每道大题的得分（正分）标在题目左上角的相应位置，由评阅教师签名；每道小题批阅时都要有对、错标记（√或×），将每道小题得分（正分）标在相应题目的右边，得分要清楚、标注规范。每道大题评阅完毕后，应将每道大题得分字迹清楚地标注在试卷第一页的得分栏中。总分统计不可有误，若涂改总分分数必须由评卷教师签名。</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（三）教师评卷一律用红色水笔，签名用黑色水笔。</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110" w:name="_Toc295991826"/>
      <w:r>
        <w:rPr>
          <w:rFonts w:hint="eastAsia" w:ascii="仿宋_GB2312" w:hAnsi="仿宋_GB2312" w:eastAsia="仿宋_GB2312" w:cs="仿宋_GB2312"/>
          <w:kern w:val="2"/>
          <w:sz w:val="28"/>
          <w:szCs w:val="28"/>
          <w:highlight w:val="none"/>
          <w:lang w:val="en-US" w:eastAsia="zh-CN" w:bidi="ar-SA"/>
        </w:rPr>
        <w:t>四、试卷分析要求</w:t>
      </w:r>
      <w:bookmarkEnd w:id="110"/>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（一）教师评卷后应针对学生考试答卷情况进行分析，并认真、完整地填写《试卷情况分析表》，并交由所属二级学院归档。</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（二）试卷分析要切合实际，有针对性和全面性：</w:t>
      </w:r>
    </w:p>
    <w:p>
      <w:pPr>
        <w:pStyle w:val="19"/>
        <w:pageBreakBefore w:val="0"/>
        <w:numPr>
          <w:ilvl w:val="0"/>
          <w:numId w:val="4"/>
        </w:numPr>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要分析各能力层次题目的分值占总分的百分比（基本知识、基本技能、运用知识综合分析等），或各题型所占的百分比；</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 要分析试题难易程度。试题本身的难度、深度是否与课程标准相符，有无偏题、超纲内容。较易、适中、偏难的题各占的百分比，试卷总体难度如何；</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 要分析学生对知识点掌握情况。对丢分较多的题目及丢分原因应进行分析。学生学习的主要优缺点是什么，今后在学习中应从哪些方面入手来提高学习效果；</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 要分析教师在今后教学中应注意的问题、改进的思路或建议；</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 要分析试卷中有质量问题的试题以及所占比例。在今后命题和阅卷过程中，应注意哪些问题，有哪些建议；</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 要分析考试结果是否达到了预期的考核目标，是否具有一定的区分度；</w:t>
      </w:r>
    </w:p>
    <w:p>
      <w:pPr>
        <w:pStyle w:val="19"/>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 试卷分析时间和签名必须手写。</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五、附 则</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（一）各二级学院可依据本规定制定相关实施细则。</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（二）本规定自颁布之日起正式实施，由上海电子信息职业技术学院教务处负责解释。</w:t>
      </w:r>
    </w:p>
    <w:p>
      <w:pPr>
        <w:pStyle w:val="19"/>
        <w:pageBreakBefore w:val="0"/>
        <w:topLinePunct w:val="0"/>
        <w:bidi w:val="0"/>
        <w:spacing w:line="360" w:lineRule="auto"/>
        <w:ind w:firstLine="561"/>
        <w:outlineLvl w:val="9"/>
        <w:rPr>
          <w:rFonts w:hint="eastAsia" w:ascii="仿宋_GB2312" w:hAnsi="仿宋_GB2312" w:eastAsia="仿宋_GB2312" w:cs="仿宋_GB2312"/>
          <w:kern w:val="2"/>
          <w:sz w:val="28"/>
          <w:szCs w:val="28"/>
          <w:highlight w:val="none"/>
          <w:lang w:val="en-US" w:eastAsia="zh-CN" w:bidi="ar-SA"/>
        </w:rPr>
      </w:pPr>
    </w:p>
    <w:p>
      <w:pPr>
        <w:pStyle w:val="19"/>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附件1：试卷审批表</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附件2：试卷模板</w:t>
      </w:r>
    </w:p>
    <w:p>
      <w:pPr>
        <w:pStyle w:val="19"/>
        <w:pageBreakBefore w:val="0"/>
        <w:topLinePunct w:val="0"/>
        <w:bidi w:val="0"/>
        <w:spacing w:line="360" w:lineRule="auto"/>
        <w:ind w:firstLine="56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附件3：试卷情况分析表</w:t>
      </w:r>
    </w:p>
    <w:p>
      <w:pPr>
        <w:pageBreakBefore w:val="0"/>
        <w:topLinePunct w:val="0"/>
        <w:bidi w:val="0"/>
        <w:spacing w:line="4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400" w:lineRule="exact"/>
        <w:outlineLvl w:val="9"/>
        <w:rPr>
          <w:rFonts w:hint="eastAsia" w:ascii="仿宋" w:hAnsi="仿宋" w:eastAsia="仿宋" w:cs="仿宋"/>
          <w:color w:val="000000"/>
          <w:sz w:val="28"/>
          <w:szCs w:val="28"/>
        </w:rPr>
      </w:pPr>
      <w:r>
        <w:rPr>
          <w:rFonts w:hint="eastAsia" w:ascii="仿宋_GB2312" w:hAnsi="仿宋_GB2312" w:eastAsia="仿宋_GB2312" w:cs="仿宋_GB2312"/>
          <w:kern w:val="2"/>
          <w:sz w:val="28"/>
          <w:szCs w:val="28"/>
          <w:highlight w:val="none"/>
          <w:lang w:val="en-US" w:eastAsia="zh-CN" w:bidi="ar-SA"/>
        </w:rPr>
        <w:br w:type="page"/>
      </w:r>
      <w:r>
        <w:rPr>
          <w:rFonts w:hint="eastAsia" w:ascii="仿宋" w:hAnsi="仿宋" w:eastAsia="仿宋" w:cs="仿宋"/>
          <w:color w:val="000000"/>
          <w:sz w:val="28"/>
          <w:szCs w:val="28"/>
        </w:rPr>
        <w:t>附件1</w:t>
      </w:r>
    </w:p>
    <w:p>
      <w:pPr>
        <w:pageBreakBefore w:val="0"/>
        <w:topLinePunct w:val="0"/>
        <w:bidi w:val="0"/>
        <w:spacing w:line="400" w:lineRule="exact"/>
        <w:jc w:val="center"/>
        <w:outlineLvl w:val="9"/>
        <w:rPr>
          <w:rFonts w:hint="eastAsia" w:ascii="仿宋" w:hAnsi="仿宋" w:eastAsia="仿宋" w:cs="仿宋"/>
          <w:color w:val="000000"/>
          <w:sz w:val="28"/>
          <w:szCs w:val="28"/>
        </w:rPr>
      </w:pPr>
      <w:r>
        <w:rPr>
          <w:rFonts w:hint="eastAsia" w:ascii="仿宋" w:hAnsi="仿宋" w:eastAsia="仿宋" w:cs="仿宋"/>
          <w:color w:val="000000"/>
          <w:sz w:val="28"/>
          <w:szCs w:val="28"/>
        </w:rPr>
        <w:t>上海电子信息职业技术学院</w:t>
      </w:r>
    </w:p>
    <w:p>
      <w:pPr>
        <w:pageBreakBefore w:val="0"/>
        <w:topLinePunct w:val="0"/>
        <w:bidi w:val="0"/>
        <w:spacing w:after="156" w:afterLines="50" w:line="400" w:lineRule="exact"/>
        <w:jc w:val="center"/>
        <w:outlineLvl w:val="9"/>
        <w:rPr>
          <w:rFonts w:hint="eastAsia" w:ascii="仿宋" w:hAnsi="仿宋" w:eastAsia="仿宋" w:cs="仿宋"/>
          <w:color w:val="000000"/>
          <w:sz w:val="28"/>
          <w:szCs w:val="28"/>
        </w:rPr>
      </w:pPr>
      <w:r>
        <w:rPr>
          <w:rFonts w:hint="eastAsia" w:ascii="仿宋" w:hAnsi="仿宋" w:eastAsia="仿宋" w:cs="仿宋"/>
          <w:color w:val="000000"/>
          <w:sz w:val="28"/>
          <w:szCs w:val="28"/>
        </w:rPr>
        <w:t>试卷审批表</w:t>
      </w:r>
    </w:p>
    <w:tbl>
      <w:tblPr>
        <w:tblStyle w:val="37"/>
        <w:tblW w:w="0" w:type="auto"/>
        <w:tblInd w:w="85" w:type="dxa"/>
        <w:tblLayout w:type="fixed"/>
        <w:tblCellMar>
          <w:top w:w="0" w:type="dxa"/>
          <w:left w:w="108" w:type="dxa"/>
          <w:bottom w:w="0" w:type="dxa"/>
          <w:right w:w="108" w:type="dxa"/>
        </w:tblCellMar>
      </w:tblPr>
      <w:tblGrid>
        <w:gridCol w:w="2543"/>
        <w:gridCol w:w="2880"/>
        <w:gridCol w:w="3240"/>
      </w:tblGrid>
      <w:tr>
        <w:tblPrEx>
          <w:tblCellMar>
            <w:top w:w="0" w:type="dxa"/>
            <w:left w:w="108" w:type="dxa"/>
            <w:bottom w:w="0" w:type="dxa"/>
            <w:right w:w="108" w:type="dxa"/>
          </w:tblCellMar>
        </w:tblPrEx>
        <w:trPr>
          <w:trHeight w:val="840" w:hRule="atLeast"/>
        </w:trPr>
        <w:tc>
          <w:tcPr>
            <w:tcW w:w="2543" w:type="dxa"/>
            <w:tcBorders>
              <w:top w:val="double" w:color="auto" w:sz="6" w:space="0"/>
              <w:left w:val="double" w:color="auto" w:sz="6" w:space="0"/>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课程名称：</w:t>
            </w:r>
          </w:p>
        </w:tc>
        <w:tc>
          <w:tcPr>
            <w:tcW w:w="2880" w:type="dxa"/>
            <w:tcBorders>
              <w:top w:val="double" w:color="auto" w:sz="6" w:space="0"/>
              <w:left w:val="nil"/>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学期：</w:t>
            </w:r>
          </w:p>
        </w:tc>
        <w:tc>
          <w:tcPr>
            <w:tcW w:w="3240" w:type="dxa"/>
            <w:tcBorders>
              <w:top w:val="double" w:color="auto" w:sz="6" w:space="0"/>
              <w:left w:val="nil"/>
              <w:bottom w:val="single" w:color="auto" w:sz="4" w:space="0"/>
              <w:right w:val="double" w:color="auto" w:sz="6"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本卷使用班级：</w:t>
            </w:r>
          </w:p>
        </w:tc>
      </w:tr>
      <w:tr>
        <w:tblPrEx>
          <w:tblCellMar>
            <w:top w:w="0" w:type="dxa"/>
            <w:left w:w="108" w:type="dxa"/>
            <w:bottom w:w="0" w:type="dxa"/>
            <w:right w:w="108" w:type="dxa"/>
          </w:tblCellMar>
        </w:tblPrEx>
        <w:trPr>
          <w:trHeight w:val="840" w:hRule="atLeast"/>
        </w:trPr>
        <w:tc>
          <w:tcPr>
            <w:tcW w:w="2543" w:type="dxa"/>
            <w:tcBorders>
              <w:top w:val="nil"/>
              <w:left w:val="double" w:color="auto" w:sz="6" w:space="0"/>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试卷命题人：</w:t>
            </w:r>
          </w:p>
        </w:tc>
        <w:tc>
          <w:tcPr>
            <w:tcW w:w="2880" w:type="dxa"/>
            <w:tcBorders>
              <w:top w:val="nil"/>
              <w:left w:val="nil"/>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课程所属部门：</w:t>
            </w:r>
          </w:p>
        </w:tc>
        <w:tc>
          <w:tcPr>
            <w:tcW w:w="3240" w:type="dxa"/>
            <w:tcBorders>
              <w:top w:val="nil"/>
              <w:left w:val="nil"/>
              <w:bottom w:val="single" w:color="auto" w:sz="4" w:space="0"/>
              <w:right w:val="double" w:color="auto" w:sz="6"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出卷日期：</w:t>
            </w:r>
          </w:p>
        </w:tc>
      </w:tr>
      <w:tr>
        <w:tblPrEx>
          <w:tblCellMar>
            <w:top w:w="0" w:type="dxa"/>
            <w:left w:w="108" w:type="dxa"/>
            <w:bottom w:w="0" w:type="dxa"/>
            <w:right w:w="108" w:type="dxa"/>
          </w:tblCellMar>
        </w:tblPrEx>
        <w:trPr>
          <w:trHeight w:val="792" w:hRule="atLeast"/>
        </w:trPr>
        <w:tc>
          <w:tcPr>
            <w:tcW w:w="2543" w:type="dxa"/>
            <w:tcBorders>
              <w:top w:val="nil"/>
              <w:left w:val="double" w:color="auto" w:sz="6" w:space="0"/>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试卷命题情况</w:t>
            </w:r>
          </w:p>
        </w:tc>
        <w:tc>
          <w:tcPr>
            <w:tcW w:w="288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考试方式</w:t>
            </w:r>
          </w:p>
        </w:tc>
        <w:tc>
          <w:tcPr>
            <w:tcW w:w="3240" w:type="dxa"/>
            <w:tcBorders>
              <w:top w:val="nil"/>
              <w:left w:val="nil"/>
              <w:bottom w:val="single" w:color="auto" w:sz="4" w:space="0"/>
              <w:right w:val="double" w:color="auto" w:sz="6" w:space="0"/>
            </w:tcBorders>
            <w:noWrap w:val="0"/>
            <w:vAlign w:val="center"/>
          </w:tcPr>
          <w:p>
            <w:pPr>
              <w:pageBreakBefore w:val="0"/>
              <w:widowControl/>
              <w:topLinePunct w:val="0"/>
              <w:bidi w:val="0"/>
              <w:jc w:val="center"/>
              <w:outlineLvl w:val="9"/>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阅卷方式</w:t>
            </w:r>
          </w:p>
        </w:tc>
      </w:tr>
      <w:tr>
        <w:tblPrEx>
          <w:tblCellMar>
            <w:top w:w="0" w:type="dxa"/>
            <w:left w:w="108" w:type="dxa"/>
            <w:bottom w:w="0" w:type="dxa"/>
            <w:right w:w="108" w:type="dxa"/>
          </w:tblCellMar>
        </w:tblPrEx>
        <w:trPr>
          <w:trHeight w:val="786" w:hRule="atLeast"/>
        </w:trPr>
        <w:tc>
          <w:tcPr>
            <w:tcW w:w="2543" w:type="dxa"/>
            <w:tcBorders>
              <w:top w:val="nil"/>
              <w:left w:val="double" w:color="auto" w:sz="6" w:space="0"/>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）任课教师命题</w:t>
            </w:r>
          </w:p>
        </w:tc>
        <w:tc>
          <w:tcPr>
            <w:tcW w:w="2880" w:type="dxa"/>
            <w:tcBorders>
              <w:top w:val="nil"/>
              <w:left w:val="nil"/>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）开卷</w:t>
            </w:r>
          </w:p>
        </w:tc>
        <w:tc>
          <w:tcPr>
            <w:tcW w:w="3240" w:type="dxa"/>
            <w:tcBorders>
              <w:top w:val="nil"/>
              <w:left w:val="nil"/>
              <w:bottom w:val="single" w:color="auto" w:sz="4" w:space="0"/>
              <w:right w:val="double" w:color="auto" w:sz="6"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）任课教师单独阅卷</w:t>
            </w:r>
          </w:p>
        </w:tc>
      </w:tr>
      <w:tr>
        <w:tblPrEx>
          <w:tblCellMar>
            <w:top w:w="0" w:type="dxa"/>
            <w:left w:w="108" w:type="dxa"/>
            <w:bottom w:w="0" w:type="dxa"/>
            <w:right w:w="108" w:type="dxa"/>
          </w:tblCellMar>
        </w:tblPrEx>
        <w:trPr>
          <w:trHeight w:val="780" w:hRule="atLeast"/>
        </w:trPr>
        <w:tc>
          <w:tcPr>
            <w:tcW w:w="2543" w:type="dxa"/>
            <w:tcBorders>
              <w:top w:val="nil"/>
              <w:left w:val="double" w:color="auto" w:sz="6" w:space="0"/>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）使用试题库</w:t>
            </w:r>
          </w:p>
        </w:tc>
        <w:tc>
          <w:tcPr>
            <w:tcW w:w="2880" w:type="dxa"/>
            <w:tcBorders>
              <w:top w:val="nil"/>
              <w:left w:val="nil"/>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）闭卷</w:t>
            </w:r>
          </w:p>
        </w:tc>
        <w:tc>
          <w:tcPr>
            <w:tcW w:w="3240" w:type="dxa"/>
            <w:tcBorders>
              <w:top w:val="nil"/>
              <w:left w:val="nil"/>
              <w:bottom w:val="single" w:color="auto" w:sz="4" w:space="0"/>
              <w:right w:val="double" w:color="auto" w:sz="6"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）集体流水阅卷</w:t>
            </w:r>
          </w:p>
        </w:tc>
      </w:tr>
      <w:tr>
        <w:tblPrEx>
          <w:tblCellMar>
            <w:top w:w="0" w:type="dxa"/>
            <w:left w:w="108" w:type="dxa"/>
            <w:bottom w:w="0" w:type="dxa"/>
            <w:right w:w="108" w:type="dxa"/>
          </w:tblCellMar>
        </w:tblPrEx>
        <w:trPr>
          <w:trHeight w:val="760" w:hRule="atLeast"/>
        </w:trPr>
        <w:tc>
          <w:tcPr>
            <w:tcW w:w="2543" w:type="dxa"/>
            <w:tcBorders>
              <w:top w:val="nil"/>
              <w:left w:val="double" w:color="auto" w:sz="6" w:space="0"/>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）其他</w:t>
            </w:r>
          </w:p>
        </w:tc>
        <w:tc>
          <w:tcPr>
            <w:tcW w:w="2880" w:type="dxa"/>
            <w:tcBorders>
              <w:top w:val="nil"/>
              <w:left w:val="nil"/>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）开闭卷结合</w:t>
            </w:r>
          </w:p>
        </w:tc>
        <w:tc>
          <w:tcPr>
            <w:tcW w:w="3240" w:type="dxa"/>
            <w:tcBorders>
              <w:top w:val="nil"/>
              <w:left w:val="nil"/>
              <w:bottom w:val="single" w:color="auto" w:sz="4" w:space="0"/>
              <w:right w:val="double" w:color="auto" w:sz="6"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）其他</w:t>
            </w:r>
          </w:p>
        </w:tc>
      </w:tr>
      <w:tr>
        <w:tblPrEx>
          <w:tblCellMar>
            <w:top w:w="0" w:type="dxa"/>
            <w:left w:w="108" w:type="dxa"/>
            <w:bottom w:w="0" w:type="dxa"/>
            <w:right w:w="108" w:type="dxa"/>
          </w:tblCellMar>
        </w:tblPrEx>
        <w:trPr>
          <w:trHeight w:val="741" w:hRule="atLeast"/>
        </w:trPr>
        <w:tc>
          <w:tcPr>
            <w:tcW w:w="2543" w:type="dxa"/>
            <w:tcBorders>
              <w:top w:val="nil"/>
              <w:left w:val="double" w:color="auto" w:sz="6" w:space="0"/>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c>
          <w:tcPr>
            <w:tcW w:w="2880" w:type="dxa"/>
            <w:tcBorders>
              <w:top w:val="nil"/>
              <w:left w:val="nil"/>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）小论文</w:t>
            </w:r>
          </w:p>
        </w:tc>
        <w:tc>
          <w:tcPr>
            <w:tcW w:w="3240" w:type="dxa"/>
            <w:tcBorders>
              <w:top w:val="nil"/>
              <w:left w:val="nil"/>
              <w:bottom w:val="single" w:color="auto" w:sz="4" w:space="0"/>
              <w:right w:val="double" w:color="auto" w:sz="6"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734" w:hRule="atLeast"/>
        </w:trPr>
        <w:tc>
          <w:tcPr>
            <w:tcW w:w="2543" w:type="dxa"/>
            <w:tcBorders>
              <w:top w:val="nil"/>
              <w:left w:val="double" w:color="auto" w:sz="6" w:space="0"/>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c>
          <w:tcPr>
            <w:tcW w:w="2880" w:type="dxa"/>
            <w:tcBorders>
              <w:top w:val="nil"/>
              <w:left w:val="nil"/>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）其他</w:t>
            </w:r>
          </w:p>
        </w:tc>
        <w:tc>
          <w:tcPr>
            <w:tcW w:w="3240" w:type="dxa"/>
            <w:tcBorders>
              <w:top w:val="nil"/>
              <w:left w:val="nil"/>
              <w:bottom w:val="single" w:color="auto" w:sz="4" w:space="0"/>
              <w:right w:val="double" w:color="auto" w:sz="6"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840" w:hRule="atLeast"/>
        </w:trPr>
        <w:tc>
          <w:tcPr>
            <w:tcW w:w="2543" w:type="dxa"/>
            <w:tcBorders>
              <w:top w:val="nil"/>
              <w:left w:val="double" w:color="auto" w:sz="6" w:space="0"/>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印刷份数:</w:t>
            </w:r>
          </w:p>
        </w:tc>
        <w:tc>
          <w:tcPr>
            <w:tcW w:w="2880" w:type="dxa"/>
            <w:tcBorders>
              <w:top w:val="nil"/>
              <w:left w:val="nil"/>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交印时间：</w:t>
            </w:r>
          </w:p>
        </w:tc>
        <w:tc>
          <w:tcPr>
            <w:tcW w:w="3240" w:type="dxa"/>
            <w:vMerge w:val="restart"/>
            <w:tcBorders>
              <w:top w:val="single" w:color="auto" w:sz="4" w:space="0"/>
              <w:left w:val="single" w:color="auto" w:sz="4" w:space="0"/>
              <w:bottom w:val="single" w:color="auto" w:sz="4" w:space="0"/>
              <w:right w:val="double" w:color="auto" w:sz="6" w:space="0"/>
            </w:tcBorders>
            <w:noWrap w:val="0"/>
            <w:vAlign w:val="top"/>
          </w:tcPr>
          <w:p>
            <w:pPr>
              <w:pageBreakBefore w:val="0"/>
              <w:widowControl/>
              <w:topLinePunct w:val="0"/>
              <w:bidi w:val="0"/>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涉卷人员签字</w:t>
            </w:r>
          </w:p>
        </w:tc>
      </w:tr>
      <w:tr>
        <w:tblPrEx>
          <w:tblCellMar>
            <w:top w:w="0" w:type="dxa"/>
            <w:left w:w="108" w:type="dxa"/>
            <w:bottom w:w="0" w:type="dxa"/>
            <w:right w:w="108" w:type="dxa"/>
          </w:tblCellMar>
        </w:tblPrEx>
        <w:trPr>
          <w:trHeight w:val="840" w:hRule="atLeast"/>
        </w:trPr>
        <w:tc>
          <w:tcPr>
            <w:tcW w:w="2543" w:type="dxa"/>
            <w:tcBorders>
              <w:top w:val="nil"/>
              <w:left w:val="double" w:color="auto" w:sz="6" w:space="0"/>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试卷保管地点：</w:t>
            </w:r>
          </w:p>
        </w:tc>
        <w:tc>
          <w:tcPr>
            <w:tcW w:w="2880" w:type="dxa"/>
            <w:tcBorders>
              <w:top w:val="nil"/>
              <w:left w:val="nil"/>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试卷保管人：</w:t>
            </w:r>
          </w:p>
        </w:tc>
        <w:tc>
          <w:tcPr>
            <w:tcW w:w="3240" w:type="dxa"/>
            <w:vMerge w:val="continue"/>
            <w:tcBorders>
              <w:top w:val="nil"/>
              <w:left w:val="single" w:color="auto" w:sz="4" w:space="0"/>
              <w:bottom w:val="single" w:color="auto" w:sz="4" w:space="0"/>
              <w:right w:val="double" w:color="auto" w:sz="6" w:space="0"/>
            </w:tcBorders>
            <w:noWrap w:val="0"/>
            <w:vAlign w:val="center"/>
          </w:tcPr>
          <w:p>
            <w:pPr>
              <w:pageBreakBefore w:val="0"/>
              <w:widowControl/>
              <w:topLinePunct w:val="0"/>
              <w:bidi w:val="0"/>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1965" w:hRule="atLeast"/>
        </w:trPr>
        <w:tc>
          <w:tcPr>
            <w:tcW w:w="2543" w:type="dxa"/>
            <w:tcBorders>
              <w:top w:val="nil"/>
              <w:left w:val="double" w:color="auto" w:sz="6" w:space="0"/>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教研室</w:t>
            </w:r>
          </w:p>
          <w:p>
            <w:pPr>
              <w:pageBreakBefore w:val="0"/>
              <w:widowControl/>
              <w:topLinePunct w:val="0"/>
              <w:bidi w:val="0"/>
              <w:jc w:val="center"/>
              <w:outlineLvl w:val="9"/>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审核意见</w:t>
            </w:r>
          </w:p>
        </w:tc>
        <w:tc>
          <w:tcPr>
            <w:tcW w:w="6120" w:type="dxa"/>
            <w:gridSpan w:val="2"/>
            <w:tcBorders>
              <w:top w:val="single" w:color="auto" w:sz="4" w:space="0"/>
              <w:left w:val="nil"/>
              <w:bottom w:val="single" w:color="auto" w:sz="4" w:space="0"/>
              <w:right w:val="double" w:color="000000" w:sz="6" w:space="0"/>
            </w:tcBorders>
            <w:noWrap w:val="0"/>
            <w:vAlign w:val="bottom"/>
          </w:tcPr>
          <w:p>
            <w:pPr>
              <w:pageBreakBefore w:val="0"/>
              <w:widowControl/>
              <w:topLinePunct w:val="0"/>
              <w:bidi w:val="0"/>
              <w:outlineLvl w:val="9"/>
              <w:rPr>
                <w:rFonts w:hint="eastAsia" w:ascii="仿宋" w:hAnsi="仿宋" w:eastAsia="仿宋" w:cs="仿宋"/>
                <w:b/>
                <w:bCs/>
                <w:color w:val="000000"/>
                <w:kern w:val="0"/>
                <w:szCs w:val="21"/>
              </w:rPr>
            </w:pPr>
          </w:p>
          <w:p>
            <w:pPr>
              <w:pageBreakBefore w:val="0"/>
              <w:widowControl/>
              <w:topLinePunct w:val="0"/>
              <w:bidi w:val="0"/>
              <w:jc w:val="center"/>
              <w:outlineLvl w:val="9"/>
              <w:rPr>
                <w:rFonts w:hint="eastAsia" w:ascii="仿宋" w:hAnsi="仿宋" w:eastAsia="仿宋" w:cs="仿宋"/>
                <w:b/>
                <w:bCs/>
                <w:color w:val="000000"/>
                <w:kern w:val="0"/>
                <w:szCs w:val="21"/>
              </w:rPr>
            </w:pPr>
          </w:p>
          <w:p>
            <w:pPr>
              <w:pageBreakBefore w:val="0"/>
              <w:widowControl/>
              <w:topLinePunct w:val="0"/>
              <w:bidi w:val="0"/>
              <w:jc w:val="center"/>
              <w:outlineLvl w:val="9"/>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签字:</w:t>
            </w:r>
          </w:p>
          <w:p>
            <w:pPr>
              <w:pageBreakBefore w:val="0"/>
              <w:widowControl/>
              <w:topLinePunct w:val="0"/>
              <w:bidi w:val="0"/>
              <w:jc w:val="center"/>
              <w:outlineLvl w:val="9"/>
              <w:rPr>
                <w:rFonts w:hint="eastAsia" w:ascii="仿宋" w:hAnsi="仿宋" w:eastAsia="仿宋" w:cs="仿宋"/>
                <w:b/>
                <w:bCs/>
                <w:color w:val="000000"/>
                <w:kern w:val="0"/>
                <w:szCs w:val="21"/>
              </w:rPr>
            </w:pPr>
          </w:p>
          <w:p>
            <w:pPr>
              <w:pageBreakBefore w:val="0"/>
              <w:widowControl/>
              <w:topLinePunct w:val="0"/>
              <w:bidi w:val="0"/>
              <w:jc w:val="center"/>
              <w:outlineLvl w:val="9"/>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日期:</w:t>
            </w:r>
          </w:p>
        </w:tc>
      </w:tr>
      <w:tr>
        <w:tblPrEx>
          <w:tblCellMar>
            <w:top w:w="0" w:type="dxa"/>
            <w:left w:w="108" w:type="dxa"/>
            <w:bottom w:w="0" w:type="dxa"/>
            <w:right w:w="108" w:type="dxa"/>
          </w:tblCellMar>
        </w:tblPrEx>
        <w:trPr>
          <w:trHeight w:val="2085" w:hRule="atLeast"/>
        </w:trPr>
        <w:tc>
          <w:tcPr>
            <w:tcW w:w="2543" w:type="dxa"/>
            <w:tcBorders>
              <w:top w:val="nil"/>
              <w:left w:val="double" w:color="auto" w:sz="6" w:space="0"/>
              <w:bottom w:val="double" w:color="auto" w:sz="6"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二级学院</w:t>
            </w:r>
            <w:r>
              <w:rPr>
                <w:rFonts w:hint="eastAsia" w:ascii="仿宋" w:hAnsi="仿宋" w:eastAsia="仿宋" w:cs="仿宋"/>
                <w:b/>
                <w:bCs/>
                <w:color w:val="000000"/>
                <w:kern w:val="0"/>
                <w:szCs w:val="21"/>
              </w:rPr>
              <w:br w:type="textWrapping"/>
            </w:r>
            <w:r>
              <w:rPr>
                <w:rFonts w:hint="eastAsia" w:ascii="仿宋" w:hAnsi="仿宋" w:eastAsia="仿宋" w:cs="仿宋"/>
                <w:b/>
                <w:bCs/>
                <w:color w:val="000000"/>
                <w:kern w:val="0"/>
                <w:szCs w:val="21"/>
              </w:rPr>
              <w:t>审核意见</w:t>
            </w:r>
          </w:p>
        </w:tc>
        <w:tc>
          <w:tcPr>
            <w:tcW w:w="6120" w:type="dxa"/>
            <w:gridSpan w:val="2"/>
            <w:tcBorders>
              <w:top w:val="single" w:color="auto" w:sz="4" w:space="0"/>
              <w:left w:val="nil"/>
              <w:bottom w:val="double" w:color="auto" w:sz="6" w:space="0"/>
              <w:right w:val="double" w:color="000000" w:sz="6" w:space="0"/>
            </w:tcBorders>
            <w:noWrap w:val="0"/>
            <w:vAlign w:val="bottom"/>
          </w:tcPr>
          <w:p>
            <w:pPr>
              <w:pageBreakBefore w:val="0"/>
              <w:widowControl/>
              <w:topLinePunct w:val="0"/>
              <w:bidi w:val="0"/>
              <w:jc w:val="center"/>
              <w:outlineLvl w:val="9"/>
              <w:rPr>
                <w:rFonts w:hint="eastAsia" w:ascii="仿宋" w:hAnsi="仿宋" w:eastAsia="仿宋" w:cs="仿宋"/>
                <w:b/>
                <w:bCs/>
                <w:color w:val="000000"/>
                <w:kern w:val="0"/>
                <w:szCs w:val="21"/>
              </w:rPr>
            </w:pPr>
          </w:p>
          <w:p>
            <w:pPr>
              <w:pageBreakBefore w:val="0"/>
              <w:widowControl/>
              <w:topLinePunct w:val="0"/>
              <w:bidi w:val="0"/>
              <w:jc w:val="center"/>
              <w:outlineLvl w:val="9"/>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签字:</w:t>
            </w:r>
          </w:p>
          <w:p>
            <w:pPr>
              <w:pageBreakBefore w:val="0"/>
              <w:widowControl/>
              <w:topLinePunct w:val="0"/>
              <w:bidi w:val="0"/>
              <w:jc w:val="center"/>
              <w:outlineLvl w:val="9"/>
              <w:rPr>
                <w:rFonts w:hint="eastAsia" w:ascii="仿宋" w:hAnsi="仿宋" w:eastAsia="仿宋" w:cs="仿宋"/>
                <w:b/>
                <w:bCs/>
                <w:color w:val="000000"/>
                <w:kern w:val="0"/>
                <w:szCs w:val="21"/>
              </w:rPr>
            </w:pPr>
          </w:p>
          <w:p>
            <w:pPr>
              <w:pageBreakBefore w:val="0"/>
              <w:widowControl/>
              <w:topLinePunct w:val="0"/>
              <w:bidi w:val="0"/>
              <w:jc w:val="center"/>
              <w:outlineLvl w:val="9"/>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日期:</w:t>
            </w:r>
          </w:p>
        </w:tc>
      </w:tr>
    </w:tbl>
    <w:p>
      <w:pPr>
        <w:pageBreakBefore w:val="0"/>
        <w:topLinePunct w:val="0"/>
        <w:bidi w:val="0"/>
        <w:spacing w:line="400" w:lineRule="exact"/>
        <w:ind w:firstLine="274"/>
        <w:outlineLvl w:val="9"/>
        <w:rPr>
          <w:rFonts w:hint="eastAsia" w:ascii="仿宋" w:hAnsi="仿宋" w:eastAsia="仿宋" w:cs="仿宋"/>
          <w:color w:val="000000"/>
          <w:sz w:val="28"/>
          <w:szCs w:val="28"/>
        </w:rPr>
      </w:pPr>
      <w:r>
        <w:rPr>
          <w:rFonts w:hint="eastAsia" w:ascii="仿宋" w:hAnsi="仿宋" w:eastAsia="仿宋" w:cs="仿宋"/>
          <w:color w:val="000000"/>
          <w:sz w:val="28"/>
          <w:szCs w:val="28"/>
        </w:rPr>
        <w:pict>
          <v:shape id="文本框 6" o:spid="_x0000_s1038" o:spt="202" type="#_x0000_t202" style="position:absolute;left:0pt;margin-left:-81pt;margin-top:-23.4pt;height:709.8pt;width:63pt;z-index:251681792;mso-width-relative:page;mso-height-relative:page;" fillcolor="#FFFFFF" filled="t" stroked="t" coordsize="21600,21600">
            <v:path/>
            <v:fill on="t" alignshape="1" focussize="0,0"/>
            <v:stroke color="#FFFFFF" imagealignshape="1"/>
            <v:imagedata o:title=""/>
            <o:lock v:ext="edit"/>
            <v:textbox style="layout-flow:vertical;mso-layout-flow-alt:bottom-to-top;">
              <w:txbxContent>
                <w:p>
                  <w:pPr>
                    <w:jc w:val="center"/>
                    <w:rPr>
                      <w:rFonts w:hint="eastAsia"/>
                    </w:rPr>
                  </w:pPr>
                  <w:r>
                    <w:rPr>
                      <w:rFonts w:hint="eastAsia"/>
                    </w:rPr>
                    <w:t>二级学院_____________        班级_____________        学号_____________        姓名_____________</w:t>
                  </w:r>
                </w:p>
                <w:p>
                  <w:pPr>
                    <w:jc w:val="center"/>
                    <w:rPr>
                      <w:rFonts w:hint="eastAsia"/>
                    </w:rPr>
                  </w:pPr>
                  <w:r>
                    <w:t>………………………………………………………………………………………………………………………………………………………………………………</w:t>
                  </w:r>
                </w:p>
                <w:p>
                  <w:pPr>
                    <w:jc w:val="center"/>
                    <w:rPr>
                      <w:rFonts w:hint="eastAsia"/>
                    </w:rPr>
                  </w:pPr>
                  <w:r>
                    <w:rPr>
                      <w:rFonts w:hint="eastAsia"/>
                    </w:rPr>
                    <w:t>密  封  线  内  不  得  答  题</w:t>
                  </w:r>
                </w:p>
                <w:p>
                  <w:pPr>
                    <w:jc w:val="center"/>
                    <w:rPr>
                      <w:rFonts w:hint="eastAsia"/>
                    </w:rPr>
                  </w:pPr>
                  <w:r>
                    <w:t>……………………</w:t>
                  </w:r>
                  <w:r>
                    <w:rPr>
                      <w:rFonts w:hint="eastAsia"/>
                    </w:rPr>
                    <w:t>.</w:t>
                  </w:r>
                </w:p>
                <w:p>
                  <w:pPr>
                    <w:jc w:val="center"/>
                    <w:rPr>
                      <w:rFonts w:hint="eastAsia"/>
                    </w:rPr>
                  </w:pPr>
                </w:p>
                <w:p>
                  <w:pPr>
                    <w:jc w:val="center"/>
                    <w:rPr>
                      <w:rFonts w:hint="eastAsia"/>
                    </w:rPr>
                  </w:pPr>
                </w:p>
              </w:txbxContent>
            </v:textbox>
          </v:shape>
        </w:pict>
      </w:r>
      <w:r>
        <w:rPr>
          <w:rFonts w:hint="eastAsia" w:ascii="仿宋" w:hAnsi="仿宋" w:eastAsia="仿宋" w:cs="仿宋"/>
          <w:color w:val="000000"/>
          <w:sz w:val="28"/>
          <w:szCs w:val="28"/>
        </w:rPr>
        <w:t>附件2</w:t>
      </w:r>
    </w:p>
    <w:p>
      <w:pPr>
        <w:pageBreakBefore w:val="0"/>
        <w:topLinePunct w:val="0"/>
        <w:bidi w:val="0"/>
        <w:spacing w:line="400" w:lineRule="atLeast"/>
        <w:jc w:val="center"/>
        <w:outlineLvl w:val="9"/>
        <w:rPr>
          <w:rFonts w:hint="eastAsia" w:ascii="仿宋" w:hAnsi="仿宋" w:eastAsia="仿宋" w:cs="仿宋"/>
          <w:color w:val="000000"/>
          <w:sz w:val="28"/>
          <w:szCs w:val="28"/>
        </w:rPr>
      </w:pPr>
      <w:r>
        <w:rPr>
          <w:rFonts w:hint="eastAsia" w:ascii="仿宋" w:hAnsi="仿宋" w:eastAsia="仿宋" w:cs="仿宋"/>
          <w:color w:val="000000"/>
          <w:sz w:val="28"/>
          <w:szCs w:val="28"/>
        </w:rPr>
        <w:t>上海电子信息职业技术学院</w:t>
      </w:r>
    </w:p>
    <w:p>
      <w:pPr>
        <w:pageBreakBefore w:val="0"/>
        <w:topLinePunct w:val="0"/>
        <w:bidi w:val="0"/>
        <w:spacing w:line="400" w:lineRule="atLeast"/>
        <w:jc w:val="center"/>
        <w:outlineLvl w:val="9"/>
        <w:rPr>
          <w:rFonts w:hint="eastAsia" w:ascii="仿宋" w:hAnsi="仿宋" w:eastAsia="仿宋" w:cs="仿宋"/>
          <w:color w:val="000000"/>
          <w:spacing w:val="-2"/>
          <w:sz w:val="30"/>
          <w:szCs w:val="30"/>
        </w:rPr>
      </w:pPr>
      <w:r>
        <w:rPr>
          <w:rFonts w:hint="eastAsia" w:ascii="仿宋" w:hAnsi="仿宋" w:eastAsia="仿宋" w:cs="仿宋"/>
          <w:color w:val="000000"/>
          <w:spacing w:val="-2"/>
          <w:sz w:val="24"/>
        </w:rPr>
        <w:t xml:space="preserve">二〇    至 二〇   学年第   学期 </w:t>
      </w:r>
      <w:r>
        <w:rPr>
          <w:rFonts w:hint="eastAsia" w:ascii="仿宋" w:hAnsi="仿宋" w:eastAsia="仿宋" w:cs="仿宋"/>
          <w:color w:val="000000"/>
          <w:spacing w:val="-2"/>
          <w:sz w:val="30"/>
          <w:szCs w:val="30"/>
        </w:rPr>
        <w:t>期末考试试卷（A卷）</w:t>
      </w:r>
    </w:p>
    <w:p>
      <w:pPr>
        <w:pageBreakBefore w:val="0"/>
        <w:topLinePunct w:val="0"/>
        <w:bidi w:val="0"/>
        <w:spacing w:line="400" w:lineRule="atLeast"/>
        <w:jc w:val="center"/>
        <w:outlineLvl w:val="9"/>
        <w:rPr>
          <w:rFonts w:hint="eastAsia" w:ascii="仿宋" w:hAnsi="仿宋" w:eastAsia="仿宋" w:cs="仿宋"/>
          <w:color w:val="000000"/>
          <w:sz w:val="24"/>
        </w:rPr>
      </w:pPr>
      <w:r>
        <w:rPr>
          <w:rFonts w:hint="eastAsia" w:ascii="仿宋" w:hAnsi="仿宋" w:eastAsia="仿宋" w:cs="仿宋"/>
          <w:color w:val="000000"/>
          <w:sz w:val="24"/>
        </w:rPr>
        <w:t>（满分100分，考试时间80分钟）</w:t>
      </w:r>
    </w:p>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pPr>
      <w:r>
        <w:rPr>
          <w:rFonts w:hint="eastAsia" w:ascii="仿宋" w:hAnsi="仿宋" w:eastAsia="仿宋" w:cs="仿宋"/>
          <w:color w:val="000000"/>
          <w:sz w:val="24"/>
        </w:rPr>
        <w:t>科目＿＿＿＿＿     适用班级＿＿＿＿＿     考核方式＿＿＿＿＿</w:t>
      </w:r>
    </w:p>
    <w:p>
      <w:pPr>
        <w:pageBreakBefore w:val="0"/>
        <w:topLinePunct w:val="0"/>
        <w:bidi w:val="0"/>
        <w:ind w:firstLine="2880" w:firstLineChars="1200"/>
        <w:outlineLvl w:val="9"/>
        <w:rPr>
          <w:rFonts w:hint="eastAsia" w:ascii="仿宋" w:hAnsi="仿宋" w:eastAsia="仿宋" w:cs="仿宋"/>
          <w:color w:val="000000"/>
          <w:sz w:val="24"/>
        </w:rPr>
      </w:pPr>
    </w:p>
    <w:p>
      <w:pPr>
        <w:pageBreakBefore w:val="0"/>
        <w:topLinePunct w:val="0"/>
        <w:bidi w:val="0"/>
        <w:jc w:val="center"/>
        <w:outlineLvl w:val="9"/>
        <w:rPr>
          <w:rFonts w:hint="eastAsia" w:ascii="仿宋" w:hAnsi="仿宋" w:eastAsia="仿宋" w:cs="仿宋"/>
          <w:b/>
          <w:color w:val="000000"/>
          <w:sz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723"/>
        <w:gridCol w:w="722"/>
        <w:gridCol w:w="723"/>
        <w:gridCol w:w="718"/>
        <w:gridCol w:w="717"/>
        <w:gridCol w:w="718"/>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dxa"/>
            <w:noWrap w:val="0"/>
            <w:vAlign w:val="center"/>
          </w:tcPr>
          <w:p>
            <w:pPr>
              <w:pageBreakBefore w:val="0"/>
              <w:topLinePunct w:val="0"/>
              <w:bidi w:val="0"/>
              <w:jc w:val="center"/>
              <w:outlineLvl w:val="9"/>
              <w:rPr>
                <w:rFonts w:hint="eastAsia" w:ascii="仿宋" w:hAnsi="仿宋" w:eastAsia="仿宋" w:cs="仿宋"/>
                <w:color w:val="000000"/>
                <w:szCs w:val="21"/>
              </w:rPr>
            </w:pPr>
            <w:r>
              <w:rPr>
                <w:rFonts w:hint="eastAsia" w:ascii="仿宋" w:hAnsi="仿宋" w:eastAsia="仿宋" w:cs="仿宋"/>
                <w:color w:val="000000"/>
                <w:szCs w:val="21"/>
              </w:rPr>
              <w:t>题号</w:t>
            </w:r>
          </w:p>
        </w:tc>
        <w:tc>
          <w:tcPr>
            <w:tcW w:w="723" w:type="dxa"/>
            <w:noWrap w:val="0"/>
            <w:vAlign w:val="center"/>
          </w:tcPr>
          <w:p>
            <w:pPr>
              <w:pageBreakBefore w:val="0"/>
              <w:topLinePunct w:val="0"/>
              <w:bidi w:val="0"/>
              <w:jc w:val="center"/>
              <w:outlineLvl w:val="9"/>
              <w:rPr>
                <w:rFonts w:hint="eastAsia" w:ascii="仿宋" w:hAnsi="仿宋" w:eastAsia="仿宋" w:cs="仿宋"/>
                <w:color w:val="000000"/>
                <w:szCs w:val="21"/>
              </w:rPr>
            </w:pPr>
            <w:r>
              <w:rPr>
                <w:rFonts w:hint="eastAsia" w:ascii="仿宋" w:hAnsi="仿宋" w:eastAsia="仿宋" w:cs="仿宋"/>
                <w:color w:val="000000"/>
                <w:szCs w:val="21"/>
              </w:rPr>
              <w:t>一</w:t>
            </w:r>
          </w:p>
        </w:tc>
        <w:tc>
          <w:tcPr>
            <w:tcW w:w="722" w:type="dxa"/>
            <w:noWrap w:val="0"/>
            <w:vAlign w:val="center"/>
          </w:tcPr>
          <w:p>
            <w:pPr>
              <w:pageBreakBefore w:val="0"/>
              <w:topLinePunct w:val="0"/>
              <w:bidi w:val="0"/>
              <w:jc w:val="center"/>
              <w:outlineLvl w:val="9"/>
              <w:rPr>
                <w:rFonts w:hint="eastAsia" w:ascii="仿宋" w:hAnsi="仿宋" w:eastAsia="仿宋" w:cs="仿宋"/>
                <w:color w:val="000000"/>
                <w:szCs w:val="21"/>
              </w:rPr>
            </w:pPr>
            <w:r>
              <w:rPr>
                <w:rFonts w:hint="eastAsia" w:ascii="仿宋" w:hAnsi="仿宋" w:eastAsia="仿宋" w:cs="仿宋"/>
                <w:color w:val="000000"/>
                <w:szCs w:val="21"/>
              </w:rPr>
              <w:t>二</w:t>
            </w:r>
          </w:p>
        </w:tc>
        <w:tc>
          <w:tcPr>
            <w:tcW w:w="723" w:type="dxa"/>
            <w:noWrap w:val="0"/>
            <w:vAlign w:val="center"/>
          </w:tcPr>
          <w:p>
            <w:pPr>
              <w:pageBreakBefore w:val="0"/>
              <w:topLinePunct w:val="0"/>
              <w:bidi w:val="0"/>
              <w:jc w:val="center"/>
              <w:outlineLvl w:val="9"/>
              <w:rPr>
                <w:rFonts w:hint="eastAsia" w:ascii="仿宋" w:hAnsi="仿宋" w:eastAsia="仿宋" w:cs="仿宋"/>
                <w:color w:val="000000"/>
                <w:szCs w:val="21"/>
              </w:rPr>
            </w:pPr>
            <w:r>
              <w:rPr>
                <w:rFonts w:hint="eastAsia" w:ascii="仿宋" w:hAnsi="仿宋" w:eastAsia="仿宋" w:cs="仿宋"/>
                <w:color w:val="000000"/>
                <w:szCs w:val="21"/>
              </w:rPr>
              <w:t>三</w:t>
            </w:r>
          </w:p>
        </w:tc>
        <w:tc>
          <w:tcPr>
            <w:tcW w:w="718" w:type="dxa"/>
            <w:noWrap w:val="0"/>
            <w:vAlign w:val="center"/>
          </w:tcPr>
          <w:p>
            <w:pPr>
              <w:pageBreakBefore w:val="0"/>
              <w:topLinePunct w:val="0"/>
              <w:bidi w:val="0"/>
              <w:jc w:val="center"/>
              <w:outlineLvl w:val="9"/>
              <w:rPr>
                <w:rFonts w:hint="eastAsia" w:ascii="仿宋" w:hAnsi="仿宋" w:eastAsia="仿宋" w:cs="仿宋"/>
                <w:color w:val="000000"/>
                <w:szCs w:val="21"/>
              </w:rPr>
            </w:pPr>
            <w:r>
              <w:rPr>
                <w:rFonts w:hint="eastAsia" w:ascii="仿宋" w:hAnsi="仿宋" w:eastAsia="仿宋" w:cs="仿宋"/>
                <w:color w:val="000000"/>
                <w:szCs w:val="21"/>
              </w:rPr>
              <w:t>四</w:t>
            </w:r>
          </w:p>
        </w:tc>
        <w:tc>
          <w:tcPr>
            <w:tcW w:w="717" w:type="dxa"/>
            <w:noWrap w:val="0"/>
            <w:vAlign w:val="center"/>
          </w:tcPr>
          <w:p>
            <w:pPr>
              <w:pageBreakBefore w:val="0"/>
              <w:topLinePunct w:val="0"/>
              <w:bidi w:val="0"/>
              <w:jc w:val="center"/>
              <w:outlineLvl w:val="9"/>
              <w:rPr>
                <w:rFonts w:hint="eastAsia" w:ascii="仿宋" w:hAnsi="仿宋" w:eastAsia="仿宋" w:cs="仿宋"/>
                <w:color w:val="000000"/>
                <w:szCs w:val="21"/>
              </w:rPr>
            </w:pPr>
            <w:r>
              <w:rPr>
                <w:rFonts w:hint="eastAsia" w:ascii="仿宋" w:hAnsi="仿宋" w:eastAsia="仿宋" w:cs="仿宋"/>
                <w:color w:val="000000"/>
                <w:szCs w:val="21"/>
              </w:rPr>
              <w:t>五</w:t>
            </w:r>
          </w:p>
        </w:tc>
        <w:tc>
          <w:tcPr>
            <w:tcW w:w="718" w:type="dxa"/>
            <w:noWrap w:val="0"/>
            <w:vAlign w:val="center"/>
          </w:tcPr>
          <w:p>
            <w:pPr>
              <w:pageBreakBefore w:val="0"/>
              <w:topLinePunct w:val="0"/>
              <w:bidi w:val="0"/>
              <w:jc w:val="center"/>
              <w:outlineLvl w:val="9"/>
              <w:rPr>
                <w:rFonts w:hint="eastAsia" w:ascii="仿宋" w:hAnsi="仿宋" w:eastAsia="仿宋" w:cs="仿宋"/>
                <w:color w:val="000000"/>
                <w:szCs w:val="21"/>
              </w:rPr>
            </w:pPr>
            <w:r>
              <w:rPr>
                <w:rFonts w:hint="eastAsia" w:ascii="仿宋" w:hAnsi="仿宋" w:eastAsia="仿宋" w:cs="仿宋"/>
                <w:color w:val="000000"/>
                <w:szCs w:val="21"/>
              </w:rPr>
              <w:t>…</w:t>
            </w:r>
          </w:p>
        </w:tc>
        <w:tc>
          <w:tcPr>
            <w:tcW w:w="796" w:type="dxa"/>
            <w:noWrap w:val="0"/>
            <w:vAlign w:val="center"/>
          </w:tcPr>
          <w:p>
            <w:pPr>
              <w:pageBreakBefore w:val="0"/>
              <w:topLinePunct w:val="0"/>
              <w:bidi w:val="0"/>
              <w:jc w:val="center"/>
              <w:outlineLvl w:val="9"/>
              <w:rPr>
                <w:rFonts w:hint="eastAsia" w:ascii="仿宋" w:hAnsi="仿宋" w:eastAsia="仿宋" w:cs="仿宋"/>
                <w:color w:val="000000"/>
                <w:szCs w:val="21"/>
              </w:rPr>
            </w:pPr>
            <w:r>
              <w:rPr>
                <w:rFonts w:hint="eastAsia" w:ascii="仿宋" w:hAnsi="仿宋" w:eastAsia="仿宋" w:cs="仿宋"/>
                <w:color w:val="000000"/>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24" w:type="dxa"/>
            <w:noWrap w:val="0"/>
            <w:vAlign w:val="center"/>
          </w:tcPr>
          <w:p>
            <w:pPr>
              <w:pageBreakBefore w:val="0"/>
              <w:topLinePunct w:val="0"/>
              <w:bidi w:val="0"/>
              <w:jc w:val="center"/>
              <w:outlineLvl w:val="9"/>
              <w:rPr>
                <w:rFonts w:hint="eastAsia" w:ascii="仿宋" w:hAnsi="仿宋" w:eastAsia="仿宋" w:cs="仿宋"/>
                <w:color w:val="000000"/>
                <w:szCs w:val="21"/>
              </w:rPr>
            </w:pPr>
            <w:r>
              <w:rPr>
                <w:rFonts w:hint="eastAsia" w:ascii="仿宋" w:hAnsi="仿宋" w:eastAsia="仿宋" w:cs="仿宋"/>
                <w:color w:val="000000"/>
                <w:szCs w:val="21"/>
              </w:rPr>
              <w:t>得分</w:t>
            </w:r>
          </w:p>
        </w:tc>
        <w:tc>
          <w:tcPr>
            <w:tcW w:w="723" w:type="dxa"/>
            <w:noWrap w:val="0"/>
            <w:vAlign w:val="center"/>
          </w:tcPr>
          <w:p>
            <w:pPr>
              <w:pageBreakBefore w:val="0"/>
              <w:topLinePunct w:val="0"/>
              <w:bidi w:val="0"/>
              <w:jc w:val="center"/>
              <w:outlineLvl w:val="9"/>
              <w:rPr>
                <w:rFonts w:hint="eastAsia" w:ascii="仿宋" w:hAnsi="仿宋" w:eastAsia="仿宋" w:cs="仿宋"/>
                <w:color w:val="000000"/>
                <w:szCs w:val="21"/>
              </w:rPr>
            </w:pPr>
          </w:p>
        </w:tc>
        <w:tc>
          <w:tcPr>
            <w:tcW w:w="722" w:type="dxa"/>
            <w:noWrap w:val="0"/>
            <w:vAlign w:val="center"/>
          </w:tcPr>
          <w:p>
            <w:pPr>
              <w:pageBreakBefore w:val="0"/>
              <w:topLinePunct w:val="0"/>
              <w:bidi w:val="0"/>
              <w:jc w:val="center"/>
              <w:outlineLvl w:val="9"/>
              <w:rPr>
                <w:rFonts w:hint="eastAsia" w:ascii="仿宋" w:hAnsi="仿宋" w:eastAsia="仿宋" w:cs="仿宋"/>
                <w:color w:val="000000"/>
                <w:szCs w:val="21"/>
              </w:rPr>
            </w:pPr>
          </w:p>
        </w:tc>
        <w:tc>
          <w:tcPr>
            <w:tcW w:w="723" w:type="dxa"/>
            <w:noWrap w:val="0"/>
            <w:vAlign w:val="center"/>
          </w:tcPr>
          <w:p>
            <w:pPr>
              <w:pageBreakBefore w:val="0"/>
              <w:topLinePunct w:val="0"/>
              <w:bidi w:val="0"/>
              <w:jc w:val="center"/>
              <w:outlineLvl w:val="9"/>
              <w:rPr>
                <w:rFonts w:hint="eastAsia" w:ascii="仿宋" w:hAnsi="仿宋" w:eastAsia="仿宋" w:cs="仿宋"/>
                <w:color w:val="000000"/>
                <w:szCs w:val="21"/>
              </w:rPr>
            </w:pPr>
          </w:p>
        </w:tc>
        <w:tc>
          <w:tcPr>
            <w:tcW w:w="718" w:type="dxa"/>
            <w:noWrap w:val="0"/>
            <w:vAlign w:val="center"/>
          </w:tcPr>
          <w:p>
            <w:pPr>
              <w:pageBreakBefore w:val="0"/>
              <w:topLinePunct w:val="0"/>
              <w:bidi w:val="0"/>
              <w:jc w:val="center"/>
              <w:outlineLvl w:val="9"/>
              <w:rPr>
                <w:rFonts w:hint="eastAsia" w:ascii="仿宋" w:hAnsi="仿宋" w:eastAsia="仿宋" w:cs="仿宋"/>
                <w:color w:val="000000"/>
                <w:szCs w:val="21"/>
              </w:rPr>
            </w:pPr>
          </w:p>
        </w:tc>
        <w:tc>
          <w:tcPr>
            <w:tcW w:w="717" w:type="dxa"/>
            <w:noWrap w:val="0"/>
            <w:vAlign w:val="center"/>
          </w:tcPr>
          <w:p>
            <w:pPr>
              <w:pageBreakBefore w:val="0"/>
              <w:topLinePunct w:val="0"/>
              <w:bidi w:val="0"/>
              <w:jc w:val="center"/>
              <w:outlineLvl w:val="9"/>
              <w:rPr>
                <w:rFonts w:hint="eastAsia" w:ascii="仿宋" w:hAnsi="仿宋" w:eastAsia="仿宋" w:cs="仿宋"/>
                <w:color w:val="000000"/>
                <w:szCs w:val="21"/>
              </w:rPr>
            </w:pPr>
          </w:p>
        </w:tc>
        <w:tc>
          <w:tcPr>
            <w:tcW w:w="718" w:type="dxa"/>
            <w:noWrap w:val="0"/>
            <w:vAlign w:val="center"/>
          </w:tcPr>
          <w:p>
            <w:pPr>
              <w:pageBreakBefore w:val="0"/>
              <w:topLinePunct w:val="0"/>
              <w:bidi w:val="0"/>
              <w:jc w:val="center"/>
              <w:outlineLvl w:val="9"/>
              <w:rPr>
                <w:rFonts w:hint="eastAsia" w:ascii="仿宋" w:hAnsi="仿宋" w:eastAsia="仿宋" w:cs="仿宋"/>
                <w:color w:val="000000"/>
                <w:szCs w:val="21"/>
              </w:rPr>
            </w:pPr>
          </w:p>
        </w:tc>
        <w:tc>
          <w:tcPr>
            <w:tcW w:w="796" w:type="dxa"/>
            <w:noWrap w:val="0"/>
            <w:vAlign w:val="center"/>
          </w:tcPr>
          <w:p>
            <w:pPr>
              <w:pageBreakBefore w:val="0"/>
              <w:topLinePunct w:val="0"/>
              <w:bidi w:val="0"/>
              <w:jc w:val="center"/>
              <w:outlineLvl w:val="9"/>
              <w:rPr>
                <w:rFonts w:hint="eastAsia"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4" w:type="dxa"/>
            <w:noWrap w:val="0"/>
            <w:vAlign w:val="center"/>
          </w:tcPr>
          <w:p>
            <w:pPr>
              <w:pageBreakBefore w:val="0"/>
              <w:topLinePunct w:val="0"/>
              <w:bidi w:val="0"/>
              <w:jc w:val="center"/>
              <w:outlineLvl w:val="9"/>
              <w:rPr>
                <w:rFonts w:hint="eastAsia" w:ascii="仿宋" w:hAnsi="仿宋" w:eastAsia="仿宋" w:cs="仿宋"/>
                <w:color w:val="000000"/>
                <w:szCs w:val="21"/>
              </w:rPr>
            </w:pPr>
            <w:r>
              <w:rPr>
                <w:rFonts w:hint="eastAsia" w:ascii="仿宋" w:hAnsi="仿宋" w:eastAsia="仿宋" w:cs="仿宋"/>
                <w:color w:val="000000"/>
                <w:szCs w:val="21"/>
              </w:rPr>
              <w:t>复核</w:t>
            </w:r>
          </w:p>
        </w:tc>
        <w:tc>
          <w:tcPr>
            <w:tcW w:w="723" w:type="dxa"/>
            <w:noWrap w:val="0"/>
            <w:vAlign w:val="center"/>
          </w:tcPr>
          <w:p>
            <w:pPr>
              <w:pageBreakBefore w:val="0"/>
              <w:topLinePunct w:val="0"/>
              <w:bidi w:val="0"/>
              <w:jc w:val="center"/>
              <w:outlineLvl w:val="9"/>
              <w:rPr>
                <w:rFonts w:hint="eastAsia" w:ascii="仿宋" w:hAnsi="仿宋" w:eastAsia="仿宋" w:cs="仿宋"/>
                <w:color w:val="000000"/>
                <w:szCs w:val="21"/>
              </w:rPr>
            </w:pPr>
          </w:p>
        </w:tc>
        <w:tc>
          <w:tcPr>
            <w:tcW w:w="722" w:type="dxa"/>
            <w:noWrap w:val="0"/>
            <w:vAlign w:val="center"/>
          </w:tcPr>
          <w:p>
            <w:pPr>
              <w:pageBreakBefore w:val="0"/>
              <w:topLinePunct w:val="0"/>
              <w:bidi w:val="0"/>
              <w:jc w:val="center"/>
              <w:outlineLvl w:val="9"/>
              <w:rPr>
                <w:rFonts w:hint="eastAsia" w:ascii="仿宋" w:hAnsi="仿宋" w:eastAsia="仿宋" w:cs="仿宋"/>
                <w:color w:val="000000"/>
                <w:szCs w:val="21"/>
              </w:rPr>
            </w:pPr>
          </w:p>
        </w:tc>
        <w:tc>
          <w:tcPr>
            <w:tcW w:w="723" w:type="dxa"/>
            <w:noWrap w:val="0"/>
            <w:vAlign w:val="center"/>
          </w:tcPr>
          <w:p>
            <w:pPr>
              <w:pageBreakBefore w:val="0"/>
              <w:topLinePunct w:val="0"/>
              <w:bidi w:val="0"/>
              <w:jc w:val="center"/>
              <w:outlineLvl w:val="9"/>
              <w:rPr>
                <w:rFonts w:hint="eastAsia" w:ascii="仿宋" w:hAnsi="仿宋" w:eastAsia="仿宋" w:cs="仿宋"/>
                <w:color w:val="000000"/>
                <w:szCs w:val="21"/>
              </w:rPr>
            </w:pPr>
          </w:p>
        </w:tc>
        <w:tc>
          <w:tcPr>
            <w:tcW w:w="718" w:type="dxa"/>
            <w:noWrap w:val="0"/>
            <w:vAlign w:val="center"/>
          </w:tcPr>
          <w:p>
            <w:pPr>
              <w:pageBreakBefore w:val="0"/>
              <w:topLinePunct w:val="0"/>
              <w:bidi w:val="0"/>
              <w:jc w:val="center"/>
              <w:outlineLvl w:val="9"/>
              <w:rPr>
                <w:rFonts w:hint="eastAsia" w:ascii="仿宋" w:hAnsi="仿宋" w:eastAsia="仿宋" w:cs="仿宋"/>
                <w:color w:val="000000"/>
                <w:szCs w:val="21"/>
              </w:rPr>
            </w:pPr>
          </w:p>
        </w:tc>
        <w:tc>
          <w:tcPr>
            <w:tcW w:w="717" w:type="dxa"/>
            <w:noWrap w:val="0"/>
            <w:vAlign w:val="center"/>
          </w:tcPr>
          <w:p>
            <w:pPr>
              <w:pageBreakBefore w:val="0"/>
              <w:topLinePunct w:val="0"/>
              <w:bidi w:val="0"/>
              <w:jc w:val="center"/>
              <w:outlineLvl w:val="9"/>
              <w:rPr>
                <w:rFonts w:hint="eastAsia" w:ascii="仿宋" w:hAnsi="仿宋" w:eastAsia="仿宋" w:cs="仿宋"/>
                <w:color w:val="000000"/>
                <w:szCs w:val="21"/>
              </w:rPr>
            </w:pPr>
          </w:p>
        </w:tc>
        <w:tc>
          <w:tcPr>
            <w:tcW w:w="718" w:type="dxa"/>
            <w:noWrap w:val="0"/>
            <w:vAlign w:val="center"/>
          </w:tcPr>
          <w:p>
            <w:pPr>
              <w:pageBreakBefore w:val="0"/>
              <w:topLinePunct w:val="0"/>
              <w:bidi w:val="0"/>
              <w:jc w:val="center"/>
              <w:outlineLvl w:val="9"/>
              <w:rPr>
                <w:rFonts w:hint="eastAsia" w:ascii="仿宋" w:hAnsi="仿宋" w:eastAsia="仿宋" w:cs="仿宋"/>
                <w:color w:val="000000"/>
                <w:szCs w:val="21"/>
              </w:rPr>
            </w:pPr>
          </w:p>
        </w:tc>
        <w:tc>
          <w:tcPr>
            <w:tcW w:w="796" w:type="dxa"/>
            <w:noWrap w:val="0"/>
            <w:vAlign w:val="center"/>
          </w:tcPr>
          <w:p>
            <w:pPr>
              <w:pageBreakBefore w:val="0"/>
              <w:topLinePunct w:val="0"/>
              <w:bidi w:val="0"/>
              <w:jc w:val="center"/>
              <w:outlineLvl w:val="9"/>
              <w:rPr>
                <w:rFonts w:hint="eastAsia" w:ascii="仿宋" w:hAnsi="仿宋" w:eastAsia="仿宋" w:cs="仿宋"/>
                <w:color w:val="000000"/>
                <w:szCs w:val="21"/>
              </w:rPr>
            </w:pPr>
          </w:p>
        </w:tc>
      </w:tr>
    </w:tbl>
    <w:p>
      <w:pPr>
        <w:pageBreakBefore w:val="0"/>
        <w:topLinePunct w:val="0"/>
        <w:bidi w:val="0"/>
        <w:outlineLvl w:val="9"/>
        <w:rPr>
          <w:rFonts w:hint="eastAsia" w:ascii="仿宋" w:hAnsi="仿宋" w:eastAsia="仿宋" w:cs="仿宋"/>
          <w:color w:val="000000"/>
          <w:szCs w:val="21"/>
        </w:rPr>
      </w:pPr>
    </w:p>
    <w:p>
      <w:pPr>
        <w:pageBreakBefore w:val="0"/>
        <w:topLinePunct w:val="0"/>
        <w:bidi w:val="0"/>
        <w:outlineLvl w:val="9"/>
        <w:rPr>
          <w:rFonts w:hint="eastAsia" w:ascii="仿宋" w:hAnsi="仿宋" w:eastAsia="仿宋" w:cs="仿宋"/>
          <w:color w:val="000000"/>
          <w:szCs w:val="21"/>
        </w:rPr>
      </w:pPr>
    </w:p>
    <w:tbl>
      <w:tblPr>
        <w:tblStyle w:val="37"/>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838"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得分</w:t>
            </w:r>
          </w:p>
        </w:tc>
        <w:tc>
          <w:tcPr>
            <w:tcW w:w="916"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阅卷人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838" w:type="dxa"/>
            <w:noWrap w:val="0"/>
            <w:vAlign w:val="center"/>
          </w:tcPr>
          <w:p>
            <w:pPr>
              <w:pageBreakBefore w:val="0"/>
              <w:topLinePunct w:val="0"/>
              <w:bidi w:val="0"/>
              <w:jc w:val="center"/>
              <w:outlineLvl w:val="9"/>
              <w:rPr>
                <w:rFonts w:hint="eastAsia" w:ascii="仿宋" w:hAnsi="仿宋" w:eastAsia="仿宋" w:cs="仿宋"/>
                <w:color w:val="000000"/>
              </w:rPr>
            </w:pPr>
          </w:p>
        </w:tc>
        <w:tc>
          <w:tcPr>
            <w:tcW w:w="916" w:type="dxa"/>
            <w:noWrap w:val="0"/>
            <w:vAlign w:val="center"/>
          </w:tcPr>
          <w:p>
            <w:pPr>
              <w:pageBreakBefore w:val="0"/>
              <w:topLinePunct w:val="0"/>
              <w:bidi w:val="0"/>
              <w:jc w:val="center"/>
              <w:outlineLvl w:val="9"/>
              <w:rPr>
                <w:rFonts w:hint="eastAsia" w:ascii="仿宋" w:hAnsi="仿宋" w:eastAsia="仿宋" w:cs="仿宋"/>
                <w:color w:val="000000"/>
              </w:rPr>
            </w:pPr>
          </w:p>
        </w:tc>
      </w:tr>
    </w:tbl>
    <w:p>
      <w:pPr>
        <w:pageBreakBefore w:val="0"/>
        <w:numPr>
          <w:ilvl w:val="0"/>
          <w:numId w:val="5"/>
        </w:numPr>
        <w:topLinePunct w:val="0"/>
        <w:bidi w:val="0"/>
        <w:outlineLvl w:val="9"/>
        <w:rPr>
          <w:rFonts w:hint="eastAsia" w:ascii="仿宋" w:hAnsi="仿宋" w:eastAsia="仿宋" w:cs="仿宋"/>
          <w:color w:val="000000"/>
        </w:rPr>
      </w:pPr>
      <w:r>
        <w:rPr>
          <w:rFonts w:hint="eastAsia" w:ascii="仿宋" w:hAnsi="仿宋" w:eastAsia="仿宋" w:cs="仿宋"/>
          <w:color w:val="000000"/>
        </w:rPr>
        <w:t>填空题（X分/题，共X题，共X分）</w:t>
      </w: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答题要求：将答案填入题中空格内，填写在其他地方的无效。</w:t>
      </w: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i/>
          <w:color w:val="000000"/>
        </w:rPr>
      </w:pPr>
      <w:r>
        <w:rPr>
          <w:rFonts w:hint="eastAsia" w:ascii="仿宋" w:hAnsi="仿宋" w:eastAsia="仿宋" w:cs="仿宋"/>
          <w:i/>
          <w:color w:val="000000"/>
        </w:rPr>
        <w:t>空一行</w:t>
      </w: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1.中华人民</w:t>
      </w:r>
      <w:r>
        <w:rPr>
          <w:rFonts w:hint="eastAsia" w:ascii="仿宋" w:hAnsi="仿宋" w:eastAsia="仿宋" w:cs="仿宋"/>
          <w:color w:val="000000"/>
          <w:szCs w:val="21"/>
        </w:rPr>
        <w:t>共和国成立于</w:t>
      </w:r>
      <w:r>
        <w:rPr>
          <w:rFonts w:hint="eastAsia" w:ascii="仿宋" w:hAnsi="仿宋" w:eastAsia="仿宋" w:cs="仿宋"/>
          <w:color w:val="000000"/>
          <w:szCs w:val="21"/>
          <w:u w:val="single"/>
        </w:rPr>
        <w:t xml:space="preserve">        </w:t>
      </w:r>
      <w:r>
        <w:rPr>
          <w:rFonts w:hint="eastAsia" w:ascii="仿宋" w:hAnsi="仿宋" w:eastAsia="仿宋" w:cs="仿宋"/>
          <w:color w:val="000000"/>
          <w:szCs w:val="21"/>
        </w:rPr>
        <w:t>年。</w:t>
      </w: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2.。。。。。</w:t>
      </w: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3.。。。。。</w:t>
      </w: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4.。。。。。</w:t>
      </w:r>
    </w:p>
    <w:p>
      <w:pPr>
        <w:pageBreakBefore w:val="0"/>
        <w:topLinePunct w:val="0"/>
        <w:bidi w:val="0"/>
        <w:outlineLvl w:val="9"/>
        <w:rPr>
          <w:rFonts w:hint="eastAsia" w:ascii="仿宋" w:hAnsi="仿宋" w:eastAsia="仿宋" w:cs="仿宋"/>
          <w:i/>
          <w:color w:val="000000"/>
        </w:rPr>
      </w:pPr>
      <w:r>
        <w:rPr>
          <w:rFonts w:hint="eastAsia" w:ascii="仿宋" w:hAnsi="仿宋" w:eastAsia="仿宋" w:cs="仿宋"/>
          <w:i/>
          <w:color w:val="000000"/>
        </w:rPr>
        <w:t>空一行</w:t>
      </w:r>
    </w:p>
    <w:tbl>
      <w:tblPr>
        <w:tblStyle w:val="37"/>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38"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得分</w:t>
            </w:r>
          </w:p>
        </w:tc>
        <w:tc>
          <w:tcPr>
            <w:tcW w:w="916"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阅卷人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38" w:type="dxa"/>
            <w:noWrap w:val="0"/>
            <w:vAlign w:val="center"/>
          </w:tcPr>
          <w:p>
            <w:pPr>
              <w:pageBreakBefore w:val="0"/>
              <w:topLinePunct w:val="0"/>
              <w:bidi w:val="0"/>
              <w:jc w:val="center"/>
              <w:outlineLvl w:val="9"/>
              <w:rPr>
                <w:rFonts w:hint="eastAsia" w:ascii="仿宋" w:hAnsi="仿宋" w:eastAsia="仿宋" w:cs="仿宋"/>
                <w:color w:val="000000"/>
              </w:rPr>
            </w:pPr>
          </w:p>
        </w:tc>
        <w:tc>
          <w:tcPr>
            <w:tcW w:w="916" w:type="dxa"/>
            <w:noWrap w:val="0"/>
            <w:vAlign w:val="center"/>
          </w:tcPr>
          <w:p>
            <w:pPr>
              <w:pageBreakBefore w:val="0"/>
              <w:topLinePunct w:val="0"/>
              <w:bidi w:val="0"/>
              <w:jc w:val="center"/>
              <w:outlineLvl w:val="9"/>
              <w:rPr>
                <w:rFonts w:hint="eastAsia" w:ascii="仿宋" w:hAnsi="仿宋" w:eastAsia="仿宋" w:cs="仿宋"/>
                <w:color w:val="000000"/>
              </w:rPr>
            </w:pPr>
          </w:p>
        </w:tc>
      </w:tr>
    </w:tbl>
    <w:p>
      <w:pPr>
        <w:pageBreakBefore w:val="0"/>
        <w:numPr>
          <w:ilvl w:val="0"/>
          <w:numId w:val="5"/>
        </w:numPr>
        <w:topLinePunct w:val="0"/>
        <w:bidi w:val="0"/>
        <w:outlineLvl w:val="9"/>
        <w:rPr>
          <w:rFonts w:hint="eastAsia" w:ascii="仿宋" w:hAnsi="仿宋" w:eastAsia="仿宋" w:cs="仿宋"/>
          <w:color w:val="000000"/>
        </w:rPr>
      </w:pPr>
      <w:r>
        <w:rPr>
          <w:rFonts w:hint="eastAsia" w:ascii="仿宋" w:hAnsi="仿宋" w:eastAsia="仿宋" w:cs="仿宋"/>
          <w:color w:val="000000"/>
        </w:rPr>
        <w:t>选择题（X分/题，共X题，共X分）</w:t>
      </w: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答题要求：将选项填写在答题框中每题对应的位置，填写在其他地方的无效。</w:t>
      </w:r>
    </w:p>
    <w:p>
      <w:pPr>
        <w:pageBreakBefore w:val="0"/>
        <w:topLinePunct w:val="0"/>
        <w:bidi w:val="0"/>
        <w:outlineLvl w:val="9"/>
        <w:rPr>
          <w:rFonts w:hint="eastAsia" w:ascii="仿宋" w:hAnsi="仿宋" w:eastAsia="仿宋" w:cs="仿宋"/>
          <w:i/>
          <w:color w:val="000000"/>
        </w:rPr>
      </w:pPr>
      <w:r>
        <w:rPr>
          <w:rFonts w:hint="eastAsia" w:ascii="仿宋" w:hAnsi="仿宋" w:eastAsia="仿宋" w:cs="仿宋"/>
          <w:i/>
          <w:color w:val="000000"/>
        </w:rPr>
        <w:t>空一行</w:t>
      </w: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答题框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976"/>
        <w:gridCol w:w="977"/>
        <w:gridCol w:w="977"/>
        <w:gridCol w:w="977"/>
        <w:gridCol w:w="977"/>
        <w:gridCol w:w="977"/>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76"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5</w:t>
            </w:r>
          </w:p>
        </w:tc>
        <w:tc>
          <w:tcPr>
            <w:tcW w:w="976"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6</w:t>
            </w:r>
          </w:p>
        </w:tc>
        <w:tc>
          <w:tcPr>
            <w:tcW w:w="977"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7</w:t>
            </w:r>
          </w:p>
        </w:tc>
        <w:tc>
          <w:tcPr>
            <w:tcW w:w="977"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8</w:t>
            </w:r>
          </w:p>
        </w:tc>
        <w:tc>
          <w:tcPr>
            <w:tcW w:w="977"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9</w:t>
            </w:r>
          </w:p>
        </w:tc>
        <w:tc>
          <w:tcPr>
            <w:tcW w:w="977"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10</w:t>
            </w:r>
          </w:p>
        </w:tc>
        <w:tc>
          <w:tcPr>
            <w:tcW w:w="977"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11</w:t>
            </w:r>
          </w:p>
        </w:tc>
        <w:tc>
          <w:tcPr>
            <w:tcW w:w="977"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976" w:type="dxa"/>
            <w:noWrap w:val="0"/>
            <w:vAlign w:val="center"/>
          </w:tcPr>
          <w:p>
            <w:pPr>
              <w:pageBreakBefore w:val="0"/>
              <w:topLinePunct w:val="0"/>
              <w:bidi w:val="0"/>
              <w:jc w:val="center"/>
              <w:outlineLvl w:val="9"/>
              <w:rPr>
                <w:rFonts w:hint="eastAsia" w:ascii="仿宋" w:hAnsi="仿宋" w:eastAsia="仿宋" w:cs="仿宋"/>
                <w:color w:val="000000"/>
              </w:rPr>
            </w:pPr>
          </w:p>
        </w:tc>
        <w:tc>
          <w:tcPr>
            <w:tcW w:w="976" w:type="dxa"/>
            <w:noWrap w:val="0"/>
            <w:vAlign w:val="center"/>
          </w:tcPr>
          <w:p>
            <w:pPr>
              <w:pageBreakBefore w:val="0"/>
              <w:topLinePunct w:val="0"/>
              <w:bidi w:val="0"/>
              <w:jc w:val="center"/>
              <w:outlineLvl w:val="9"/>
              <w:rPr>
                <w:rFonts w:hint="eastAsia" w:ascii="仿宋" w:hAnsi="仿宋" w:eastAsia="仿宋" w:cs="仿宋"/>
                <w:color w:val="000000"/>
              </w:rPr>
            </w:pPr>
          </w:p>
        </w:tc>
        <w:tc>
          <w:tcPr>
            <w:tcW w:w="977" w:type="dxa"/>
            <w:noWrap w:val="0"/>
            <w:vAlign w:val="center"/>
          </w:tcPr>
          <w:p>
            <w:pPr>
              <w:pageBreakBefore w:val="0"/>
              <w:topLinePunct w:val="0"/>
              <w:bidi w:val="0"/>
              <w:jc w:val="center"/>
              <w:outlineLvl w:val="9"/>
              <w:rPr>
                <w:rFonts w:hint="eastAsia" w:ascii="仿宋" w:hAnsi="仿宋" w:eastAsia="仿宋" w:cs="仿宋"/>
                <w:color w:val="000000"/>
              </w:rPr>
            </w:pPr>
          </w:p>
        </w:tc>
        <w:tc>
          <w:tcPr>
            <w:tcW w:w="977" w:type="dxa"/>
            <w:noWrap w:val="0"/>
            <w:vAlign w:val="center"/>
          </w:tcPr>
          <w:p>
            <w:pPr>
              <w:pageBreakBefore w:val="0"/>
              <w:topLinePunct w:val="0"/>
              <w:bidi w:val="0"/>
              <w:jc w:val="center"/>
              <w:outlineLvl w:val="9"/>
              <w:rPr>
                <w:rFonts w:hint="eastAsia" w:ascii="仿宋" w:hAnsi="仿宋" w:eastAsia="仿宋" w:cs="仿宋"/>
                <w:color w:val="000000"/>
              </w:rPr>
            </w:pPr>
          </w:p>
        </w:tc>
        <w:tc>
          <w:tcPr>
            <w:tcW w:w="977" w:type="dxa"/>
            <w:noWrap w:val="0"/>
            <w:vAlign w:val="center"/>
          </w:tcPr>
          <w:p>
            <w:pPr>
              <w:pageBreakBefore w:val="0"/>
              <w:topLinePunct w:val="0"/>
              <w:bidi w:val="0"/>
              <w:jc w:val="center"/>
              <w:outlineLvl w:val="9"/>
              <w:rPr>
                <w:rFonts w:hint="eastAsia" w:ascii="仿宋" w:hAnsi="仿宋" w:eastAsia="仿宋" w:cs="仿宋"/>
                <w:color w:val="000000"/>
              </w:rPr>
            </w:pPr>
          </w:p>
        </w:tc>
        <w:tc>
          <w:tcPr>
            <w:tcW w:w="977" w:type="dxa"/>
            <w:noWrap w:val="0"/>
            <w:vAlign w:val="center"/>
          </w:tcPr>
          <w:p>
            <w:pPr>
              <w:pageBreakBefore w:val="0"/>
              <w:topLinePunct w:val="0"/>
              <w:bidi w:val="0"/>
              <w:jc w:val="center"/>
              <w:outlineLvl w:val="9"/>
              <w:rPr>
                <w:rFonts w:hint="eastAsia" w:ascii="仿宋" w:hAnsi="仿宋" w:eastAsia="仿宋" w:cs="仿宋"/>
                <w:color w:val="000000"/>
              </w:rPr>
            </w:pPr>
          </w:p>
        </w:tc>
        <w:tc>
          <w:tcPr>
            <w:tcW w:w="977" w:type="dxa"/>
            <w:noWrap w:val="0"/>
            <w:vAlign w:val="center"/>
          </w:tcPr>
          <w:p>
            <w:pPr>
              <w:pageBreakBefore w:val="0"/>
              <w:topLinePunct w:val="0"/>
              <w:bidi w:val="0"/>
              <w:jc w:val="center"/>
              <w:outlineLvl w:val="9"/>
              <w:rPr>
                <w:rFonts w:hint="eastAsia" w:ascii="仿宋" w:hAnsi="仿宋" w:eastAsia="仿宋" w:cs="仿宋"/>
                <w:color w:val="000000"/>
              </w:rPr>
            </w:pPr>
          </w:p>
        </w:tc>
        <w:tc>
          <w:tcPr>
            <w:tcW w:w="977" w:type="dxa"/>
            <w:noWrap w:val="0"/>
            <w:vAlign w:val="center"/>
          </w:tcPr>
          <w:p>
            <w:pPr>
              <w:pageBreakBefore w:val="0"/>
              <w:topLinePunct w:val="0"/>
              <w:bidi w:val="0"/>
              <w:jc w:val="center"/>
              <w:outlineLvl w:val="9"/>
              <w:rPr>
                <w:rFonts w:hint="eastAsia" w:ascii="仿宋" w:hAnsi="仿宋" w:eastAsia="仿宋" w:cs="仿宋"/>
                <w:color w:val="000000"/>
              </w:rPr>
            </w:pPr>
          </w:p>
        </w:tc>
      </w:tr>
    </w:tbl>
    <w:p>
      <w:pPr>
        <w:pageBreakBefore w:val="0"/>
        <w:topLinePunct w:val="0"/>
        <w:bidi w:val="0"/>
        <w:outlineLvl w:val="9"/>
        <w:rPr>
          <w:rFonts w:hint="eastAsia" w:ascii="仿宋" w:hAnsi="仿宋" w:eastAsia="仿宋" w:cs="仿宋"/>
          <w:i/>
          <w:color w:val="000000"/>
        </w:rPr>
      </w:pPr>
      <w:r>
        <w:rPr>
          <w:rFonts w:hint="eastAsia" w:ascii="仿宋" w:hAnsi="仿宋" w:eastAsia="仿宋" w:cs="仿宋"/>
          <w:i/>
          <w:color w:val="000000"/>
        </w:rPr>
        <w:t>空一行</w:t>
      </w: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5.中华人民共和国成立于哪一年？</w:t>
      </w: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A.1949              B.1950              C.1948              D.1951</w:t>
      </w: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6.中华人民共和国第一任主席是？</w:t>
      </w: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A.毛泽东            B.周恩来            C.宋庆龄            D.孙中山</w:t>
      </w: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tbl>
      <w:tblPr>
        <w:tblStyle w:val="37"/>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838"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得分</w:t>
            </w:r>
          </w:p>
        </w:tc>
        <w:tc>
          <w:tcPr>
            <w:tcW w:w="916"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阅卷人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trPr>
        <w:tc>
          <w:tcPr>
            <w:tcW w:w="838" w:type="dxa"/>
            <w:noWrap w:val="0"/>
            <w:vAlign w:val="center"/>
          </w:tcPr>
          <w:p>
            <w:pPr>
              <w:pageBreakBefore w:val="0"/>
              <w:topLinePunct w:val="0"/>
              <w:bidi w:val="0"/>
              <w:jc w:val="center"/>
              <w:outlineLvl w:val="9"/>
              <w:rPr>
                <w:rFonts w:hint="eastAsia" w:ascii="仿宋" w:hAnsi="仿宋" w:eastAsia="仿宋" w:cs="仿宋"/>
                <w:color w:val="000000"/>
              </w:rPr>
            </w:pPr>
          </w:p>
        </w:tc>
        <w:tc>
          <w:tcPr>
            <w:tcW w:w="916" w:type="dxa"/>
            <w:noWrap w:val="0"/>
            <w:vAlign w:val="center"/>
          </w:tcPr>
          <w:p>
            <w:pPr>
              <w:pageBreakBefore w:val="0"/>
              <w:topLinePunct w:val="0"/>
              <w:bidi w:val="0"/>
              <w:jc w:val="center"/>
              <w:outlineLvl w:val="9"/>
              <w:rPr>
                <w:rFonts w:hint="eastAsia" w:ascii="仿宋" w:hAnsi="仿宋" w:eastAsia="仿宋" w:cs="仿宋"/>
                <w:color w:val="000000"/>
              </w:rPr>
            </w:pPr>
          </w:p>
        </w:tc>
      </w:tr>
    </w:tbl>
    <w:p>
      <w:pPr>
        <w:pageBreakBefore w:val="0"/>
        <w:numPr>
          <w:ilvl w:val="0"/>
          <w:numId w:val="5"/>
        </w:numPr>
        <w:topLinePunct w:val="0"/>
        <w:bidi w:val="0"/>
        <w:outlineLvl w:val="9"/>
        <w:rPr>
          <w:rFonts w:hint="eastAsia" w:ascii="仿宋" w:hAnsi="仿宋" w:eastAsia="仿宋" w:cs="仿宋"/>
          <w:color w:val="000000"/>
        </w:rPr>
      </w:pPr>
      <w:r>
        <w:rPr>
          <w:rFonts w:hint="eastAsia" w:ascii="仿宋" w:hAnsi="仿宋" w:eastAsia="仿宋" w:cs="仿宋"/>
          <w:color w:val="000000"/>
        </w:rPr>
        <w:pict>
          <v:shape id="文本框 7" o:spid="_x0000_s1039" o:spt="202" type="#_x0000_t202" style="position:absolute;left:0pt;margin-left:-172.55pt;margin-top:-15.6pt;height:678.6pt;width:63pt;z-index:251682816;mso-width-relative:page;mso-height-relative:page;" fillcolor="#FFFFFF" filled="t" stroked="t" coordsize="21600,21600">
            <v:path/>
            <v:fill on="t" alignshape="1" focussize="0,0"/>
            <v:stroke color="#FFFFFF" imagealignshape="1"/>
            <v:imagedata o:title=""/>
            <o:lock v:ext="edit"/>
            <v:textbox style="layout-flow:vertical;mso-layout-flow-alt:bottom-to-top;">
              <w:txbxContent>
                <w:p>
                  <w:pPr>
                    <w:jc w:val="center"/>
                    <w:rPr>
                      <w:rFonts w:hint="eastAsia"/>
                    </w:rPr>
                  </w:pPr>
                </w:p>
                <w:p>
                  <w:pPr>
                    <w:jc w:val="center"/>
                    <w:rPr>
                      <w:rFonts w:hint="eastAsia"/>
                    </w:rPr>
                  </w:pPr>
                  <w:r>
                    <w:t>…………………………………………………………………………………………………………………………………………………………</w:t>
                  </w:r>
                </w:p>
                <w:p>
                  <w:pPr>
                    <w:jc w:val="center"/>
                    <w:rPr>
                      <w:rFonts w:hint="eastAsia"/>
                    </w:rPr>
                  </w:pPr>
                  <w:r>
                    <w:rPr>
                      <w:rFonts w:hint="eastAsia"/>
                    </w:rPr>
                    <w:t>密  封  线  内  不  得  答  题</w:t>
                  </w:r>
                </w:p>
                <w:p>
                  <w:pPr>
                    <w:jc w:val="center"/>
                    <w:rPr>
                      <w:rFonts w:hint="eastAsia"/>
                    </w:rPr>
                  </w:pPr>
                  <w:r>
                    <w:t>……………………</w:t>
                  </w:r>
                  <w:r>
                    <w:rPr>
                      <w:rFonts w:hint="eastAsia"/>
                    </w:rPr>
                    <w:t>.</w:t>
                  </w:r>
                </w:p>
                <w:p>
                  <w:pPr>
                    <w:jc w:val="center"/>
                    <w:rPr>
                      <w:rFonts w:hint="eastAsia"/>
                    </w:rPr>
                  </w:pPr>
                </w:p>
                <w:p>
                  <w:pPr>
                    <w:jc w:val="center"/>
                    <w:rPr>
                      <w:rFonts w:hint="eastAsia"/>
                    </w:rPr>
                  </w:pPr>
                </w:p>
              </w:txbxContent>
            </v:textbox>
          </v:shape>
        </w:pict>
      </w:r>
      <w:r>
        <w:rPr>
          <w:rFonts w:hint="eastAsia" w:ascii="仿宋" w:hAnsi="仿宋" w:eastAsia="仿宋" w:cs="仿宋"/>
          <w:color w:val="000000"/>
        </w:rPr>
        <w:t>名词解释（X分/题，共X题，共X分）</w:t>
      </w: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答题要求：将答案书写在题目的下方空白位置，书写在其他地方的无效。</w:t>
      </w:r>
    </w:p>
    <w:p>
      <w:pPr>
        <w:pageBreakBefore w:val="0"/>
        <w:topLinePunct w:val="0"/>
        <w:bidi w:val="0"/>
        <w:outlineLvl w:val="9"/>
        <w:rPr>
          <w:rFonts w:hint="eastAsia" w:ascii="仿宋" w:hAnsi="仿宋" w:eastAsia="仿宋" w:cs="仿宋"/>
          <w:i/>
          <w:color w:val="000000"/>
        </w:rPr>
      </w:pPr>
      <w:r>
        <w:rPr>
          <w:rFonts w:hint="eastAsia" w:ascii="仿宋" w:hAnsi="仿宋" w:eastAsia="仿宋" w:cs="仿宋"/>
          <w:i/>
          <w:color w:val="000000"/>
        </w:rPr>
        <w:t>空一行</w:t>
      </w: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7.新民主主义</w:t>
      </w: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8.中国人民政治协商会议</w:t>
      </w: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tbl>
      <w:tblPr>
        <w:tblStyle w:val="37"/>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38"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得分</w:t>
            </w:r>
          </w:p>
        </w:tc>
        <w:tc>
          <w:tcPr>
            <w:tcW w:w="916"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阅卷人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38" w:type="dxa"/>
            <w:noWrap w:val="0"/>
            <w:vAlign w:val="center"/>
          </w:tcPr>
          <w:p>
            <w:pPr>
              <w:pageBreakBefore w:val="0"/>
              <w:topLinePunct w:val="0"/>
              <w:bidi w:val="0"/>
              <w:jc w:val="center"/>
              <w:outlineLvl w:val="9"/>
              <w:rPr>
                <w:rFonts w:hint="eastAsia" w:ascii="仿宋" w:hAnsi="仿宋" w:eastAsia="仿宋" w:cs="仿宋"/>
                <w:color w:val="000000"/>
              </w:rPr>
            </w:pPr>
          </w:p>
        </w:tc>
        <w:tc>
          <w:tcPr>
            <w:tcW w:w="916" w:type="dxa"/>
            <w:noWrap w:val="0"/>
            <w:vAlign w:val="center"/>
          </w:tcPr>
          <w:p>
            <w:pPr>
              <w:pageBreakBefore w:val="0"/>
              <w:topLinePunct w:val="0"/>
              <w:bidi w:val="0"/>
              <w:jc w:val="center"/>
              <w:outlineLvl w:val="9"/>
              <w:rPr>
                <w:rFonts w:hint="eastAsia" w:ascii="仿宋" w:hAnsi="仿宋" w:eastAsia="仿宋" w:cs="仿宋"/>
                <w:color w:val="000000"/>
              </w:rPr>
            </w:pPr>
          </w:p>
        </w:tc>
      </w:tr>
    </w:tbl>
    <w:p>
      <w:pPr>
        <w:pageBreakBefore w:val="0"/>
        <w:numPr>
          <w:ilvl w:val="0"/>
          <w:numId w:val="5"/>
        </w:numPr>
        <w:topLinePunct w:val="0"/>
        <w:bidi w:val="0"/>
        <w:outlineLvl w:val="9"/>
        <w:rPr>
          <w:rFonts w:hint="eastAsia" w:ascii="仿宋" w:hAnsi="仿宋" w:eastAsia="仿宋" w:cs="仿宋"/>
          <w:color w:val="000000"/>
        </w:rPr>
      </w:pPr>
      <w:r>
        <w:rPr>
          <w:rFonts w:hint="eastAsia" w:ascii="仿宋" w:hAnsi="仿宋" w:eastAsia="仿宋" w:cs="仿宋"/>
          <w:color w:val="000000"/>
        </w:rPr>
        <w:t>简答题（X分/题，共X题，共X分）</w:t>
      </w: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答题要求：将答案书写在题目的下方空白位置，书写在其他地方的无效。</w:t>
      </w:r>
    </w:p>
    <w:p>
      <w:pPr>
        <w:pageBreakBefore w:val="0"/>
        <w:topLinePunct w:val="0"/>
        <w:bidi w:val="0"/>
        <w:outlineLvl w:val="9"/>
        <w:rPr>
          <w:rFonts w:hint="eastAsia" w:ascii="仿宋" w:hAnsi="仿宋" w:eastAsia="仿宋" w:cs="仿宋"/>
          <w:i/>
          <w:color w:val="000000"/>
        </w:rPr>
      </w:pPr>
      <w:r>
        <w:rPr>
          <w:rFonts w:hint="eastAsia" w:ascii="仿宋" w:hAnsi="仿宋" w:eastAsia="仿宋" w:cs="仿宋"/>
          <w:i/>
          <w:color w:val="000000"/>
        </w:rPr>
        <w:t>空一行</w:t>
      </w: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9.新民主主义革命的重大意义</w:t>
      </w: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10.。。。。。。。。</w:t>
      </w: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tbl>
      <w:tblPr>
        <w:tblStyle w:val="37"/>
        <w:tblpPr w:leftFromText="180" w:rightFromText="180" w:vertAnchor="text"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38"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得分</w:t>
            </w:r>
          </w:p>
        </w:tc>
        <w:tc>
          <w:tcPr>
            <w:tcW w:w="916"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阅卷人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38" w:type="dxa"/>
            <w:noWrap w:val="0"/>
            <w:vAlign w:val="center"/>
          </w:tcPr>
          <w:p>
            <w:pPr>
              <w:pageBreakBefore w:val="0"/>
              <w:topLinePunct w:val="0"/>
              <w:bidi w:val="0"/>
              <w:jc w:val="center"/>
              <w:outlineLvl w:val="9"/>
              <w:rPr>
                <w:rFonts w:hint="eastAsia" w:ascii="仿宋" w:hAnsi="仿宋" w:eastAsia="仿宋" w:cs="仿宋"/>
                <w:color w:val="000000"/>
              </w:rPr>
            </w:pPr>
          </w:p>
        </w:tc>
        <w:tc>
          <w:tcPr>
            <w:tcW w:w="916" w:type="dxa"/>
            <w:noWrap w:val="0"/>
            <w:vAlign w:val="center"/>
          </w:tcPr>
          <w:p>
            <w:pPr>
              <w:pageBreakBefore w:val="0"/>
              <w:topLinePunct w:val="0"/>
              <w:bidi w:val="0"/>
              <w:jc w:val="center"/>
              <w:outlineLvl w:val="9"/>
              <w:rPr>
                <w:rFonts w:hint="eastAsia" w:ascii="仿宋" w:hAnsi="仿宋" w:eastAsia="仿宋" w:cs="仿宋"/>
                <w:color w:val="000000"/>
              </w:rPr>
            </w:pPr>
          </w:p>
        </w:tc>
      </w:tr>
    </w:tbl>
    <w:p>
      <w:pPr>
        <w:pageBreakBefore w:val="0"/>
        <w:numPr>
          <w:ilvl w:val="0"/>
          <w:numId w:val="5"/>
        </w:numPr>
        <w:topLinePunct w:val="0"/>
        <w:bidi w:val="0"/>
        <w:outlineLvl w:val="9"/>
        <w:rPr>
          <w:rFonts w:hint="eastAsia" w:ascii="仿宋" w:hAnsi="仿宋" w:eastAsia="仿宋" w:cs="仿宋"/>
          <w:color w:val="000000"/>
        </w:rPr>
      </w:pPr>
      <w:r>
        <w:rPr>
          <w:rFonts w:hint="eastAsia" w:ascii="仿宋" w:hAnsi="仿宋" w:eastAsia="仿宋" w:cs="仿宋"/>
          <w:color w:val="000000"/>
        </w:rPr>
        <w:t>材料分析题（x分/题，共x题，共x分）</w:t>
      </w:r>
    </w:p>
    <w:p>
      <w:pPr>
        <w:pageBreakBefore w:val="0"/>
        <w:topLinePunct w:val="0"/>
        <w:bidi w:val="0"/>
        <w:outlineLvl w:val="9"/>
        <w:rPr>
          <w:rFonts w:hint="eastAsia" w:ascii="仿宋" w:hAnsi="仿宋" w:eastAsia="仿宋" w:cs="仿宋"/>
          <w:color w:val="000000"/>
        </w:rPr>
      </w:pPr>
      <w:r>
        <w:rPr>
          <w:rFonts w:hint="eastAsia" w:ascii="仿宋" w:hAnsi="仿宋" w:eastAsia="仿宋" w:cs="仿宋"/>
          <w:color w:val="000000"/>
        </w:rPr>
        <w:t>答题要求：将答案书写在题目的下方空白位置，书写在其他地方的无效。</w:t>
      </w:r>
    </w:p>
    <w:p>
      <w:pPr>
        <w:pageBreakBefore w:val="0"/>
        <w:topLinePunct w:val="0"/>
        <w:bidi w:val="0"/>
        <w:outlineLvl w:val="9"/>
        <w:rPr>
          <w:rFonts w:hint="eastAsia" w:ascii="仿宋" w:hAnsi="仿宋" w:eastAsia="仿宋" w:cs="仿宋"/>
          <w:i/>
          <w:color w:val="000000"/>
        </w:rPr>
      </w:pPr>
      <w:r>
        <w:rPr>
          <w:rFonts w:hint="eastAsia" w:ascii="仿宋" w:hAnsi="仿宋" w:eastAsia="仿宋" w:cs="仿宋"/>
          <w:i/>
          <w:color w:val="000000"/>
        </w:rPr>
        <w:t>空一行</w:t>
      </w:r>
    </w:p>
    <w:p>
      <w:pPr>
        <w:pageBreakBefore w:val="0"/>
        <w:topLinePunct w:val="0"/>
        <w:bidi w:val="0"/>
        <w:jc w:val="left"/>
        <w:outlineLvl w:val="9"/>
        <w:rPr>
          <w:rFonts w:hint="eastAsia" w:ascii="仿宋" w:hAnsi="仿宋" w:eastAsia="仿宋" w:cs="仿宋"/>
          <w:color w:val="000000"/>
        </w:rPr>
      </w:pPr>
      <w:r>
        <w:rPr>
          <w:rFonts w:hint="eastAsia" w:ascii="仿宋" w:hAnsi="仿宋" w:eastAsia="仿宋" w:cs="仿宋"/>
          <w:color w:val="000000"/>
          <w:spacing w:val="8"/>
          <w:szCs w:val="21"/>
        </w:rPr>
        <w:t>□□1949年10月1日，在首都北京</w:t>
      </w:r>
      <w:r>
        <w:rPr>
          <w:rFonts w:hint="eastAsia" w:ascii="仿宋" w:hAnsi="仿宋" w:eastAsia="仿宋" w:cs="仿宋"/>
          <w:color w:val="000000"/>
          <w:spacing w:val="8"/>
          <w:szCs w:val="21"/>
        </w:rPr>
        <w:fldChar w:fldCharType="begin"/>
      </w:r>
      <w:r>
        <w:rPr>
          <w:rFonts w:hint="eastAsia" w:ascii="仿宋" w:hAnsi="仿宋" w:eastAsia="仿宋" w:cs="仿宋"/>
          <w:color w:val="000000"/>
          <w:spacing w:val="8"/>
          <w:szCs w:val="21"/>
        </w:rPr>
        <w:instrText xml:space="preserve"> HYPERLINK "http://baike.baidu.com/view/1924.htm" \t "_blank" </w:instrText>
      </w:r>
      <w:r>
        <w:rPr>
          <w:rFonts w:hint="eastAsia" w:ascii="仿宋" w:hAnsi="仿宋" w:eastAsia="仿宋" w:cs="仿宋"/>
          <w:color w:val="000000"/>
          <w:spacing w:val="8"/>
          <w:szCs w:val="21"/>
        </w:rPr>
        <w:fldChar w:fldCharType="separate"/>
      </w:r>
      <w:r>
        <w:rPr>
          <w:rStyle w:val="44"/>
          <w:rFonts w:hint="eastAsia" w:ascii="仿宋" w:hAnsi="仿宋" w:eastAsia="仿宋" w:cs="仿宋"/>
          <w:color w:val="000000"/>
          <w:spacing w:val="8"/>
          <w:szCs w:val="21"/>
        </w:rPr>
        <w:t>天安门广场</w:t>
      </w:r>
      <w:r>
        <w:rPr>
          <w:rFonts w:hint="eastAsia" w:ascii="仿宋" w:hAnsi="仿宋" w:eastAsia="仿宋" w:cs="仿宋"/>
          <w:color w:val="000000"/>
          <w:spacing w:val="8"/>
          <w:szCs w:val="21"/>
        </w:rPr>
        <w:fldChar w:fldCharType="end"/>
      </w:r>
      <w:r>
        <w:rPr>
          <w:rFonts w:hint="eastAsia" w:ascii="仿宋" w:hAnsi="仿宋" w:eastAsia="仿宋" w:cs="仿宋"/>
          <w:color w:val="000000"/>
          <w:spacing w:val="8"/>
          <w:szCs w:val="21"/>
        </w:rPr>
        <w:t>举行了开国大典，在隆隆的礼炮声中，中央人民政府</w:t>
      </w:r>
      <w:r>
        <w:rPr>
          <w:rFonts w:hint="eastAsia" w:ascii="仿宋" w:hAnsi="仿宋" w:eastAsia="仿宋" w:cs="仿宋"/>
          <w:color w:val="000000"/>
          <w:spacing w:val="8"/>
          <w:szCs w:val="21"/>
        </w:rPr>
        <w:fldChar w:fldCharType="begin"/>
      </w:r>
      <w:r>
        <w:rPr>
          <w:rFonts w:hint="eastAsia" w:ascii="仿宋" w:hAnsi="仿宋" w:eastAsia="仿宋" w:cs="仿宋"/>
          <w:color w:val="000000"/>
          <w:spacing w:val="8"/>
          <w:szCs w:val="21"/>
        </w:rPr>
        <w:instrText xml:space="preserve"> HYPERLINK "http://baike.baidu.com/view/1689.htm" \t "_blank" </w:instrText>
      </w:r>
      <w:r>
        <w:rPr>
          <w:rFonts w:hint="eastAsia" w:ascii="仿宋" w:hAnsi="仿宋" w:eastAsia="仿宋" w:cs="仿宋"/>
          <w:color w:val="000000"/>
          <w:spacing w:val="8"/>
          <w:szCs w:val="21"/>
        </w:rPr>
        <w:fldChar w:fldCharType="separate"/>
      </w:r>
      <w:r>
        <w:rPr>
          <w:rStyle w:val="44"/>
          <w:rFonts w:hint="eastAsia" w:ascii="仿宋" w:hAnsi="仿宋" w:eastAsia="仿宋" w:cs="仿宋"/>
          <w:color w:val="000000"/>
          <w:spacing w:val="8"/>
          <w:szCs w:val="21"/>
        </w:rPr>
        <w:t>毛泽东</w:t>
      </w:r>
      <w:r>
        <w:rPr>
          <w:rFonts w:hint="eastAsia" w:ascii="仿宋" w:hAnsi="仿宋" w:eastAsia="仿宋" w:cs="仿宋"/>
          <w:color w:val="000000"/>
          <w:spacing w:val="8"/>
          <w:szCs w:val="21"/>
        </w:rPr>
        <w:fldChar w:fldCharType="end"/>
      </w:r>
      <w:r>
        <w:rPr>
          <w:rFonts w:hint="eastAsia" w:ascii="仿宋" w:hAnsi="仿宋" w:eastAsia="仿宋" w:cs="仿宋"/>
          <w:color w:val="000000"/>
          <w:spacing w:val="8"/>
          <w:szCs w:val="21"/>
        </w:rPr>
        <w:t>主席庄严宣布</w:t>
      </w:r>
      <w:r>
        <w:rPr>
          <w:rFonts w:hint="eastAsia" w:ascii="仿宋" w:hAnsi="仿宋" w:eastAsia="仿宋" w:cs="仿宋"/>
          <w:color w:val="000000"/>
          <w:spacing w:val="8"/>
          <w:szCs w:val="21"/>
        </w:rPr>
        <w:fldChar w:fldCharType="begin"/>
      </w:r>
      <w:r>
        <w:rPr>
          <w:rFonts w:hint="eastAsia" w:ascii="仿宋" w:hAnsi="仿宋" w:eastAsia="仿宋" w:cs="仿宋"/>
          <w:color w:val="000000"/>
          <w:spacing w:val="8"/>
          <w:szCs w:val="21"/>
        </w:rPr>
        <w:instrText xml:space="preserve"> HYPERLINK "http://baike.baidu.com/view/1256.htm" \t "_blank" </w:instrText>
      </w:r>
      <w:r>
        <w:rPr>
          <w:rFonts w:hint="eastAsia" w:ascii="仿宋" w:hAnsi="仿宋" w:eastAsia="仿宋" w:cs="仿宋"/>
          <w:color w:val="000000"/>
          <w:spacing w:val="8"/>
          <w:szCs w:val="21"/>
        </w:rPr>
        <w:fldChar w:fldCharType="separate"/>
      </w:r>
      <w:r>
        <w:rPr>
          <w:rStyle w:val="44"/>
          <w:rFonts w:hint="eastAsia" w:ascii="仿宋" w:hAnsi="仿宋" w:eastAsia="仿宋" w:cs="仿宋"/>
          <w:color w:val="000000"/>
          <w:spacing w:val="8"/>
          <w:szCs w:val="21"/>
        </w:rPr>
        <w:t>中华人民共和国</w:t>
      </w:r>
      <w:r>
        <w:rPr>
          <w:rFonts w:hint="eastAsia" w:ascii="仿宋" w:hAnsi="仿宋" w:eastAsia="仿宋" w:cs="仿宋"/>
          <w:color w:val="000000"/>
          <w:spacing w:val="8"/>
          <w:szCs w:val="21"/>
        </w:rPr>
        <w:fldChar w:fldCharType="end"/>
      </w:r>
      <w:r>
        <w:rPr>
          <w:rFonts w:hint="eastAsia" w:ascii="仿宋" w:hAnsi="仿宋" w:eastAsia="仿宋" w:cs="仿宋"/>
          <w:color w:val="000000"/>
          <w:spacing w:val="8"/>
          <w:szCs w:val="21"/>
        </w:rPr>
        <w:t>成立，并亲自升起了第一面</w:t>
      </w:r>
      <w:r>
        <w:rPr>
          <w:rFonts w:hint="eastAsia" w:ascii="仿宋" w:hAnsi="仿宋" w:eastAsia="仿宋" w:cs="仿宋"/>
          <w:color w:val="000000"/>
          <w:spacing w:val="8"/>
          <w:szCs w:val="21"/>
        </w:rPr>
        <w:fldChar w:fldCharType="begin"/>
      </w:r>
      <w:r>
        <w:rPr>
          <w:rFonts w:hint="eastAsia" w:ascii="仿宋" w:hAnsi="仿宋" w:eastAsia="仿宋" w:cs="仿宋"/>
          <w:color w:val="000000"/>
          <w:spacing w:val="8"/>
          <w:szCs w:val="21"/>
        </w:rPr>
        <w:instrText xml:space="preserve"> HYPERLINK "http://baike.baidu.com/view/5163.htm" \t "_blank" </w:instrText>
      </w:r>
      <w:r>
        <w:rPr>
          <w:rFonts w:hint="eastAsia" w:ascii="仿宋" w:hAnsi="仿宋" w:eastAsia="仿宋" w:cs="仿宋"/>
          <w:color w:val="000000"/>
          <w:spacing w:val="8"/>
          <w:szCs w:val="21"/>
        </w:rPr>
        <w:fldChar w:fldCharType="separate"/>
      </w:r>
      <w:r>
        <w:rPr>
          <w:rStyle w:val="44"/>
          <w:rFonts w:hint="eastAsia" w:ascii="仿宋" w:hAnsi="仿宋" w:eastAsia="仿宋" w:cs="仿宋"/>
          <w:color w:val="000000"/>
          <w:spacing w:val="8"/>
          <w:szCs w:val="21"/>
        </w:rPr>
        <w:t>五星红旗</w:t>
      </w:r>
      <w:r>
        <w:rPr>
          <w:rFonts w:hint="eastAsia" w:ascii="仿宋" w:hAnsi="仿宋" w:eastAsia="仿宋" w:cs="仿宋"/>
          <w:color w:val="000000"/>
          <w:spacing w:val="8"/>
          <w:szCs w:val="21"/>
        </w:rPr>
        <w:fldChar w:fldCharType="end"/>
      </w:r>
      <w:r>
        <w:rPr>
          <w:rFonts w:hint="eastAsia" w:ascii="仿宋" w:hAnsi="仿宋" w:eastAsia="仿宋" w:cs="仿宋"/>
          <w:color w:val="000000"/>
          <w:spacing w:val="8"/>
          <w:szCs w:val="21"/>
        </w:rPr>
        <w:t>。聚集在天安门广场的三十万军民进行了盛大的阅兵和庆祝游行。新中国的建立，实现了中华民族的独立和解放，开创了中国历史的新纪元。</w:t>
      </w: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p>
      <w:pPr>
        <w:pageBreakBefore w:val="0"/>
        <w:topLinePunct w:val="0"/>
        <w:bidi w:val="0"/>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color w:val="000000"/>
          <w:sz w:val="28"/>
          <w:szCs w:val="28"/>
        </w:rPr>
      </w:pPr>
      <w:r>
        <w:rPr>
          <w:rFonts w:hint="eastAsia" w:ascii="仿宋" w:hAnsi="仿宋" w:eastAsia="仿宋" w:cs="仿宋"/>
          <w:color w:val="000000"/>
          <w:sz w:val="28"/>
          <w:szCs w:val="28"/>
        </w:rPr>
        <w:t>附件3</w:t>
      </w:r>
    </w:p>
    <w:p>
      <w:pPr>
        <w:pageBreakBefore w:val="0"/>
        <w:topLinePunct w:val="0"/>
        <w:bidi w:val="0"/>
        <w:jc w:val="center"/>
        <w:outlineLvl w:val="9"/>
        <w:rPr>
          <w:rFonts w:hint="eastAsia" w:ascii="仿宋" w:hAnsi="仿宋" w:eastAsia="仿宋" w:cs="仿宋"/>
          <w:color w:val="000000"/>
          <w:sz w:val="28"/>
          <w:szCs w:val="28"/>
        </w:rPr>
      </w:pPr>
      <w:r>
        <w:rPr>
          <w:rFonts w:hint="eastAsia" w:ascii="仿宋" w:hAnsi="仿宋" w:eastAsia="仿宋" w:cs="仿宋"/>
          <w:color w:val="000000"/>
          <w:sz w:val="28"/>
          <w:szCs w:val="28"/>
        </w:rPr>
        <w:t>上海电子信息职业技术学院</w:t>
      </w:r>
    </w:p>
    <w:p>
      <w:pPr>
        <w:pageBreakBefore w:val="0"/>
        <w:topLinePunct w:val="0"/>
        <w:bidi w:val="0"/>
        <w:jc w:val="center"/>
        <w:outlineLvl w:val="9"/>
        <w:rPr>
          <w:rFonts w:hint="eastAsia" w:ascii="仿宋" w:hAnsi="仿宋" w:eastAsia="仿宋" w:cs="仿宋"/>
          <w:color w:val="000000"/>
          <w:sz w:val="28"/>
          <w:szCs w:val="28"/>
        </w:rPr>
      </w:pPr>
      <w:r>
        <w:rPr>
          <w:rFonts w:hint="eastAsia" w:ascii="仿宋" w:hAnsi="仿宋" w:eastAsia="仿宋" w:cs="仿宋"/>
          <w:color w:val="000000"/>
          <w:sz w:val="28"/>
          <w:szCs w:val="28"/>
        </w:rPr>
        <w:t>试卷情况分析表</w:t>
      </w:r>
    </w:p>
    <w:p>
      <w:pPr>
        <w:pageBreakBefore w:val="0"/>
        <w:topLinePunct w:val="0"/>
        <w:autoSpaceDE w:val="0"/>
        <w:autoSpaceDN w:val="0"/>
        <w:bidi w:val="0"/>
        <w:adjustRightInd w:val="0"/>
        <w:snapToGrid w:val="0"/>
        <w:spacing w:line="360" w:lineRule="auto"/>
        <w:jc w:val="center"/>
        <w:outlineLvl w:val="9"/>
        <w:rPr>
          <w:rFonts w:hint="eastAsia" w:ascii="仿宋" w:hAnsi="仿宋" w:eastAsia="仿宋" w:cs="仿宋"/>
          <w:color w:val="000000"/>
          <w:kern w:val="0"/>
          <w:sz w:val="24"/>
        </w:rPr>
      </w:pPr>
      <w:r>
        <w:rPr>
          <w:rFonts w:hint="eastAsia" w:ascii="仿宋" w:hAnsi="仿宋" w:eastAsia="仿宋" w:cs="仿宋"/>
          <w:color w:val="000000"/>
          <w:kern w:val="0"/>
          <w:sz w:val="24"/>
        </w:rPr>
        <w:t>二〇      至二〇      学年 第   学期</w:t>
      </w:r>
    </w:p>
    <w:p>
      <w:pPr>
        <w:pageBreakBefore w:val="0"/>
        <w:topLinePunct w:val="0"/>
        <w:autoSpaceDE w:val="0"/>
        <w:autoSpaceDN w:val="0"/>
        <w:bidi w:val="0"/>
        <w:adjustRightInd w:val="0"/>
        <w:snapToGrid w:val="0"/>
        <w:spacing w:line="360" w:lineRule="auto"/>
        <w:jc w:val="left"/>
        <w:outlineLvl w:val="9"/>
        <w:rPr>
          <w:rFonts w:hint="eastAsia" w:ascii="仿宋" w:hAnsi="仿宋" w:eastAsia="仿宋" w:cs="仿宋"/>
          <w:color w:val="000000"/>
          <w:kern w:val="0"/>
          <w:sz w:val="24"/>
          <w:u w:val="single"/>
        </w:rPr>
      </w:pPr>
      <w:r>
        <w:rPr>
          <w:rFonts w:hint="eastAsia" w:ascii="仿宋" w:hAnsi="仿宋" w:eastAsia="仿宋" w:cs="仿宋"/>
          <w:color w:val="000000"/>
          <w:kern w:val="0"/>
          <w:sz w:val="24"/>
        </w:rPr>
        <w:t>考试科目</w:t>
      </w:r>
      <w:r>
        <w:rPr>
          <w:rFonts w:hint="eastAsia" w:ascii="仿宋" w:hAnsi="仿宋" w:eastAsia="仿宋" w:cs="仿宋"/>
          <w:color w:val="000000"/>
          <w:kern w:val="0"/>
          <w:sz w:val="24"/>
          <w:u w:val="single"/>
        </w:rPr>
        <w:t xml:space="preserve">               </w:t>
      </w:r>
      <w:r>
        <w:rPr>
          <w:rFonts w:hint="eastAsia" w:ascii="仿宋" w:hAnsi="仿宋" w:eastAsia="仿宋" w:cs="仿宋"/>
          <w:color w:val="000000"/>
          <w:kern w:val="0"/>
          <w:sz w:val="24"/>
        </w:rPr>
        <w:t>二级学院</w:t>
      </w:r>
      <w:r>
        <w:rPr>
          <w:rFonts w:hint="eastAsia" w:ascii="仿宋" w:hAnsi="仿宋" w:eastAsia="仿宋" w:cs="仿宋"/>
          <w:color w:val="000000"/>
          <w:kern w:val="0"/>
          <w:sz w:val="24"/>
          <w:u w:val="single"/>
        </w:rPr>
        <w:t xml:space="preserve">                </w:t>
      </w:r>
      <w:r>
        <w:rPr>
          <w:rFonts w:hint="eastAsia" w:ascii="仿宋" w:hAnsi="仿宋" w:eastAsia="仿宋" w:cs="仿宋"/>
          <w:color w:val="000000"/>
          <w:kern w:val="0"/>
          <w:sz w:val="24"/>
        </w:rPr>
        <w:t>班    级</w:t>
      </w:r>
      <w:r>
        <w:rPr>
          <w:rFonts w:hint="eastAsia" w:ascii="仿宋" w:hAnsi="仿宋" w:eastAsia="仿宋" w:cs="仿宋"/>
          <w:color w:val="000000"/>
          <w:kern w:val="0"/>
          <w:sz w:val="24"/>
          <w:u w:val="single"/>
        </w:rPr>
        <w:t xml:space="preserve">              </w:t>
      </w:r>
    </w:p>
    <w:p>
      <w:pPr>
        <w:pageBreakBefore w:val="0"/>
        <w:topLinePunct w:val="0"/>
        <w:autoSpaceDE w:val="0"/>
        <w:autoSpaceDN w:val="0"/>
        <w:bidi w:val="0"/>
        <w:adjustRightInd w:val="0"/>
        <w:snapToGrid w:val="0"/>
        <w:spacing w:line="360" w:lineRule="auto"/>
        <w:jc w:val="left"/>
        <w:outlineLvl w:val="9"/>
        <w:rPr>
          <w:rFonts w:hint="eastAsia" w:ascii="仿宋" w:hAnsi="仿宋" w:eastAsia="仿宋" w:cs="仿宋"/>
          <w:color w:val="000000"/>
          <w:kern w:val="0"/>
          <w:sz w:val="24"/>
          <w:u w:val="single"/>
        </w:rPr>
      </w:pPr>
      <w:r>
        <w:rPr>
          <w:rFonts w:hint="eastAsia" w:ascii="仿宋" w:hAnsi="仿宋" w:eastAsia="仿宋" w:cs="仿宋"/>
          <w:color w:val="000000"/>
          <w:kern w:val="0"/>
          <w:sz w:val="24"/>
        </w:rPr>
        <w:t>考试人数</w:t>
      </w:r>
      <w:r>
        <w:rPr>
          <w:rFonts w:hint="eastAsia" w:ascii="仿宋" w:hAnsi="仿宋" w:eastAsia="仿宋" w:cs="仿宋"/>
          <w:color w:val="000000"/>
          <w:kern w:val="0"/>
          <w:sz w:val="24"/>
          <w:u w:val="single"/>
        </w:rPr>
        <w:t xml:space="preserve">               </w:t>
      </w:r>
      <w:r>
        <w:rPr>
          <w:rFonts w:hint="eastAsia" w:ascii="仿宋" w:hAnsi="仿宋" w:eastAsia="仿宋" w:cs="仿宋"/>
          <w:color w:val="000000"/>
          <w:kern w:val="0"/>
          <w:sz w:val="24"/>
        </w:rPr>
        <w:t>考试时间</w:t>
      </w:r>
      <w:r>
        <w:rPr>
          <w:rFonts w:hint="eastAsia" w:ascii="仿宋" w:hAnsi="仿宋" w:eastAsia="仿宋" w:cs="仿宋"/>
          <w:color w:val="000000"/>
          <w:kern w:val="0"/>
          <w:sz w:val="24"/>
          <w:u w:val="single"/>
        </w:rPr>
        <w:t xml:space="preserve">                </w:t>
      </w:r>
      <w:r>
        <w:rPr>
          <w:rFonts w:hint="eastAsia" w:ascii="仿宋" w:hAnsi="仿宋" w:eastAsia="仿宋" w:cs="仿宋"/>
          <w:color w:val="000000"/>
          <w:kern w:val="0"/>
          <w:sz w:val="24"/>
        </w:rPr>
        <w:t>考试地点</w:t>
      </w:r>
      <w:r>
        <w:rPr>
          <w:rFonts w:hint="eastAsia" w:ascii="仿宋" w:hAnsi="仿宋" w:eastAsia="仿宋" w:cs="仿宋"/>
          <w:color w:val="000000"/>
          <w:kern w:val="0"/>
          <w:sz w:val="24"/>
          <w:u w:val="single"/>
        </w:rPr>
        <w:t xml:space="preserve">                 </w:t>
      </w:r>
    </w:p>
    <w:p>
      <w:pPr>
        <w:pageBreakBefore w:val="0"/>
        <w:topLinePunct w:val="0"/>
        <w:autoSpaceDE w:val="0"/>
        <w:autoSpaceDN w:val="0"/>
        <w:bidi w:val="0"/>
        <w:adjustRightInd w:val="0"/>
        <w:snapToGrid w:val="0"/>
        <w:spacing w:line="360" w:lineRule="auto"/>
        <w:jc w:val="left"/>
        <w:outlineLvl w:val="9"/>
        <w:rPr>
          <w:rFonts w:hint="eastAsia" w:ascii="仿宋" w:hAnsi="仿宋" w:eastAsia="仿宋" w:cs="仿宋"/>
          <w:color w:val="000000"/>
          <w:kern w:val="0"/>
          <w:sz w:val="24"/>
          <w:u w:val="single"/>
        </w:rPr>
      </w:pPr>
      <w:r>
        <w:rPr>
          <w:rFonts w:hint="eastAsia" w:ascii="仿宋" w:hAnsi="仿宋" w:eastAsia="仿宋" w:cs="仿宋"/>
          <w:color w:val="000000"/>
          <w:kern w:val="0"/>
          <w:sz w:val="24"/>
        </w:rPr>
        <w:t>任课教师</w:t>
      </w:r>
      <w:r>
        <w:rPr>
          <w:rFonts w:hint="eastAsia" w:ascii="仿宋" w:hAnsi="仿宋" w:eastAsia="仿宋" w:cs="仿宋"/>
          <w:color w:val="000000"/>
          <w:kern w:val="0"/>
          <w:sz w:val="24"/>
          <w:u w:val="single"/>
        </w:rPr>
        <w:t xml:space="preserve">               </w:t>
      </w:r>
    </w:p>
    <w:p>
      <w:pPr>
        <w:pageBreakBefore w:val="0"/>
        <w:topLinePunct w:val="0"/>
        <w:autoSpaceDE w:val="0"/>
        <w:autoSpaceDN w:val="0"/>
        <w:bidi w:val="0"/>
        <w:adjustRightInd w:val="0"/>
        <w:snapToGrid w:val="0"/>
        <w:jc w:val="left"/>
        <w:outlineLvl w:val="9"/>
        <w:rPr>
          <w:rFonts w:hint="eastAsia" w:ascii="仿宋" w:hAnsi="仿宋" w:eastAsia="仿宋" w:cs="仿宋"/>
          <w:color w:val="000000"/>
          <w:kern w:val="0"/>
          <w:sz w:val="24"/>
        </w:rPr>
      </w:pPr>
    </w:p>
    <w:p>
      <w:pPr>
        <w:pageBreakBefore w:val="0"/>
        <w:topLinePunct w:val="0"/>
        <w:autoSpaceDE w:val="0"/>
        <w:autoSpaceDN w:val="0"/>
        <w:bidi w:val="0"/>
        <w:adjustRightInd w:val="0"/>
        <w:snapToGrid w:val="0"/>
        <w:jc w:val="left"/>
        <w:outlineLvl w:val="9"/>
        <w:rPr>
          <w:rFonts w:hint="eastAsia" w:ascii="仿宋" w:hAnsi="仿宋" w:eastAsia="仿宋" w:cs="仿宋"/>
          <w:color w:val="000000"/>
          <w:kern w:val="0"/>
          <w:sz w:val="24"/>
        </w:rPr>
      </w:pPr>
      <w:r>
        <w:rPr>
          <w:rFonts w:hint="eastAsia" w:ascii="仿宋" w:hAnsi="仿宋" w:eastAsia="仿宋" w:cs="仿宋"/>
          <w:color w:val="000000"/>
          <w:kern w:val="0"/>
          <w:sz w:val="24"/>
        </w:rPr>
        <w:t>考试成绩分布</w:t>
      </w:r>
    </w:p>
    <w:tbl>
      <w:tblPr>
        <w:tblStyle w:val="37"/>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612"/>
        <w:gridCol w:w="612"/>
        <w:gridCol w:w="613"/>
        <w:gridCol w:w="613"/>
        <w:gridCol w:w="613"/>
        <w:gridCol w:w="613"/>
        <w:gridCol w:w="613"/>
        <w:gridCol w:w="613"/>
        <w:gridCol w:w="613"/>
        <w:gridCol w:w="613"/>
        <w:gridCol w:w="613"/>
        <w:gridCol w:w="613"/>
        <w:gridCol w:w="613"/>
        <w:gridCol w:w="61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35" w:hRule="atLeast"/>
        </w:trPr>
        <w:tc>
          <w:tcPr>
            <w:tcW w:w="612" w:type="dxa"/>
            <w:vMerge w:val="restart"/>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r>
              <w:rPr>
                <w:rFonts w:hint="eastAsia" w:ascii="仿宋" w:hAnsi="仿宋" w:eastAsia="仿宋" w:cs="仿宋"/>
                <w:color w:val="000000"/>
                <w:sz w:val="18"/>
                <w:szCs w:val="18"/>
              </w:rPr>
              <w:t>应考人数</w:t>
            </w:r>
          </w:p>
        </w:tc>
        <w:tc>
          <w:tcPr>
            <w:tcW w:w="612" w:type="dxa"/>
            <w:vMerge w:val="restart"/>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r>
              <w:rPr>
                <w:rFonts w:hint="eastAsia" w:ascii="仿宋" w:hAnsi="仿宋" w:eastAsia="仿宋" w:cs="仿宋"/>
                <w:color w:val="000000"/>
                <w:sz w:val="18"/>
                <w:szCs w:val="18"/>
              </w:rPr>
              <w:t>实考人数</w:t>
            </w:r>
          </w:p>
        </w:tc>
        <w:tc>
          <w:tcPr>
            <w:tcW w:w="613" w:type="dxa"/>
            <w:vMerge w:val="restart"/>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r>
              <w:rPr>
                <w:rFonts w:hint="eastAsia" w:ascii="仿宋" w:hAnsi="仿宋" w:eastAsia="仿宋" w:cs="仿宋"/>
                <w:color w:val="000000"/>
                <w:sz w:val="18"/>
                <w:szCs w:val="18"/>
              </w:rPr>
              <w:t>平均分数</w:t>
            </w:r>
          </w:p>
        </w:tc>
        <w:tc>
          <w:tcPr>
            <w:tcW w:w="1226" w:type="dxa"/>
            <w:gridSpan w:val="2"/>
            <w:noWrap w:val="0"/>
            <w:vAlign w:val="center"/>
          </w:tcPr>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优</w:t>
            </w:r>
          </w:p>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（100-90）</w:t>
            </w:r>
          </w:p>
        </w:tc>
        <w:tc>
          <w:tcPr>
            <w:tcW w:w="1226" w:type="dxa"/>
            <w:gridSpan w:val="2"/>
            <w:noWrap w:val="0"/>
            <w:vAlign w:val="center"/>
          </w:tcPr>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良</w:t>
            </w:r>
          </w:p>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（89-80）</w:t>
            </w:r>
          </w:p>
        </w:tc>
        <w:tc>
          <w:tcPr>
            <w:tcW w:w="1226" w:type="dxa"/>
            <w:gridSpan w:val="2"/>
            <w:noWrap w:val="0"/>
            <w:vAlign w:val="center"/>
          </w:tcPr>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中</w:t>
            </w:r>
          </w:p>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（79-70）</w:t>
            </w:r>
          </w:p>
        </w:tc>
        <w:tc>
          <w:tcPr>
            <w:tcW w:w="1226" w:type="dxa"/>
            <w:gridSpan w:val="2"/>
            <w:noWrap w:val="0"/>
            <w:vAlign w:val="center"/>
          </w:tcPr>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及格</w:t>
            </w:r>
          </w:p>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（69-60）</w:t>
            </w:r>
          </w:p>
        </w:tc>
        <w:tc>
          <w:tcPr>
            <w:tcW w:w="1226" w:type="dxa"/>
            <w:gridSpan w:val="2"/>
            <w:noWrap w:val="0"/>
            <w:vAlign w:val="center"/>
          </w:tcPr>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不及格</w:t>
            </w:r>
          </w:p>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（59分以下）</w:t>
            </w:r>
          </w:p>
        </w:tc>
        <w:tc>
          <w:tcPr>
            <w:tcW w:w="613" w:type="dxa"/>
            <w:vMerge w:val="restart"/>
            <w:noWrap w:val="0"/>
            <w:vAlign w:val="center"/>
          </w:tcPr>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合</w:t>
            </w:r>
          </w:p>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格</w:t>
            </w:r>
          </w:p>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率</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35" w:hRule="atLeast"/>
        </w:trPr>
        <w:tc>
          <w:tcPr>
            <w:tcW w:w="612" w:type="dxa"/>
            <w:vMerge w:val="continue"/>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c>
          <w:tcPr>
            <w:tcW w:w="612" w:type="dxa"/>
            <w:vMerge w:val="continue"/>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c>
          <w:tcPr>
            <w:tcW w:w="613" w:type="dxa"/>
            <w:vMerge w:val="continue"/>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r>
              <w:rPr>
                <w:rFonts w:hint="eastAsia" w:ascii="仿宋" w:hAnsi="仿宋" w:eastAsia="仿宋" w:cs="仿宋"/>
                <w:color w:val="000000"/>
                <w:sz w:val="18"/>
                <w:szCs w:val="18"/>
              </w:rPr>
              <w:t>人数</w:t>
            </w:r>
          </w:p>
        </w:tc>
        <w:tc>
          <w:tcPr>
            <w:tcW w:w="613" w:type="dxa"/>
            <w:noWrap w:val="0"/>
            <w:vAlign w:val="center"/>
          </w:tcPr>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占总数百分比</w:t>
            </w: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r>
              <w:rPr>
                <w:rFonts w:hint="eastAsia" w:ascii="仿宋" w:hAnsi="仿宋" w:eastAsia="仿宋" w:cs="仿宋"/>
                <w:color w:val="000000"/>
                <w:sz w:val="18"/>
                <w:szCs w:val="18"/>
              </w:rPr>
              <w:t>人数</w:t>
            </w:r>
          </w:p>
        </w:tc>
        <w:tc>
          <w:tcPr>
            <w:tcW w:w="613" w:type="dxa"/>
            <w:noWrap w:val="0"/>
            <w:vAlign w:val="center"/>
          </w:tcPr>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占总数百分比</w:t>
            </w: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r>
              <w:rPr>
                <w:rFonts w:hint="eastAsia" w:ascii="仿宋" w:hAnsi="仿宋" w:eastAsia="仿宋" w:cs="仿宋"/>
                <w:color w:val="000000"/>
                <w:sz w:val="18"/>
                <w:szCs w:val="18"/>
              </w:rPr>
              <w:t>人数</w:t>
            </w:r>
          </w:p>
        </w:tc>
        <w:tc>
          <w:tcPr>
            <w:tcW w:w="613" w:type="dxa"/>
            <w:noWrap w:val="0"/>
            <w:vAlign w:val="center"/>
          </w:tcPr>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占总数百分比</w:t>
            </w: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r>
              <w:rPr>
                <w:rFonts w:hint="eastAsia" w:ascii="仿宋" w:hAnsi="仿宋" w:eastAsia="仿宋" w:cs="仿宋"/>
                <w:color w:val="000000"/>
                <w:sz w:val="18"/>
                <w:szCs w:val="18"/>
              </w:rPr>
              <w:t>人数</w:t>
            </w:r>
          </w:p>
        </w:tc>
        <w:tc>
          <w:tcPr>
            <w:tcW w:w="613" w:type="dxa"/>
            <w:noWrap w:val="0"/>
            <w:vAlign w:val="center"/>
          </w:tcPr>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占总数百分比</w:t>
            </w: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r>
              <w:rPr>
                <w:rFonts w:hint="eastAsia" w:ascii="仿宋" w:hAnsi="仿宋" w:eastAsia="仿宋" w:cs="仿宋"/>
                <w:color w:val="000000"/>
                <w:sz w:val="18"/>
                <w:szCs w:val="18"/>
              </w:rPr>
              <w:t>人数</w:t>
            </w:r>
          </w:p>
        </w:tc>
        <w:tc>
          <w:tcPr>
            <w:tcW w:w="613" w:type="dxa"/>
            <w:noWrap w:val="0"/>
            <w:vAlign w:val="center"/>
          </w:tcPr>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占总数百分比</w:t>
            </w:r>
          </w:p>
        </w:tc>
        <w:tc>
          <w:tcPr>
            <w:tcW w:w="613" w:type="dxa"/>
            <w:vMerge w:val="continue"/>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06" w:hRule="atLeast"/>
        </w:trPr>
        <w:tc>
          <w:tcPr>
            <w:tcW w:w="612"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c>
          <w:tcPr>
            <w:tcW w:w="612"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c>
          <w:tcPr>
            <w:tcW w:w="613" w:type="dxa"/>
            <w:noWrap w:val="0"/>
            <w:vAlign w:val="center"/>
          </w:tcPr>
          <w:p>
            <w:pPr>
              <w:pageBreakBefore w:val="0"/>
              <w:topLinePunct w:val="0"/>
              <w:bidi w:val="0"/>
              <w:spacing w:line="400" w:lineRule="exact"/>
              <w:jc w:val="center"/>
              <w:outlineLvl w:val="9"/>
              <w:rPr>
                <w:rFonts w:hint="eastAsia" w:ascii="仿宋" w:hAnsi="仿宋" w:eastAsia="仿宋" w:cs="仿宋"/>
                <w:color w:val="000000"/>
                <w:sz w:val="18"/>
                <w:szCs w:val="18"/>
              </w:rPr>
            </w:pPr>
          </w:p>
        </w:tc>
      </w:tr>
    </w:tbl>
    <w:p>
      <w:pPr>
        <w:pageBreakBefore w:val="0"/>
        <w:topLinePunct w:val="0"/>
        <w:bidi w:val="0"/>
        <w:outlineLvl w:val="9"/>
        <w:rPr>
          <w:rFonts w:hint="eastAsia" w:ascii="仿宋" w:hAnsi="仿宋" w:eastAsia="仿宋" w:cs="仿宋"/>
          <w:color w:val="000000"/>
          <w:sz w:val="18"/>
          <w:szCs w:val="18"/>
        </w:rPr>
      </w:pPr>
    </w:p>
    <w:p>
      <w:pPr>
        <w:pageBreakBefore w:val="0"/>
        <w:topLinePunct w:val="0"/>
        <w:bidi w:val="0"/>
        <w:spacing w:line="400" w:lineRule="exact"/>
        <w:outlineLvl w:val="9"/>
        <w:rPr>
          <w:rFonts w:hint="eastAsia" w:ascii="仿宋" w:hAnsi="仿宋" w:eastAsia="仿宋" w:cs="仿宋"/>
          <w:color w:val="000000"/>
          <w:sz w:val="24"/>
        </w:rPr>
      </w:pPr>
      <w:r>
        <w:rPr>
          <w:rFonts w:hint="eastAsia" w:ascii="仿宋" w:hAnsi="仿宋" w:eastAsia="仿宋" w:cs="仿宋"/>
          <w:color w:val="000000"/>
          <w:sz w:val="24"/>
        </w:rPr>
        <w:t>综合分析</w:t>
      </w:r>
    </w:p>
    <w:tbl>
      <w:tblPr>
        <w:tblStyle w:val="37"/>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662"/>
        <w:gridCol w:w="791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419" w:hRule="atLeast"/>
        </w:trPr>
        <w:tc>
          <w:tcPr>
            <w:tcW w:w="662" w:type="dxa"/>
            <w:noWrap w:val="0"/>
            <w:vAlign w:val="center"/>
          </w:tcPr>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试卷命题情况</w:t>
            </w:r>
          </w:p>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分析</w:t>
            </w:r>
          </w:p>
        </w:tc>
        <w:tc>
          <w:tcPr>
            <w:tcW w:w="7916" w:type="dxa"/>
            <w:noWrap w:val="0"/>
            <w:vAlign w:val="center"/>
          </w:tcPr>
          <w:p>
            <w:pPr>
              <w:pageBreakBefore w:val="0"/>
              <w:topLinePunct w:val="0"/>
              <w:bidi w:val="0"/>
              <w:spacing w:line="400" w:lineRule="exact"/>
              <w:jc w:val="center"/>
              <w:outlineLvl w:val="9"/>
              <w:rPr>
                <w:rFonts w:hint="eastAsia" w:ascii="仿宋" w:hAnsi="仿宋" w:eastAsia="仿宋" w:cs="仿宋"/>
                <w:color w:val="000000"/>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1473" w:hRule="atLeast"/>
        </w:trPr>
        <w:tc>
          <w:tcPr>
            <w:tcW w:w="662" w:type="dxa"/>
            <w:noWrap w:val="0"/>
            <w:vAlign w:val="center"/>
          </w:tcPr>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学生成绩情况</w:t>
            </w:r>
          </w:p>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分析</w:t>
            </w:r>
          </w:p>
        </w:tc>
        <w:tc>
          <w:tcPr>
            <w:tcW w:w="7916" w:type="dxa"/>
            <w:noWrap w:val="0"/>
            <w:vAlign w:val="center"/>
          </w:tcPr>
          <w:p>
            <w:pPr>
              <w:pageBreakBefore w:val="0"/>
              <w:topLinePunct w:val="0"/>
              <w:bidi w:val="0"/>
              <w:spacing w:line="400" w:lineRule="exact"/>
              <w:jc w:val="center"/>
              <w:outlineLvl w:val="9"/>
              <w:rPr>
                <w:rFonts w:hint="eastAsia" w:ascii="仿宋" w:hAnsi="仿宋" w:eastAsia="仿宋" w:cs="仿宋"/>
                <w:color w:val="000000"/>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1473" w:hRule="atLeast"/>
        </w:trPr>
        <w:tc>
          <w:tcPr>
            <w:tcW w:w="662" w:type="dxa"/>
            <w:noWrap w:val="0"/>
            <w:vAlign w:val="center"/>
          </w:tcPr>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对命题的建议</w:t>
            </w:r>
          </w:p>
        </w:tc>
        <w:tc>
          <w:tcPr>
            <w:tcW w:w="7916" w:type="dxa"/>
            <w:noWrap w:val="0"/>
            <w:vAlign w:val="center"/>
          </w:tcPr>
          <w:p>
            <w:pPr>
              <w:pageBreakBefore w:val="0"/>
              <w:topLinePunct w:val="0"/>
              <w:bidi w:val="0"/>
              <w:spacing w:line="400" w:lineRule="exact"/>
              <w:jc w:val="center"/>
              <w:outlineLvl w:val="9"/>
              <w:rPr>
                <w:rFonts w:hint="eastAsia" w:ascii="仿宋" w:hAnsi="仿宋" w:eastAsia="仿宋" w:cs="仿宋"/>
                <w:color w:val="000000"/>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PrEx>
        <w:trPr>
          <w:trHeight w:val="1419" w:hRule="atLeast"/>
        </w:trPr>
        <w:tc>
          <w:tcPr>
            <w:tcW w:w="662" w:type="dxa"/>
            <w:noWrap w:val="0"/>
            <w:vAlign w:val="center"/>
          </w:tcPr>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对课程教学的</w:t>
            </w:r>
          </w:p>
          <w:p>
            <w:pPr>
              <w:pageBreakBefore w:val="0"/>
              <w:topLinePunct w:val="0"/>
              <w:autoSpaceDE w:val="0"/>
              <w:autoSpaceDN w:val="0"/>
              <w:bidi w:val="0"/>
              <w:adjustRightInd w:val="0"/>
              <w:snapToGrid w:val="0"/>
              <w:jc w:val="center"/>
              <w:outlineLvl w:val="9"/>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建议</w:t>
            </w:r>
          </w:p>
        </w:tc>
        <w:tc>
          <w:tcPr>
            <w:tcW w:w="7916" w:type="dxa"/>
            <w:noWrap w:val="0"/>
            <w:vAlign w:val="center"/>
          </w:tcPr>
          <w:p>
            <w:pPr>
              <w:pageBreakBefore w:val="0"/>
              <w:topLinePunct w:val="0"/>
              <w:bidi w:val="0"/>
              <w:spacing w:line="400" w:lineRule="exact"/>
              <w:jc w:val="center"/>
              <w:outlineLvl w:val="9"/>
              <w:rPr>
                <w:rFonts w:hint="eastAsia" w:ascii="仿宋" w:hAnsi="仿宋" w:eastAsia="仿宋" w:cs="仿宋"/>
                <w:color w:val="000000"/>
              </w:rPr>
            </w:pPr>
          </w:p>
        </w:tc>
      </w:tr>
    </w:tbl>
    <w:p>
      <w:pPr>
        <w:pageBreakBefore w:val="0"/>
        <w:topLinePunct w:val="0"/>
        <w:autoSpaceDE w:val="0"/>
        <w:autoSpaceDN w:val="0"/>
        <w:bidi w:val="0"/>
        <w:adjustRightInd w:val="0"/>
        <w:snapToGrid w:val="0"/>
        <w:jc w:val="left"/>
        <w:outlineLvl w:val="9"/>
        <w:rPr>
          <w:rFonts w:hint="eastAsia" w:ascii="仿宋" w:hAnsi="仿宋" w:eastAsia="仿宋" w:cs="仿宋"/>
          <w:color w:val="000000"/>
          <w:kern w:val="0"/>
          <w:sz w:val="24"/>
        </w:rPr>
      </w:pPr>
      <w:r>
        <w:rPr>
          <w:rFonts w:hint="eastAsia" w:ascii="仿宋" w:hAnsi="仿宋" w:eastAsia="仿宋" w:cs="仿宋"/>
          <w:color w:val="000000"/>
          <w:kern w:val="0"/>
          <w:sz w:val="24"/>
        </w:rPr>
        <w:t>备注：任课教师填写完本表后，应按时将本表与试卷、成绩单（有任课教师签名）、班级学生点名册一起交二级学院教学秘书。</w:t>
      </w:r>
    </w:p>
    <w:p>
      <w:pPr>
        <w:pageBreakBefore w:val="0"/>
        <w:topLinePunct w:val="0"/>
        <w:bidi w:val="0"/>
        <w:jc w:val="center"/>
        <w:outlineLvl w:val="9"/>
        <w:rPr>
          <w:sz w:val="24"/>
        </w:rPr>
      </w:pPr>
      <w:bookmarkStart w:id="111" w:name="_Toc20611"/>
      <w:bookmarkStart w:id="112" w:name="_Toc12110"/>
      <w:bookmarkStart w:id="113" w:name="_Toc13597"/>
      <w:bookmarkStart w:id="114" w:name="_Toc2282"/>
      <w:bookmarkStart w:id="115" w:name="_Toc17878"/>
      <w:bookmarkStart w:id="116" w:name="_Toc13600"/>
      <w:bookmarkStart w:id="117" w:name="_Toc16048"/>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8〕15</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312" w:beforeLines="100"/>
        <w:ind w:firstLine="420"/>
        <w:jc w:val="center"/>
        <w:textAlignment w:val="auto"/>
        <w:outlineLvl w:val="0"/>
        <w:rPr>
          <w:rFonts w:hint="eastAsia" w:ascii="黑体" w:hAnsi="黑体" w:eastAsia="黑体" w:cs="黑体"/>
          <w:b/>
          <w:bCs/>
          <w:color w:val="000000"/>
          <w:sz w:val="36"/>
          <w:szCs w:val="36"/>
        </w:rPr>
      </w:pPr>
      <w:bookmarkStart w:id="118" w:name="_Toc22640"/>
      <w:r>
        <w:rPr>
          <w:rFonts w:hint="eastAsia" w:ascii="黑体" w:hAnsi="黑体" w:eastAsia="黑体" w:cs="黑体"/>
          <w:b/>
          <w:sz w:val="36"/>
          <w:szCs w:val="36"/>
        </w:rPr>
        <w:t>关于印</w:t>
      </w:r>
      <w:r>
        <w:rPr>
          <w:rFonts w:hint="eastAsia" w:ascii="黑体" w:hAnsi="黑体" w:eastAsia="黑体" w:cs="黑体"/>
          <w:b/>
          <w:kern w:val="0"/>
          <w:sz w:val="36"/>
          <w:szCs w:val="36"/>
        </w:rPr>
        <w:t>发《上海电子信息</w:t>
      </w:r>
      <w:r>
        <w:rPr>
          <w:rFonts w:hint="eastAsia" w:ascii="黑体" w:hAnsi="黑体" w:eastAsia="黑体" w:cs="黑体"/>
          <w:b/>
          <w:sz w:val="36"/>
          <w:szCs w:val="36"/>
        </w:rPr>
        <w:t>职业技术学院</w:t>
      </w:r>
      <w:r>
        <w:rPr>
          <w:rFonts w:hint="eastAsia" w:ascii="黑体" w:hAnsi="黑体" w:eastAsia="黑体" w:cs="黑体"/>
          <w:b/>
          <w:bCs/>
          <w:color w:val="000000"/>
          <w:sz w:val="36"/>
          <w:szCs w:val="36"/>
        </w:rPr>
        <w:t>成绩管理规定</w:t>
      </w:r>
      <w:r>
        <w:rPr>
          <w:rFonts w:hint="eastAsia" w:ascii="黑体" w:hAnsi="黑体" w:eastAsia="黑体" w:cs="黑体"/>
          <w:b/>
          <w:sz w:val="36"/>
          <w:szCs w:val="36"/>
        </w:rPr>
        <w:t>》的通知</w:t>
      </w:r>
      <w:bookmarkEnd w:id="118"/>
    </w:p>
    <w:p>
      <w:pPr>
        <w:pageBreakBefore w:val="0"/>
        <w:topLinePunct w:val="0"/>
        <w:bidi w:val="0"/>
        <w:spacing w:before="312" w:beforeLines="100"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现将《上海电子信息职业技术学院成绩管理规定》印发给你们，请结合本部门工作实际，认真研究执行。</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附件：上海电子信息职业技术学院成绩管理规定</w:t>
      </w:r>
    </w:p>
    <w:p>
      <w:pPr>
        <w:pageBreakBefore w:val="0"/>
        <w:shd w:val="clear" w:color="auto" w:fill="FFFFFF"/>
        <w:topLinePunct w:val="0"/>
        <w:bidi w:val="0"/>
        <w:spacing w:line="52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p>
    <w:p>
      <w:pPr>
        <w:pageBreakBefore w:val="0"/>
        <w:topLinePunct w:val="0"/>
        <w:bidi w:val="0"/>
        <w:spacing w:line="520" w:lineRule="exact"/>
        <w:ind w:right="480"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2018年1月19日</w:t>
      </w:r>
    </w:p>
    <w:p>
      <w:pPr>
        <w:pageBreakBefore w:val="0"/>
        <w:topLinePunct w:val="0"/>
        <w:bidi w:val="0"/>
        <w:spacing w:line="520" w:lineRule="exact"/>
        <w:ind w:right="480" w:firstLine="3840" w:firstLineChars="1200"/>
        <w:outlineLvl w:val="9"/>
        <w:rPr>
          <w:rFonts w:hint="eastAsia" w:ascii="仿宋_GB2312" w:hAnsi="宋体" w:eastAsia="仿宋_GB2312"/>
          <w:sz w:val="32"/>
          <w:szCs w:val="32"/>
        </w:rPr>
      </w:pPr>
    </w:p>
    <w:p>
      <w:pPr>
        <w:pageBreakBefore w:val="0"/>
        <w:topLinePunct w:val="0"/>
        <w:bidi w:val="0"/>
        <w:spacing w:line="520" w:lineRule="exact"/>
        <w:ind w:right="480" w:firstLine="3840" w:firstLineChars="1200"/>
        <w:outlineLvl w:val="9"/>
        <w:rPr>
          <w:rFonts w:hint="eastAsia" w:ascii="仿宋_GB2312" w:hAnsi="宋体" w:eastAsia="仿宋_GB2312"/>
          <w:sz w:val="32"/>
          <w:szCs w:val="32"/>
        </w:rPr>
      </w:pPr>
    </w:p>
    <w:p>
      <w:pPr>
        <w:pageBreakBefore w:val="0"/>
        <w:topLinePunct w:val="0"/>
        <w:bidi w:val="0"/>
        <w:spacing w:line="520" w:lineRule="exact"/>
        <w:ind w:right="480"/>
        <w:outlineLvl w:val="9"/>
        <w:rPr>
          <w:rFonts w:hint="eastAsia" w:ascii="仿宋_GB2312" w:hAnsi="宋体" w:eastAsia="仿宋_GB2312"/>
          <w:sz w:val="32"/>
          <w:szCs w:val="32"/>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成绩管理规定</w:t>
      </w:r>
      <w:bookmarkEnd w:id="111"/>
      <w:bookmarkEnd w:id="112"/>
      <w:bookmarkEnd w:id="113"/>
      <w:bookmarkEnd w:id="114"/>
      <w:bookmarkEnd w:id="115"/>
      <w:bookmarkEnd w:id="116"/>
      <w:bookmarkEnd w:id="117"/>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根据《学生学籍管理规定》，现对全日制在校生的成绩管理作如下规定：</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一、总 则</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（一）任课教师、二级学院、教务处共同承担成绩管理职责。任课教师负责学生成绩的评定、录入；二级学院负责成绩的认定、发布、汇总和存档；教务处负责全校课程考核的成绩管理工作。</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（二）学生课程学习成绩包括获取方式和分值两部分。获取方式指正考、补考、复读等；分值指具体分数值，以百分制记。</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二、记分方式</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（一）成绩分值采用百分制记分。</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（二）旷考、作弊学生的课程成绩由任课教师填写“旷考”或“作弊”字样。缓考学生的学生成绩留空，由任课教师在备注栏中注明“缓考”字样。</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三、成绩录入与发布</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（一）课程考核结束一周内，任课教师应完成学生成绩的评定、网上录入工作，并在核对无误后将打印签字完毕的学生成绩单交课程所在授课部门。</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各二级学院负责认定、发布学院内相关课程的成绩。成绩发布的工作必须在教务处规定的时间内完成。对于逾期未完成登分的任课教师，二级学院有责任提醒、督促其按时完成。对于有特殊情况需要延长登分期限的，须报经教务处同意，开通登分通道后方可。</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四、成绩查询与成绩单</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 学生成绩以任课教师签名的成绩单为准。学生成绩单由课程所在授课部门存档备查。</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（二）学生、任课教师、教务管理人员等按相应的权限可以通过综合教务管理系统查询成绩。学生需要纸质版成绩单的，可以到所在二级学院申请办理。</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（三）学生离校时，由学生所在二级学院打印《上海电子信息职业技术学院职业学院学生成绩表》，加盖二级学院公章和教务处公章后，成绩单交学生处放入学生档案袋，复印件交教务处留存。</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五、成绩变更与成绩复查</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学生成绩评定后，任何人不得随意更改。如果出现成绩漏登或误登的情况，任课教师填写“成绩单变更申请表”，持原始成绩单和学生考卷，经课程所在授课部门负责人同意，教务处审批后方可修改或补登。</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（二）学生对发布的成绩有异议者，可通过学生所在二级学院申请查阅存档成绩单。</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三）对存档成绩单有异议者，应在下一学期开学的一周内，由学生向所在二级学院提出申请，经教务处审核批准后，由各课程所在授课部门在第二周内统一组织查卷，并由相关责任人给出明确答复，不得无故拖延或敷衍。</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（四）对于查卷结果与存档成绩单不一致的情况，由任课教师以书面形式说明情况，经课程所在授课部门负责人签署意见、明确责任、向学生解释后，按成绩录入程序，予以更正。</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六、成绩管理</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（一）教务处对全校学生成绩单的录入、发布等情况进行检查。</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相关单位及责任人应各司其责，共同维护成绩管理的权威性和严肃性，确保教育教学质量。对在成绩评定中弄虚作假、成绩评定错误、不在规定时间录入、发布者，按《教学事故的认定和处理办法》进行处理。</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七、附 则</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本规定自颁布之日起正式实施，由上海电子信息职业技术学院教务处负责解释。</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ageBreakBefore w:val="0"/>
        <w:topLinePunct w:val="0"/>
        <w:bidi w:val="0"/>
        <w:spacing w:line="20" w:lineRule="exact"/>
        <w:outlineLvl w:val="9"/>
      </w:pPr>
    </w:p>
    <w:p>
      <w:pPr>
        <w:pageBreakBefore w:val="0"/>
        <w:topLinePunct w:val="0"/>
        <w:bidi w:val="0"/>
        <w:jc w:val="center"/>
        <w:outlineLvl w:val="9"/>
        <w:rPr>
          <w:sz w:val="24"/>
        </w:rPr>
      </w:pPr>
      <w:r>
        <w:br w:type="page"/>
      </w:r>
      <w:bookmarkStart w:id="119" w:name="_Toc28532"/>
      <w:bookmarkStart w:id="120" w:name="_Toc2232"/>
      <w:bookmarkStart w:id="121" w:name="_Toc5112"/>
      <w:bookmarkStart w:id="122" w:name="_Toc7297"/>
      <w:bookmarkStart w:id="123" w:name="_Toc10821"/>
      <w:bookmarkStart w:id="124" w:name="_Toc16802"/>
      <w:bookmarkStart w:id="125" w:name="_Toc1630"/>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8〕16</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312" w:beforeLines="100"/>
        <w:ind w:firstLine="420"/>
        <w:jc w:val="center"/>
        <w:textAlignment w:val="auto"/>
        <w:outlineLvl w:val="0"/>
        <w:rPr>
          <w:rFonts w:ascii="华文中宋" w:hAnsi="华文中宋" w:eastAsia="华文中宋" w:cs="仿宋"/>
          <w:b/>
          <w:bCs/>
          <w:color w:val="000000"/>
          <w:sz w:val="36"/>
          <w:szCs w:val="36"/>
        </w:rPr>
      </w:pPr>
      <w:bookmarkStart w:id="126" w:name="_Toc31135"/>
      <w:r>
        <w:rPr>
          <w:rFonts w:hint="eastAsia" w:ascii="黑体" w:hAnsi="黑体" w:eastAsia="黑体" w:cs="黑体"/>
          <w:b/>
          <w:sz w:val="36"/>
          <w:szCs w:val="36"/>
        </w:rPr>
        <w:t>关于印</w:t>
      </w:r>
      <w:r>
        <w:rPr>
          <w:rFonts w:hint="eastAsia" w:ascii="黑体" w:hAnsi="黑体" w:eastAsia="黑体" w:cs="黑体"/>
          <w:b/>
          <w:kern w:val="0"/>
          <w:sz w:val="36"/>
          <w:szCs w:val="36"/>
        </w:rPr>
        <w:t>发《上海电子信息</w:t>
      </w:r>
      <w:r>
        <w:rPr>
          <w:rFonts w:hint="eastAsia" w:ascii="黑体" w:hAnsi="黑体" w:eastAsia="黑体" w:cs="黑体"/>
          <w:b/>
          <w:sz w:val="36"/>
          <w:szCs w:val="36"/>
        </w:rPr>
        <w:t>职业技术学院</w:t>
      </w:r>
      <w:r>
        <w:rPr>
          <w:rFonts w:hint="eastAsia" w:ascii="黑体" w:hAnsi="黑体" w:eastAsia="黑体" w:cs="黑体"/>
          <w:b/>
          <w:color w:val="000000"/>
          <w:sz w:val="36"/>
          <w:szCs w:val="36"/>
        </w:rPr>
        <w:t>通识教育选修课教学</w:t>
      </w:r>
      <w:r>
        <w:rPr>
          <w:rFonts w:hint="eastAsia" w:ascii="黑体" w:hAnsi="黑体" w:eastAsia="黑体" w:cs="黑体"/>
          <w:b/>
          <w:bCs/>
          <w:color w:val="000000"/>
          <w:sz w:val="36"/>
          <w:szCs w:val="36"/>
        </w:rPr>
        <w:t>管理规定</w:t>
      </w:r>
      <w:r>
        <w:rPr>
          <w:rFonts w:hint="eastAsia" w:ascii="黑体" w:hAnsi="黑体" w:eastAsia="黑体" w:cs="黑体"/>
          <w:b/>
          <w:sz w:val="36"/>
          <w:szCs w:val="36"/>
        </w:rPr>
        <w:t>》的通知</w:t>
      </w:r>
      <w:bookmarkEnd w:id="126"/>
    </w:p>
    <w:p>
      <w:pPr>
        <w:pStyle w:val="52"/>
        <w:pageBreakBefore w:val="0"/>
        <w:topLinePunct w:val="0"/>
        <w:bidi w:val="0"/>
        <w:spacing w:line="360" w:lineRule="auto"/>
        <w:ind w:left="0" w:leftChars="0" w:firstLine="0" w:firstLineChars="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left="0" w:leftChars="0" w:firstLine="0" w:firstLineChars="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各教学单位、职能部门：</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现将《上海电子信息职业技术学院通识教育选修课教学管理规定》印发给你们，请结合本部门工作实际，认真研究执行。</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w:t>
      </w:r>
    </w:p>
    <w:p>
      <w:pPr>
        <w:pStyle w:val="52"/>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附件：上海电子信息职业技术学院通识教育选修课教学管理规定</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jc w:val="right"/>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上海电子信息职业技术学院</w:t>
      </w:r>
    </w:p>
    <w:p>
      <w:pPr>
        <w:pStyle w:val="52"/>
        <w:pageBreakBefore w:val="0"/>
        <w:topLinePunct w:val="0"/>
        <w:bidi w:val="0"/>
        <w:spacing w:line="360" w:lineRule="auto"/>
        <w:ind w:firstLine="560" w:firstLineChars="200"/>
        <w:jc w:val="right"/>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2018年1月19日</w:t>
      </w:r>
    </w:p>
    <w:p>
      <w:pPr>
        <w:pageBreakBefore w:val="0"/>
        <w:topLinePunct w:val="0"/>
        <w:bidi w:val="0"/>
        <w:spacing w:line="520" w:lineRule="exact"/>
        <w:ind w:right="480"/>
        <w:outlineLvl w:val="9"/>
        <w:rPr>
          <w:rFonts w:hint="eastAsia" w:ascii="仿宋_GB2312" w:hAnsi="宋体" w:eastAsia="仿宋_GB2312"/>
          <w:sz w:val="32"/>
          <w:szCs w:val="32"/>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通识教育选修课教学管理规定</w:t>
      </w:r>
      <w:bookmarkEnd w:id="119"/>
      <w:bookmarkEnd w:id="120"/>
      <w:bookmarkEnd w:id="121"/>
      <w:bookmarkEnd w:id="122"/>
      <w:bookmarkEnd w:id="123"/>
      <w:bookmarkEnd w:id="124"/>
      <w:bookmarkEnd w:id="125"/>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为适应学校高职教育教学工作的要求，全面推进素质教育，进一步提高学生的人文素养、创新意识、实践能力和创业能力，更好地规范我校通识教育选修课建设与管理，现作如下规定。</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127" w:name="_Toc295991832"/>
      <w:r>
        <w:rPr>
          <w:rFonts w:hint="eastAsia" w:ascii="仿宋_GB2312" w:hAnsi="仿宋_GB2312" w:eastAsia="仿宋_GB2312" w:cs="仿宋_GB2312"/>
          <w:kern w:val="2"/>
          <w:sz w:val="28"/>
          <w:szCs w:val="28"/>
          <w:highlight w:val="none"/>
          <w:lang w:val="en-US" w:eastAsia="zh-CN" w:bidi="ar-SA"/>
        </w:rPr>
        <w:t>一、通识教育选修课的归属</w:t>
      </w:r>
      <w:bookmarkEnd w:id="127"/>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（一）通识教育选修课主要有人文素养类、科学技术类等课程。</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（二）通识教育选修课原则上由课程归属二级学院管理；若某门通识教育选修课无法按照二级学院实行课程管理的，则由教务处与有关二级学院协商，指定该课程的管理归属。</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128" w:name="_Toc295991833"/>
      <w:r>
        <w:rPr>
          <w:rFonts w:hint="eastAsia" w:ascii="仿宋_GB2312" w:hAnsi="仿宋_GB2312" w:eastAsia="仿宋_GB2312" w:cs="仿宋_GB2312"/>
          <w:kern w:val="2"/>
          <w:sz w:val="28"/>
          <w:szCs w:val="28"/>
          <w:highlight w:val="none"/>
          <w:lang w:val="en-US" w:eastAsia="zh-CN" w:bidi="ar-SA"/>
        </w:rPr>
        <w:t>二、通识教育选修课的组织管理</w:t>
      </w:r>
      <w:bookmarkEnd w:id="128"/>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各二级学院在组织安排好必修课教学的同时，要充分调动教师的积极性，利用自身的专业优势面向全校开设通识教育修课（艺术类、文科类专业应努力开设形式多样的人文类课程；理工类专业应努力开设跨专业领域的技术类课程）。</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通识教育选修课的选课人数原则上应达到30人以上（含30人）时方可开课；选课学生数少于30人的教学班原则上停开或合并，因特殊情况，选课学生数少于30人需开设教学班的，应由教学校长批准；一个教学班的选课人数一般控制在90人以内。</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129" w:name="_Toc295991834"/>
      <w:r>
        <w:rPr>
          <w:rFonts w:hint="eastAsia" w:ascii="仿宋_GB2312" w:hAnsi="仿宋_GB2312" w:eastAsia="仿宋_GB2312" w:cs="仿宋_GB2312"/>
          <w:kern w:val="2"/>
          <w:sz w:val="28"/>
          <w:szCs w:val="28"/>
          <w:highlight w:val="none"/>
          <w:lang w:val="en-US" w:eastAsia="zh-CN" w:bidi="ar-SA"/>
        </w:rPr>
        <w:t>三、通识教育选修课的开课申报程序</w:t>
      </w:r>
      <w:bookmarkEnd w:id="129"/>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（一）各二级学院组织教师申报拟开设的通识教育选修课课程；申请新开设通识教育选修课的教师须填写“通识教育选修课开设申请表”，并经课程归属二级学院及教务处审批后方可开课。</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（二）教务处汇总并审核后于每学期第十六周公布下学期拟开设的通识教育选修课课程计划。</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130" w:name="_Toc295991835"/>
      <w:r>
        <w:rPr>
          <w:rFonts w:hint="eastAsia" w:ascii="仿宋_GB2312" w:hAnsi="仿宋_GB2312" w:eastAsia="仿宋_GB2312" w:cs="仿宋_GB2312"/>
          <w:kern w:val="2"/>
          <w:sz w:val="28"/>
          <w:szCs w:val="28"/>
          <w:highlight w:val="none"/>
          <w:lang w:val="en-US" w:eastAsia="zh-CN" w:bidi="ar-SA"/>
        </w:rPr>
        <w:t>四、通识教育选修课的选课管理</w:t>
      </w:r>
      <w:bookmarkEnd w:id="130"/>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（一）第一学期不安排选课（中高职贯通学生除外）；学生从第二学期起，根据个人需求与学习能力选修课程；第六学期学生毕业实习，原则上不予安排选修课程。</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（二）学生应参照专业人才培养方案中排定的指导性教学进程表，按学期进行选课。学生选课时应首先保证必修课的学习。</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（三）教务处在每学期期末组织学生进行下一学期的选课，具体选课程序如下：</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1．编制通识教育选修课课表；</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2．组织选课指导——选课前由各二级学院对本部门各专业学生按年级进行选课指导，使学生了解选课操作程序，明确下一学期可修读学分数与课程；</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3．网上选课操作——学生须在规定的选课时间内，在学校综合教务管理系统上进行自主选课操作。教务处负责汇总选课信息，并根据选课原则与选课结果对选修课程开设的班级数作适当调整；</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4．改选与退课：教务处对选课数据处理后，根据总体情况安排改选与退课。选课结束，教务处将选课清单反馈给各二级学院，进行教材征订工作；</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 选课结束后，原则上不再予以更改。学生如遇特殊情况需要更改选课结果时，须由本人提出申请，经所在二级学院负责人签字并报教务处批准；</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 开课后一律不再办理选修课程的更改。</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131" w:name="_Toc295991836"/>
      <w:r>
        <w:rPr>
          <w:rFonts w:hint="eastAsia" w:ascii="仿宋_GB2312" w:hAnsi="仿宋_GB2312" w:eastAsia="仿宋_GB2312" w:cs="仿宋_GB2312"/>
          <w:kern w:val="2"/>
          <w:sz w:val="28"/>
          <w:szCs w:val="28"/>
          <w:highlight w:val="none"/>
          <w:lang w:val="en-US" w:eastAsia="zh-CN" w:bidi="ar-SA"/>
        </w:rPr>
        <w:t>五、通识教育选修课的教学管理</w:t>
      </w:r>
      <w:bookmarkEnd w:id="131"/>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（一）通识教育选修课在教学环节管理和质量监控上应和专业必修课程一样严格要求，统一按照学校有关规定，执行教学环节管理。</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（二）各二级学院组织教研活动，内容有：</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 组织试讲和常规听课，统筹实践教学和课程考核的方法要求；</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 组织对期末教学的考核管理、质量分析和有关教学文件的归档，保持与教师的经常性联系；</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 组织对教师的学期教学情况进行检查、评价和小结。</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（三）课程所属二级学院负责对本单位所有通识教育选修课教师的教学环节进行督查：</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 检查教学文件、备课的完备情况；</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 组织相互听课，督查教学进度、教学手段运用和教学效果情况；</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 负责开课设课的初审，负责课程的调停课、课时统计等日常管理，负责对教学事故进行调查并提供处理建议；</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 组织教学质量检查。</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（四）教务处对通识教育选修课教学情况作规范要求、听课督导、专项检查和总体评价。</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教务处对通识教育选修课的开课设课、调停课的审批和课程建设审批、教学事故的处理有最终决定权。</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通识教育选修课在教学考核上与专业必修课教学考核要求等同。对学生成绩的评定有标准、有记录，在课程成绩评定的同时要作期末考核成绩的分析。通识教育选修课的考核形式有闭卷考查、开卷考查、大作业或小论文考查、无卷面技能考核和平时作业综合考查等；教师应在课程标准中明确规定，便于教学检查和考核。通识教育选修课的考核一般由任课教师负责组织，课程所属二级学院负责协调。</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（六）学生的通识教育选修课成绩应在60分以上才能取得相应学分。</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（七）通识教育选修课一般不组织补考。</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132" w:name="_Toc295991838"/>
      <w:r>
        <w:rPr>
          <w:rFonts w:hint="eastAsia" w:ascii="仿宋_GB2312" w:hAnsi="仿宋_GB2312" w:eastAsia="仿宋_GB2312" w:cs="仿宋_GB2312"/>
          <w:kern w:val="2"/>
          <w:sz w:val="28"/>
          <w:szCs w:val="28"/>
          <w:highlight w:val="none"/>
          <w:lang w:val="en-US" w:eastAsia="zh-CN" w:bidi="ar-SA"/>
        </w:rPr>
        <w:t>六、附 则</w:t>
      </w:r>
      <w:bookmarkEnd w:id="132"/>
    </w:p>
    <w:p>
      <w:pPr>
        <w:pageBreakBefore w:val="0"/>
        <w:widowControl/>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本规定自颁布之日起正式实施，由上海电子信息职业技术学院教务处负责解释。</w:t>
      </w:r>
    </w:p>
    <w:p>
      <w:pPr>
        <w:pageBreakBefore w:val="0"/>
        <w:topLinePunct w:val="0"/>
        <w:bidi w:val="0"/>
        <w:spacing w:line="360" w:lineRule="auto"/>
        <w:ind w:firstLine="560" w:firstLineChars="200"/>
        <w:jc w:val="left"/>
        <w:outlineLvl w:val="9"/>
        <w:rPr>
          <w:rFonts w:hint="eastAsia" w:ascii="仿宋" w:hAnsi="仿宋" w:eastAsia="仿宋" w:cs="仿宋"/>
          <w:color w:val="000000"/>
          <w:kern w:val="0"/>
          <w:sz w:val="28"/>
          <w:szCs w:val="28"/>
        </w:rPr>
      </w:pPr>
    </w:p>
    <w:p>
      <w:pPr>
        <w:pageBreakBefore w:val="0"/>
        <w:topLinePunct w:val="0"/>
        <w:bidi w:val="0"/>
        <w:spacing w:line="360" w:lineRule="auto"/>
        <w:ind w:firstLine="560" w:firstLineChars="200"/>
        <w:jc w:val="left"/>
        <w:outlineLvl w:val="9"/>
        <w:rPr>
          <w:rFonts w:hint="eastAsia" w:ascii="仿宋" w:hAnsi="仿宋" w:eastAsia="仿宋" w:cs="仿宋"/>
          <w:color w:val="000000"/>
          <w:kern w:val="0"/>
          <w:sz w:val="28"/>
          <w:szCs w:val="28"/>
        </w:rPr>
      </w:pPr>
    </w:p>
    <w:p>
      <w:pPr>
        <w:pageBreakBefore w:val="0"/>
        <w:topLinePunct w:val="0"/>
        <w:bidi w:val="0"/>
        <w:spacing w:line="360" w:lineRule="auto"/>
        <w:ind w:firstLine="560" w:firstLineChars="200"/>
        <w:jc w:val="left"/>
        <w:outlineLvl w:val="9"/>
        <w:rPr>
          <w:rFonts w:hint="eastAsia" w:ascii="仿宋" w:hAnsi="仿宋" w:eastAsia="仿宋" w:cs="仿宋"/>
          <w:color w:val="000000"/>
          <w:kern w:val="0"/>
          <w:sz w:val="28"/>
          <w:szCs w:val="28"/>
        </w:rPr>
      </w:pPr>
    </w:p>
    <w:p>
      <w:pPr>
        <w:pageBreakBefore w:val="0"/>
        <w:topLinePunct w:val="0"/>
        <w:bidi w:val="0"/>
        <w:spacing w:line="360" w:lineRule="auto"/>
        <w:ind w:firstLine="560" w:firstLineChars="200"/>
        <w:jc w:val="left"/>
        <w:outlineLvl w:val="9"/>
        <w:rPr>
          <w:rFonts w:hint="eastAsia" w:ascii="仿宋" w:hAnsi="仿宋" w:eastAsia="仿宋" w:cs="仿宋"/>
          <w:color w:val="000000"/>
          <w:kern w:val="0"/>
          <w:sz w:val="28"/>
          <w:szCs w:val="28"/>
        </w:rPr>
      </w:pPr>
    </w:p>
    <w:p>
      <w:pPr>
        <w:pageBreakBefore w:val="0"/>
        <w:topLinePunct w:val="0"/>
        <w:bidi w:val="0"/>
        <w:spacing w:line="360" w:lineRule="auto"/>
        <w:ind w:firstLine="560" w:firstLineChars="200"/>
        <w:jc w:val="left"/>
        <w:outlineLvl w:val="9"/>
        <w:rPr>
          <w:rFonts w:hint="eastAsia" w:ascii="仿宋" w:hAnsi="仿宋" w:eastAsia="仿宋" w:cs="仿宋"/>
          <w:color w:val="000000"/>
          <w:kern w:val="0"/>
          <w:sz w:val="28"/>
          <w:szCs w:val="28"/>
        </w:rPr>
      </w:pPr>
    </w:p>
    <w:p>
      <w:pPr>
        <w:pageBreakBefore w:val="0"/>
        <w:topLinePunct w:val="0"/>
        <w:bidi w:val="0"/>
        <w:spacing w:line="360" w:lineRule="auto"/>
        <w:ind w:firstLine="560" w:firstLineChars="200"/>
        <w:jc w:val="left"/>
        <w:outlineLvl w:val="9"/>
        <w:rPr>
          <w:rFonts w:hint="eastAsia" w:ascii="仿宋" w:hAnsi="仿宋" w:eastAsia="仿宋" w:cs="仿宋"/>
          <w:color w:val="000000"/>
          <w:kern w:val="0"/>
          <w:sz w:val="28"/>
          <w:szCs w:val="28"/>
        </w:rPr>
      </w:pPr>
    </w:p>
    <w:p>
      <w:pPr>
        <w:pageBreakBefore w:val="0"/>
        <w:topLinePunct w:val="0"/>
        <w:bidi w:val="0"/>
        <w:spacing w:line="360" w:lineRule="auto"/>
        <w:ind w:firstLine="560" w:firstLineChars="200"/>
        <w:jc w:val="left"/>
        <w:outlineLvl w:val="9"/>
        <w:rPr>
          <w:rFonts w:hint="eastAsia" w:ascii="仿宋" w:hAnsi="仿宋" w:eastAsia="仿宋" w:cs="仿宋"/>
          <w:color w:val="000000"/>
          <w:kern w:val="0"/>
          <w:sz w:val="28"/>
          <w:szCs w:val="28"/>
        </w:rPr>
      </w:pPr>
    </w:p>
    <w:p>
      <w:pPr>
        <w:pageBreakBefore w:val="0"/>
        <w:topLinePunct w:val="0"/>
        <w:bidi w:val="0"/>
        <w:spacing w:line="360" w:lineRule="auto"/>
        <w:ind w:firstLine="560" w:firstLineChars="200"/>
        <w:jc w:val="left"/>
        <w:outlineLvl w:val="9"/>
        <w:rPr>
          <w:rFonts w:hint="eastAsia" w:ascii="仿宋" w:hAnsi="仿宋" w:eastAsia="仿宋" w:cs="仿宋"/>
          <w:color w:val="000000"/>
          <w:kern w:val="0"/>
          <w:sz w:val="28"/>
          <w:szCs w:val="28"/>
        </w:rPr>
      </w:pPr>
    </w:p>
    <w:p>
      <w:pPr>
        <w:pageBreakBefore w:val="0"/>
        <w:topLinePunct w:val="0"/>
        <w:bidi w:val="0"/>
        <w:spacing w:line="360" w:lineRule="auto"/>
        <w:ind w:firstLine="560" w:firstLineChars="200"/>
        <w:jc w:val="left"/>
        <w:outlineLvl w:val="9"/>
        <w:rPr>
          <w:rFonts w:hint="eastAsia" w:ascii="仿宋" w:hAnsi="仿宋" w:eastAsia="仿宋" w:cs="仿宋"/>
          <w:color w:val="000000"/>
          <w:kern w:val="0"/>
          <w:sz w:val="28"/>
          <w:szCs w:val="28"/>
        </w:rPr>
      </w:pPr>
    </w:p>
    <w:p>
      <w:pPr>
        <w:pageBreakBefore w:val="0"/>
        <w:topLinePunct w:val="0"/>
        <w:bidi w:val="0"/>
        <w:spacing w:before="312" w:beforeLines="100"/>
        <w:ind w:right="-57" w:rightChars="-27"/>
        <w:jc w:val="both"/>
        <w:outlineLvl w:val="9"/>
        <w:rPr>
          <w:rFonts w:hint="eastAsia" w:ascii="华文中宋" w:hAnsi="华文中宋" w:eastAsia="华文中宋" w:cs="Times New Roman"/>
          <w:b/>
          <w:color w:val="FF0000"/>
          <w:spacing w:val="10"/>
          <w:sz w:val="56"/>
          <w:szCs w:val="56"/>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8〕20</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Lines="50"/>
        <w:jc w:val="center"/>
        <w:textAlignment w:val="auto"/>
        <w:outlineLvl w:val="0"/>
        <w:rPr>
          <w:rFonts w:hint="eastAsia" w:ascii="黑体" w:hAnsi="黑体" w:eastAsia="黑体" w:cs="黑体"/>
          <w:b/>
          <w:bCs/>
          <w:color w:val="000000"/>
          <w:sz w:val="32"/>
          <w:szCs w:val="32"/>
        </w:rPr>
      </w:pPr>
      <w:bookmarkStart w:id="133" w:name="_Toc16170"/>
      <w:r>
        <w:rPr>
          <w:rFonts w:hint="eastAsia" w:ascii="黑体" w:hAnsi="黑体" w:eastAsia="黑体" w:cs="黑体"/>
          <w:b/>
          <w:sz w:val="36"/>
          <w:szCs w:val="36"/>
        </w:rPr>
        <w:t>关于印</w:t>
      </w:r>
      <w:r>
        <w:rPr>
          <w:rFonts w:hint="eastAsia" w:ascii="黑体" w:hAnsi="黑体" w:eastAsia="黑体" w:cs="黑体"/>
          <w:b/>
          <w:kern w:val="0"/>
          <w:sz w:val="36"/>
          <w:szCs w:val="36"/>
        </w:rPr>
        <w:t>发《上海电子信息</w:t>
      </w:r>
      <w:r>
        <w:rPr>
          <w:rFonts w:hint="eastAsia" w:ascii="黑体" w:hAnsi="黑体" w:eastAsia="黑体" w:cs="黑体"/>
          <w:b/>
          <w:sz w:val="36"/>
          <w:szCs w:val="36"/>
        </w:rPr>
        <w:t>职业技术学院课程复读选课管理办法》的通知</w:t>
      </w:r>
      <w:bookmarkEnd w:id="133"/>
    </w:p>
    <w:p>
      <w:pPr>
        <w:pageBreakBefore w:val="0"/>
        <w:topLinePunct w:val="0"/>
        <w:bidi w:val="0"/>
        <w:spacing w:beforeLines="100"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ind w:firstLine="560" w:firstLineChars="200"/>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现将《上海电子信息职业技术学院课程复读选课管理办</w:t>
      </w:r>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法》印发给你们，请结合本部门工作实际，认真研究执行。</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ind w:firstLine="420"/>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ind w:firstLine="420"/>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ind w:firstLine="420"/>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ind w:firstLine="420"/>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附件：上海电子信息职业技术学院课程复读选课管理办法                               </w:t>
      </w:r>
    </w:p>
    <w:p>
      <w:pPr>
        <w:pageBreakBefore w:val="0"/>
        <w:topLinePunct w:val="0"/>
        <w:bidi w:val="0"/>
        <w:spacing w:line="56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p>
    <w:p>
      <w:pPr>
        <w:pageBreakBefore w:val="0"/>
        <w:topLinePunct w:val="0"/>
        <w:bidi w:val="0"/>
        <w:spacing w:line="560" w:lineRule="exact"/>
        <w:ind w:right="480" w:firstLine="3780" w:firstLineChars="13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2018年1月19日</w:t>
      </w:r>
    </w:p>
    <w:p>
      <w:pPr>
        <w:pageBreakBefore w:val="0"/>
        <w:topLinePunct w:val="0"/>
        <w:bidi w:val="0"/>
        <w:spacing w:line="500" w:lineRule="exact"/>
        <w:ind w:firstLine="640" w:firstLineChars="200"/>
        <w:outlineLvl w:val="9"/>
        <w:rPr>
          <w:rFonts w:hint="eastAsia" w:ascii="仿宋_GB2312" w:eastAsia="仿宋_GB2312" w:cs="宋体"/>
          <w:color w:val="000000"/>
          <w:sz w:val="32"/>
          <w:szCs w:val="32"/>
        </w:rPr>
      </w:pPr>
    </w:p>
    <w:p>
      <w:pPr>
        <w:pageBreakBefore w:val="0"/>
        <w:topLinePunct w:val="0"/>
        <w:bidi w:val="0"/>
        <w:spacing w:line="500" w:lineRule="exact"/>
        <w:ind w:firstLine="640" w:firstLineChars="200"/>
        <w:outlineLvl w:val="9"/>
        <w:rPr>
          <w:rFonts w:hint="eastAsia" w:ascii="仿宋_GB2312" w:eastAsia="仿宋_GB2312" w:cs="宋体"/>
          <w:color w:val="000000"/>
          <w:sz w:val="32"/>
          <w:szCs w:val="32"/>
        </w:rPr>
      </w:pPr>
    </w:p>
    <w:p>
      <w:pPr>
        <w:pageBreakBefore w:val="0"/>
        <w:topLinePunct w:val="0"/>
        <w:bidi w:val="0"/>
        <w:spacing w:line="500" w:lineRule="exact"/>
        <w:ind w:firstLine="640" w:firstLineChars="200"/>
        <w:outlineLvl w:val="9"/>
        <w:rPr>
          <w:rFonts w:hint="eastAsia" w:ascii="仿宋_GB2312" w:eastAsia="仿宋_GB2312" w:cs="宋体"/>
          <w:color w:val="000000"/>
          <w:sz w:val="32"/>
          <w:szCs w:val="32"/>
        </w:rPr>
      </w:pPr>
    </w:p>
    <w:p>
      <w:pPr>
        <w:pageBreakBefore w:val="0"/>
        <w:topLinePunct w:val="0"/>
        <w:bidi w:val="0"/>
        <w:spacing w:line="500" w:lineRule="exact"/>
        <w:ind w:firstLine="640" w:firstLineChars="200"/>
        <w:outlineLvl w:val="9"/>
        <w:rPr>
          <w:rFonts w:hint="eastAsia" w:ascii="仿宋_GB2312" w:eastAsia="仿宋_GB2312" w:cs="宋体"/>
          <w:color w:val="000000"/>
          <w:sz w:val="32"/>
          <w:szCs w:val="32"/>
        </w:rPr>
      </w:pPr>
    </w:p>
    <w:p>
      <w:pPr>
        <w:pageBreakBefore w:val="0"/>
        <w:topLinePunct w:val="0"/>
        <w:bidi w:val="0"/>
        <w:spacing w:line="500" w:lineRule="exact"/>
        <w:ind w:firstLine="640" w:firstLineChars="200"/>
        <w:outlineLvl w:val="9"/>
        <w:rPr>
          <w:rFonts w:hint="eastAsia" w:ascii="仿宋_GB2312" w:eastAsia="仿宋_GB2312" w:cs="宋体"/>
          <w:color w:val="000000"/>
          <w:sz w:val="32"/>
          <w:szCs w:val="32"/>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bookmarkStart w:id="134" w:name="_Toc5607"/>
      <w:bookmarkStart w:id="135" w:name="_Toc13956"/>
      <w:bookmarkStart w:id="136" w:name="_Toc27402"/>
      <w:bookmarkStart w:id="137" w:name="_Toc15702"/>
      <w:r>
        <w:rPr>
          <w:rFonts w:hint="eastAsia" w:ascii="黑体" w:hAnsi="黑体" w:eastAsia="黑体" w:cs="黑体"/>
          <w:b/>
          <w:bCs/>
          <w:sz w:val="36"/>
          <w:szCs w:val="36"/>
        </w:rPr>
        <w:t>课程复读选课管理办法</w:t>
      </w:r>
      <w:bookmarkEnd w:id="134"/>
      <w:bookmarkEnd w:id="135"/>
      <w:bookmarkEnd w:id="136"/>
      <w:bookmarkEnd w:id="137"/>
    </w:p>
    <w:p>
      <w:pPr>
        <w:pageBreakBefore w:val="0"/>
        <w:numPr>
          <w:ilvl w:val="0"/>
          <w:numId w:val="0"/>
        </w:numPr>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一、复读形式</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课程复读设单独组班复读和插班复读两种形式。</w:t>
      </w:r>
    </w:p>
    <w:p>
      <w:pPr>
        <w:pageBreakBefore w:val="0"/>
        <w:numPr>
          <w:ilvl w:val="0"/>
          <w:numId w:val="0"/>
        </w:numPr>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二、复读范畴</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（一）单列课程的大型作业、课程设计、实习、实训与毕业实习等实践性教学环节考核不及格不得补考，必须复读。</w:t>
      </w:r>
    </w:p>
    <w:p>
      <w:pPr>
        <w:pStyle w:val="34"/>
        <w:pageBreakBefore w:val="0"/>
        <w:topLinePunct w:val="0"/>
        <w:bidi w:val="0"/>
        <w:spacing w:beforeAutospacing="0" w:afterAutospacing="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（二）学生考核不及格的课程，经补考仍不及格，必须复读。</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（三）已修读并已获得学分的课程不得再次复读。</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（四）必修课程考核不及格必须复读。选修课程不及格可以复读，也可以改选人才培养方案内的其它选修课程，但必须达到专业人才培养方案规定的学分数。</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三、复读选课与开课</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（一）为保证正常课程的学习，学生在一学期内课程复读原则上不超过2门。</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（二）一学期内同一课程申请复读的学生在30名或30名以上，由学校安排单独组班复读，各教学班的容量一般以48人为限。</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（三）学生可根据自身需要复读的课程选择插班复读或单独组班复读，若本学期该课程无在开的，学生应于后续学期办理相应课程的复读。</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四、注 册</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学生需按照学校复读选课通知要求，在规定的时间内完成选课、缴费、注册手续。</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五、教学与考核</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（一）插班复读的教学、考核根据所插班级的相关进程同步进行。</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（二）单独组班复读课程的教学，原则上安排在周二、周四9-12节课进行。</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六、复读选课流程</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（一）教务处于每学期期末发布下学期复读选课的通知，学生需关注选课、缴费、注册等相关进程的时间安排和具体要求。</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（二）学生在学期补考结束后登录综合教务管理系统查看自己是否有需复读的课程。</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（三）复读选课采用网上选课的方式，学生登录综合教务管理系统选课。</w:t>
      </w:r>
    </w:p>
    <w:p>
      <w:pPr>
        <w:pStyle w:val="34"/>
        <w:pageBreakBefore w:val="0"/>
        <w:topLinePunct w:val="0"/>
        <w:bidi w:val="0"/>
        <w:spacing w:beforeAutospacing="0" w:afterAutospacing="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（四）学生在选课结束后需按照复读选课通知规定缴费、注册。</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七、附 则</w:t>
      </w:r>
    </w:p>
    <w:p>
      <w:pPr>
        <w:pageBreakBefore w:val="0"/>
        <w:topLinePunct w:val="0"/>
        <w:bidi w:val="0"/>
        <w:spacing w:line="360" w:lineRule="auto"/>
        <w:ind w:firstLine="560" w:firstLineChars="200"/>
        <w:outlineLvl w:val="9"/>
        <w:rPr>
          <w:rFonts w:hint="eastAsia" w:ascii="仿宋_GB2312" w:hAnsi="仿宋_GB2312" w:eastAsia="仿宋_GB2312" w:cs="仿宋_GB2312"/>
          <w:color w:val="0000FF"/>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本办法自颁布之日起正式实施，由上海电子信息职业技术学院教务处负责解释。</w:t>
      </w:r>
    </w:p>
    <w:p>
      <w:pPr>
        <w:pageBreakBefore w:val="0"/>
        <w:topLinePunct w:val="0"/>
        <w:bidi w:val="0"/>
        <w:spacing w:line="20" w:lineRule="exact"/>
        <w:outlineLvl w:val="9"/>
        <w:rPr>
          <w:rFonts w:eastAsia="仿宋_GB2312"/>
          <w:color w:val="0000FF"/>
          <w:sz w:val="32"/>
          <w:szCs w:val="32"/>
        </w:rPr>
      </w:pPr>
    </w:p>
    <w:p>
      <w:pPr>
        <w:pageBreakBefore w:val="0"/>
        <w:topLinePunct w:val="0"/>
        <w:bidi w:val="0"/>
        <w:jc w:val="center"/>
        <w:outlineLvl w:val="9"/>
        <w:rPr>
          <w:sz w:val="24"/>
        </w:rPr>
      </w:pPr>
      <w:r>
        <w:rPr>
          <w:rFonts w:hint="eastAsia" w:ascii="宋体" w:hAnsi="宋体"/>
          <w:bCs/>
          <w:color w:val="0000FF"/>
          <w:szCs w:val="21"/>
        </w:rPr>
        <w:br w:type="page"/>
      </w:r>
      <w:bookmarkStart w:id="138" w:name="_Toc6727"/>
      <w:bookmarkStart w:id="139" w:name="_Toc19158"/>
      <w:bookmarkStart w:id="140" w:name="_Toc2764"/>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8〕24</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kinsoku/>
        <w:wordWrap/>
        <w:overflowPunct/>
        <w:topLinePunct w:val="0"/>
        <w:autoSpaceDE/>
        <w:autoSpaceDN/>
        <w:bidi w:val="0"/>
        <w:adjustRightInd/>
        <w:snapToGrid/>
        <w:spacing w:before="312" w:beforeLines="100"/>
        <w:ind w:firstLine="420"/>
        <w:jc w:val="center"/>
        <w:textAlignment w:val="auto"/>
        <w:outlineLvl w:val="0"/>
        <w:rPr>
          <w:rFonts w:hint="eastAsia" w:ascii="黑体" w:hAnsi="黑体" w:eastAsia="黑体" w:cs="黑体"/>
          <w:b/>
          <w:sz w:val="36"/>
          <w:szCs w:val="36"/>
        </w:rPr>
      </w:pPr>
      <w:bookmarkStart w:id="141" w:name="_Toc17970"/>
      <w:r>
        <w:rPr>
          <w:rFonts w:hint="eastAsia" w:ascii="黑体" w:hAnsi="黑体" w:eastAsia="黑体" w:cs="黑体"/>
          <w:b/>
          <w:sz w:val="36"/>
          <w:szCs w:val="36"/>
        </w:rPr>
        <w:t>关于印</w:t>
      </w:r>
      <w:r>
        <w:rPr>
          <w:rFonts w:hint="eastAsia" w:ascii="黑体" w:hAnsi="黑体" w:eastAsia="黑体" w:cs="黑体"/>
          <w:b/>
          <w:kern w:val="0"/>
          <w:sz w:val="36"/>
          <w:szCs w:val="36"/>
        </w:rPr>
        <w:t>发《上海电子信息</w:t>
      </w:r>
      <w:r>
        <w:rPr>
          <w:rFonts w:hint="eastAsia" w:ascii="黑体" w:hAnsi="黑体" w:eastAsia="黑体" w:cs="黑体"/>
          <w:b/>
          <w:sz w:val="36"/>
          <w:szCs w:val="36"/>
        </w:rPr>
        <w:t>职业技术学院“双证书”制度管理办法》的通知</w:t>
      </w:r>
      <w:bookmarkEnd w:id="141"/>
    </w:p>
    <w:p>
      <w:pPr>
        <w:pageBreakBefore w:val="0"/>
        <w:topLinePunct w:val="0"/>
        <w:bidi w:val="0"/>
        <w:spacing w:before="312" w:beforeLines="100"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Style w:val="34"/>
        <w:pageBreakBefore w:val="0"/>
        <w:topLinePunct w:val="0"/>
        <w:bidi w:val="0"/>
        <w:spacing w:before="0" w:beforeAutospacing="0" w:after="0" w:afterAutospacing="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现将《上海电子信息职业技术学院“双证书”制度管理办法》印发给你们，请结合本部门工作实际，认真研究执行。</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p>
    <w:p>
      <w:pPr>
        <w:pStyle w:val="34"/>
        <w:pageBreakBefore w:val="0"/>
        <w:topLinePunct w:val="0"/>
        <w:bidi w:val="0"/>
        <w:spacing w:before="0" w:beforeAutospacing="0" w:after="0" w:afterAutospacing="0"/>
        <w:ind w:firstLine="560" w:firstLineChars="200"/>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附件：上海电子信息职业技术学院“双证书”制度管理办法</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p>
    <w:p>
      <w:pPr>
        <w:pageBreakBefore w:val="0"/>
        <w:topLinePunct w:val="0"/>
        <w:bidi w:val="0"/>
        <w:spacing w:line="520" w:lineRule="exact"/>
        <w:ind w:right="480"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2018年1月19日</w:t>
      </w:r>
    </w:p>
    <w:p>
      <w:pPr>
        <w:pageBreakBefore w:val="0"/>
        <w:topLinePunct w:val="0"/>
        <w:bidi w:val="0"/>
        <w:spacing w:line="520" w:lineRule="exact"/>
        <w:ind w:firstLine="640" w:firstLineChars="200"/>
        <w:outlineLvl w:val="9"/>
        <w:rPr>
          <w:rFonts w:hint="eastAsia" w:ascii="仿宋_GB2312" w:eastAsia="仿宋_GB2312" w:cs="宋体"/>
          <w:color w:val="000000"/>
          <w:sz w:val="32"/>
          <w:szCs w:val="32"/>
        </w:rPr>
      </w:pPr>
    </w:p>
    <w:p>
      <w:pPr>
        <w:pageBreakBefore w:val="0"/>
        <w:topLinePunct w:val="0"/>
        <w:bidi w:val="0"/>
        <w:spacing w:line="520" w:lineRule="exact"/>
        <w:ind w:firstLine="640" w:firstLineChars="200"/>
        <w:outlineLvl w:val="9"/>
        <w:rPr>
          <w:rFonts w:hint="eastAsia" w:ascii="仿宋_GB2312" w:eastAsia="仿宋_GB2312" w:cs="宋体"/>
          <w:color w:val="000000"/>
          <w:sz w:val="32"/>
          <w:szCs w:val="32"/>
        </w:rPr>
      </w:pPr>
    </w:p>
    <w:p>
      <w:pPr>
        <w:pStyle w:val="34"/>
        <w:pageBreakBefore w:val="0"/>
        <w:topLinePunct w:val="0"/>
        <w:bidi w:val="0"/>
        <w:spacing w:before="0" w:beforeAutospacing="0" w:after="0" w:afterAutospacing="0"/>
        <w:jc w:val="center"/>
        <w:outlineLvl w:val="9"/>
        <w:rPr>
          <w:rFonts w:hint="eastAsia" w:ascii="仿宋" w:hAnsi="仿宋" w:eastAsia="仿宋" w:cs="仿宋"/>
          <w:b/>
          <w:sz w:val="32"/>
          <w:szCs w:val="32"/>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“双证书”制度管理办法</w:t>
      </w:r>
      <w:bookmarkEnd w:id="138"/>
      <w:bookmarkEnd w:id="139"/>
      <w:bookmarkEnd w:id="140"/>
    </w:p>
    <w:p>
      <w:pPr>
        <w:pStyle w:val="34"/>
        <w:pageBreakBefore w:val="0"/>
        <w:topLinePunct w:val="0"/>
        <w:bidi w:val="0"/>
        <w:spacing w:before="0" w:beforeAutospacing="0" w:after="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为了促进高等职业教育的改革与发展，增强学生的职业素质和实践能力，实现一专多能，拓宽就业渠道，提高毕业生的就业竞争力，根据《教育部关于全面提高高等职业教育教学质量的若干意见》（教高［2006］16 号）和《教育部关于加快高等职业教育改革 促进高等职业院校毕业生就业的通知》（教高［2009］3号）的精神，特制定上海电子信息职业技术学院学生“双证书”制度管理办法。</w:t>
      </w:r>
    </w:p>
    <w:p>
      <w:pPr>
        <w:pStyle w:val="34"/>
        <w:pageBreakBefore w:val="0"/>
        <w:topLinePunct w:val="0"/>
        <w:bidi w:val="0"/>
        <w:spacing w:before="0" w:beforeAutospacing="0" w:after="0" w:afterAutospacing="0"/>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一、指导思想</w:t>
      </w:r>
    </w:p>
    <w:p>
      <w:pPr>
        <w:pStyle w:val="34"/>
        <w:pageBreakBefore w:val="0"/>
        <w:topLinePunct w:val="0"/>
        <w:bidi w:val="0"/>
        <w:spacing w:before="0" w:beforeAutospacing="0" w:after="0" w:afterAutospacing="0" w:line="360" w:lineRule="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高等职业教育推行“双证书”制度，是提高毕业生职业素质和就业竞争力，实现职业教育与劳动就业对接的重要举措。职业资格证书和技能等级证书是劳动者就业的通行证。在获得学历证书的同时获得职业资格证书或技能等级证书，既是对高职院校毕业生的基本要求，也是学校贯彻落实《劳动法》和《职业教育法》，实施职业准入制度，深化教学改革，提高人才培养质量，提高毕业生就业质量的有效措施。</w:t>
      </w:r>
    </w:p>
    <w:p>
      <w:pPr>
        <w:pStyle w:val="34"/>
        <w:pageBreakBefore w:val="0"/>
        <w:topLinePunct w:val="0"/>
        <w:bidi w:val="0"/>
        <w:spacing w:before="0" w:beforeAutospacing="0" w:after="0" w:afterAutospacing="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二、“双证书”制度的涵义</w:t>
      </w:r>
    </w:p>
    <w:p>
      <w:pPr>
        <w:pStyle w:val="34"/>
        <w:pageBreakBefore w:val="0"/>
        <w:topLinePunct w:val="0"/>
        <w:bidi w:val="0"/>
        <w:spacing w:before="0" w:beforeAutospacing="0" w:after="0" w:afterAutospacing="0" w:line="360" w:lineRule="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双证书”制度是指学历文凭和职业资格证书（或技能等级证书）制度。即在获得学历证书的同时获得职业资格证书或技能等级证书。高等职业教育各专业学生在领取毕业证书前必须至少取得一种与所学专业相关的职业资格证书或技能等级证书。</w:t>
      </w:r>
    </w:p>
    <w:p>
      <w:pPr>
        <w:pStyle w:val="34"/>
        <w:pageBreakBefore w:val="0"/>
        <w:topLinePunct w:val="0"/>
        <w:bidi w:val="0"/>
        <w:spacing w:before="0" w:beforeAutospacing="0" w:after="0" w:afterAutospacing="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三、组织与考核</w:t>
      </w:r>
    </w:p>
    <w:p>
      <w:pPr>
        <w:pStyle w:val="34"/>
        <w:pageBreakBefore w:val="0"/>
        <w:topLinePunct w:val="0"/>
        <w:bidi w:val="0"/>
        <w:spacing w:before="0" w:beforeAutospacing="0" w:after="0" w:afterAutospacing="0" w:line="360" w:lineRule="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一）经上海市人力资源和社会保障局批准，学校设立职业技能鉴定所，在学校分管校长的领导下，负责职业技能培训鉴定项目咨询、指导、协调、申报、考核等工作,行政关系上隶属于继续教育学院。各二级学院应积极配合，做好职业技能鉴定的培训、辅导、考证以及资料的存档工作。</w:t>
      </w:r>
    </w:p>
    <w:p>
      <w:pPr>
        <w:pStyle w:val="34"/>
        <w:pageBreakBefore w:val="0"/>
        <w:topLinePunct w:val="0"/>
        <w:bidi w:val="0"/>
        <w:spacing w:before="0" w:beforeAutospacing="0" w:after="0" w:afterAutospacing="0" w:line="360" w:lineRule="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二）各二级学院也可以组织学生参加校外职业技能培训鉴定机构或行业培训鉴定机构开展的职业技能培训、辅导和考证工作。在与校外培训鉴定机构或行业培训鉴定机构合作开展培训和考证之前必须报继续教育学院备案，由继续教育学院报学校研究同意后方可实施。</w:t>
      </w:r>
    </w:p>
    <w:p>
      <w:pPr>
        <w:pStyle w:val="34"/>
        <w:pageBreakBefore w:val="0"/>
        <w:topLinePunct w:val="0"/>
        <w:bidi w:val="0"/>
        <w:spacing w:before="0" w:beforeAutospacing="0" w:after="0" w:afterAutospacing="0" w:line="360" w:lineRule="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（三）各二级学院应从一年级学生开始做好政策的宣传和落实工作，并由分管领导负责，鼓励学生获取多种职业资格证书或技能等级证书。</w:t>
      </w:r>
    </w:p>
    <w:p>
      <w:pPr>
        <w:pStyle w:val="34"/>
        <w:pageBreakBefore w:val="0"/>
        <w:topLinePunct w:val="0"/>
        <w:bidi w:val="0"/>
        <w:spacing w:before="0" w:beforeAutospacing="0" w:after="0" w:afterAutospacing="0"/>
        <w:ind w:firstLine="42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四、鉴定及培训费用</w:t>
      </w:r>
    </w:p>
    <w:p>
      <w:pPr>
        <w:pStyle w:val="34"/>
        <w:pageBreakBefore w:val="0"/>
        <w:topLinePunct w:val="0"/>
        <w:bidi w:val="0"/>
        <w:spacing w:before="0" w:beforeAutospacing="0" w:after="0" w:afterAutospacing="0" w:line="360" w:lineRule="auto"/>
        <w:ind w:firstLine="56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（一）报考后鉴定费用由学生承担，收费标准严格按照上海市物价局有关规定执行。</w:t>
      </w:r>
    </w:p>
    <w:p>
      <w:pPr>
        <w:pStyle w:val="34"/>
        <w:pageBreakBefore w:val="0"/>
        <w:topLinePunct w:val="0"/>
        <w:bidi w:val="0"/>
        <w:spacing w:before="0" w:beforeAutospacing="0" w:after="0" w:afterAutospacing="0" w:line="360" w:lineRule="auto"/>
        <w:ind w:firstLine="56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（二）继续教育学院与各二级学院共同组织的考前培训或辅导，学生可以自愿参加，并承担相应的培训费用和教材资料费。收费标准严格按照上海市物价局的有关规定执行。</w:t>
      </w:r>
    </w:p>
    <w:p>
      <w:pPr>
        <w:pStyle w:val="34"/>
        <w:pageBreakBefore w:val="0"/>
        <w:topLinePunct w:val="0"/>
        <w:bidi w:val="0"/>
        <w:spacing w:before="0" w:beforeAutospacing="0" w:after="0" w:afterAutospacing="0"/>
        <w:ind w:firstLine="42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五、证书发放及管理</w:t>
      </w:r>
    </w:p>
    <w:p>
      <w:pPr>
        <w:pStyle w:val="34"/>
        <w:pageBreakBefore w:val="0"/>
        <w:topLinePunct w:val="0"/>
        <w:bidi w:val="0"/>
        <w:spacing w:before="0" w:beforeAutospacing="0" w:after="0" w:afterAutospacing="0" w:line="360" w:lineRule="auto"/>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证书发放。参加职业资格鉴定的学生，理论考试和操作技能考核两项成绩都合格者，按照规定由学校职业技能鉴定所或其他培训鉴定机构等部门申领并发放国家职业资格证书，或行业印制的职业资格证书（或技能等级证书）。</w:t>
      </w:r>
    </w:p>
    <w:p>
      <w:pPr>
        <w:pStyle w:val="34"/>
        <w:pageBreakBefore w:val="0"/>
        <w:topLinePunct w:val="0"/>
        <w:bidi w:val="0"/>
        <w:spacing w:before="0" w:beforeAutospacing="0" w:after="0" w:afterAutospacing="0" w:line="360" w:lineRule="auto"/>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证书管理。技能考核鉴定结束后，由学校职业技能鉴定所将考核后的学生成绩汇总单及证书发放到各二级学院，并做好证书发放签收工作。各二级学院将成绩单及证书复印件以班级为单位报教务处登记备案（含与外校合作考证项目），学生单独参加的社会考试或竞赛获得的职业资格证书或技能等级证书，以二级学院为单位，持证书原件和复印件报教务处登记备案。</w:t>
      </w:r>
    </w:p>
    <w:p>
      <w:pPr>
        <w:pStyle w:val="34"/>
        <w:pageBreakBefore w:val="0"/>
        <w:topLinePunct w:val="0"/>
        <w:bidi w:val="0"/>
        <w:spacing w:before="0" w:beforeAutospacing="0" w:after="0" w:afterAutospacing="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六、配套措施</w:t>
      </w:r>
    </w:p>
    <w:p>
      <w:pPr>
        <w:pStyle w:val="34"/>
        <w:pageBreakBefore w:val="0"/>
        <w:topLinePunct w:val="0"/>
        <w:bidi w:val="0"/>
        <w:spacing w:before="0" w:beforeAutospacing="0" w:after="0" w:afterAutospacing="0" w:line="360" w:lineRule="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各专业实行“双证书”制度，必须制定满足“双证书”教学要求的人才培养方案，即以职业能力培养为中心合理设置课程和教学内容；将专业、课程、教材、实训课等项目的改革同相关职业岗位的技能要求结合起来，将相关职业技能培训、鉴定的科目、教材、实训内容纳入课程体系中。各二级学院每年每专业应召开一次专业建设指导委员会会议，对各专业人才培养方案进行研讨、修订，确保现行的职业资格或技能等级标准融入人才培养方案。</w:t>
      </w:r>
    </w:p>
    <w:p>
      <w:pPr>
        <w:pStyle w:val="34"/>
        <w:pageBreakBefore w:val="0"/>
        <w:topLinePunct w:val="0"/>
        <w:bidi w:val="0"/>
        <w:spacing w:before="0" w:beforeAutospacing="0" w:after="0" w:afterAutospacing="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七、奖惩办法</w:t>
      </w:r>
    </w:p>
    <w:p>
      <w:pPr>
        <w:pStyle w:val="34"/>
        <w:pageBreakBefore w:val="0"/>
        <w:topLinePunct w:val="0"/>
        <w:bidi w:val="0"/>
        <w:spacing w:before="0" w:beforeAutospacing="0" w:after="0" w:afterAutospacing="0" w:line="360" w:lineRule="auto"/>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（一）凡取得职业资格证书或技能等级证书的学生，可申请免修与课程教学标准要求相一致的课程，以进一步拓展“以证代考”的适用范围。</w:t>
      </w:r>
    </w:p>
    <w:p>
      <w:pPr>
        <w:pStyle w:val="34"/>
        <w:pageBreakBefore w:val="0"/>
        <w:topLinePunct w:val="0"/>
        <w:bidi w:val="0"/>
        <w:spacing w:before="0" w:beforeAutospacing="0" w:after="0" w:afterAutospacing="0" w:line="360" w:lineRule="auto"/>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（二）未取得职业资格证书或技能等级证书者，不得参加最后一学年学校综合奖学金评选，不推荐就业，不享受学校其他优惠政策。</w:t>
      </w:r>
    </w:p>
    <w:p>
      <w:pPr>
        <w:pStyle w:val="34"/>
        <w:pageBreakBefore w:val="0"/>
        <w:topLinePunct w:val="0"/>
        <w:bidi w:val="0"/>
        <w:spacing w:before="0" w:beforeAutospacing="0" w:after="0" w:afterAutospacing="0" w:line="360" w:lineRule="auto"/>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（三）各二级学院对于学生技能考证的组织和实施情况作为学校对各二级学院进行考核的重要依据之一。</w:t>
      </w:r>
    </w:p>
    <w:p>
      <w:pPr>
        <w:pStyle w:val="34"/>
        <w:pageBreakBefore w:val="0"/>
        <w:tabs>
          <w:tab w:val="left" w:pos="709"/>
        </w:tabs>
        <w:topLinePunct w:val="0"/>
        <w:bidi w:val="0"/>
        <w:spacing w:before="0" w:beforeAutospacing="0" w:after="0" w:afterAutospacing="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八、附 则</w:t>
      </w:r>
    </w:p>
    <w:p>
      <w:pPr>
        <w:pStyle w:val="34"/>
        <w:pageBreakBefore w:val="0"/>
        <w:topLinePunct w:val="0"/>
        <w:bidi w:val="0"/>
        <w:spacing w:before="0" w:beforeAutospacing="0" w:after="0" w:afterAutospacing="0" w:line="360" w:lineRule="auto"/>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（一）本办法自颁布之日起正式实施，由上海电子信息职业技术学院教务处负责解释。</w:t>
      </w:r>
    </w:p>
    <w:p>
      <w:pPr>
        <w:pStyle w:val="34"/>
        <w:pageBreakBefore w:val="0"/>
        <w:topLinePunct w:val="0"/>
        <w:bidi w:val="0"/>
        <w:spacing w:before="0" w:beforeAutospacing="0" w:after="0" w:afterAutospacing="0" w:line="360" w:lineRule="auto"/>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（二）在本办法实施过程中，如有与上级教育主管部门专门颁发的规定相悖，以上级教育主管部门专门颁发的规定为准。</w:t>
      </w:r>
    </w:p>
    <w:p>
      <w:pPr>
        <w:pStyle w:val="34"/>
        <w:pageBreakBefore w:val="0"/>
        <w:topLinePunct w:val="0"/>
        <w:bidi w:val="0"/>
        <w:spacing w:before="0" w:beforeAutospacing="0" w:after="0" w:afterAutospacing="0" w:line="360" w:lineRule="auto"/>
        <w:ind w:firstLine="560" w:firstLineChars="200"/>
        <w:outlineLvl w:val="9"/>
        <w:rPr>
          <w:rFonts w:hint="eastAsia" w:ascii="仿宋" w:hAnsi="仿宋" w:eastAsia="仿宋" w:cs="仿宋"/>
          <w:sz w:val="28"/>
          <w:szCs w:val="28"/>
        </w:rPr>
      </w:pPr>
    </w:p>
    <w:p>
      <w:pPr>
        <w:pStyle w:val="34"/>
        <w:pageBreakBefore w:val="0"/>
        <w:topLinePunct w:val="0"/>
        <w:bidi w:val="0"/>
        <w:spacing w:before="0" w:beforeAutospacing="0" w:after="0" w:afterAutospacing="0" w:line="360" w:lineRule="auto"/>
        <w:ind w:firstLine="560" w:firstLineChars="200"/>
        <w:outlineLvl w:val="9"/>
        <w:rPr>
          <w:rFonts w:hint="eastAsia" w:ascii="仿宋" w:hAnsi="仿宋" w:eastAsia="仿宋" w:cs="仿宋"/>
          <w:sz w:val="28"/>
          <w:szCs w:val="28"/>
        </w:rPr>
      </w:pPr>
    </w:p>
    <w:p>
      <w:pPr>
        <w:pStyle w:val="34"/>
        <w:pageBreakBefore w:val="0"/>
        <w:topLinePunct w:val="0"/>
        <w:bidi w:val="0"/>
        <w:spacing w:before="0" w:beforeAutospacing="0" w:after="0" w:afterAutospacing="0" w:line="360" w:lineRule="auto"/>
        <w:ind w:firstLine="560" w:firstLineChars="200"/>
        <w:outlineLvl w:val="9"/>
        <w:rPr>
          <w:rFonts w:hint="eastAsia" w:ascii="仿宋" w:hAnsi="仿宋" w:eastAsia="仿宋" w:cs="仿宋"/>
          <w:sz w:val="28"/>
          <w:szCs w:val="28"/>
        </w:rPr>
      </w:pPr>
    </w:p>
    <w:p>
      <w:pPr>
        <w:pStyle w:val="34"/>
        <w:pageBreakBefore w:val="0"/>
        <w:topLinePunct w:val="0"/>
        <w:bidi w:val="0"/>
        <w:spacing w:before="0" w:beforeAutospacing="0" w:after="0" w:afterAutospacing="0" w:line="360" w:lineRule="auto"/>
        <w:ind w:firstLine="560" w:firstLineChars="200"/>
        <w:outlineLvl w:val="9"/>
        <w:rPr>
          <w:rFonts w:hint="eastAsia" w:ascii="仿宋" w:hAnsi="仿宋" w:eastAsia="仿宋" w:cs="仿宋"/>
          <w:sz w:val="28"/>
          <w:szCs w:val="28"/>
        </w:rPr>
      </w:pPr>
    </w:p>
    <w:p>
      <w:pPr>
        <w:pStyle w:val="34"/>
        <w:pageBreakBefore w:val="0"/>
        <w:topLinePunct w:val="0"/>
        <w:bidi w:val="0"/>
        <w:spacing w:before="0" w:beforeAutospacing="0" w:after="0" w:afterAutospacing="0" w:line="360" w:lineRule="auto"/>
        <w:ind w:firstLine="560" w:firstLineChars="200"/>
        <w:outlineLvl w:val="9"/>
        <w:rPr>
          <w:rFonts w:hint="eastAsia" w:ascii="仿宋" w:hAnsi="仿宋" w:eastAsia="仿宋" w:cs="仿宋"/>
          <w:sz w:val="28"/>
          <w:szCs w:val="28"/>
        </w:rPr>
      </w:pPr>
    </w:p>
    <w:p>
      <w:pPr>
        <w:pStyle w:val="34"/>
        <w:pageBreakBefore w:val="0"/>
        <w:topLinePunct w:val="0"/>
        <w:bidi w:val="0"/>
        <w:spacing w:before="0" w:beforeAutospacing="0" w:after="0" w:afterAutospacing="0" w:line="360" w:lineRule="auto"/>
        <w:ind w:firstLine="560" w:firstLineChars="200"/>
        <w:outlineLvl w:val="9"/>
        <w:rPr>
          <w:rFonts w:hint="eastAsia" w:ascii="仿宋" w:hAnsi="仿宋" w:eastAsia="仿宋" w:cs="仿宋"/>
          <w:sz w:val="28"/>
          <w:szCs w:val="28"/>
        </w:rPr>
      </w:pPr>
    </w:p>
    <w:p>
      <w:pPr>
        <w:pStyle w:val="34"/>
        <w:pageBreakBefore w:val="0"/>
        <w:topLinePunct w:val="0"/>
        <w:bidi w:val="0"/>
        <w:spacing w:before="0" w:beforeAutospacing="0" w:after="0" w:afterAutospacing="0" w:line="360" w:lineRule="auto"/>
        <w:ind w:firstLine="560" w:firstLineChars="200"/>
        <w:outlineLvl w:val="9"/>
        <w:rPr>
          <w:rFonts w:hint="eastAsia" w:ascii="仿宋" w:hAnsi="仿宋" w:eastAsia="仿宋" w:cs="仿宋"/>
          <w:sz w:val="28"/>
          <w:szCs w:val="28"/>
        </w:rPr>
      </w:pPr>
    </w:p>
    <w:p>
      <w:pPr>
        <w:pStyle w:val="34"/>
        <w:pageBreakBefore w:val="0"/>
        <w:topLinePunct w:val="0"/>
        <w:bidi w:val="0"/>
        <w:spacing w:before="0" w:beforeAutospacing="0" w:after="0" w:afterAutospacing="0" w:line="360" w:lineRule="auto"/>
        <w:ind w:firstLine="560" w:firstLineChars="200"/>
        <w:outlineLvl w:val="9"/>
        <w:rPr>
          <w:rFonts w:hint="eastAsia" w:ascii="仿宋" w:hAnsi="仿宋" w:eastAsia="仿宋" w:cs="仿宋"/>
          <w:sz w:val="28"/>
          <w:szCs w:val="28"/>
        </w:rPr>
      </w:pPr>
    </w:p>
    <w:p>
      <w:pPr>
        <w:pStyle w:val="34"/>
        <w:pageBreakBefore w:val="0"/>
        <w:topLinePunct w:val="0"/>
        <w:bidi w:val="0"/>
        <w:spacing w:before="0" w:beforeAutospacing="0" w:after="0" w:afterAutospacing="0" w:line="360" w:lineRule="auto"/>
        <w:ind w:firstLine="560" w:firstLineChars="200"/>
        <w:outlineLvl w:val="9"/>
        <w:rPr>
          <w:rFonts w:hint="eastAsia" w:ascii="仿宋" w:hAnsi="仿宋" w:eastAsia="仿宋" w:cs="仿宋"/>
          <w:sz w:val="28"/>
          <w:szCs w:val="28"/>
        </w:rPr>
      </w:pPr>
    </w:p>
    <w:p>
      <w:pPr>
        <w:pStyle w:val="34"/>
        <w:pageBreakBefore w:val="0"/>
        <w:topLinePunct w:val="0"/>
        <w:bidi w:val="0"/>
        <w:spacing w:before="0" w:beforeAutospacing="0" w:after="0" w:afterAutospacing="0" w:line="360" w:lineRule="auto"/>
        <w:ind w:firstLine="560" w:firstLineChars="200"/>
        <w:outlineLvl w:val="9"/>
        <w:rPr>
          <w:rFonts w:hint="eastAsia" w:ascii="仿宋" w:hAnsi="仿宋" w:eastAsia="仿宋" w:cs="仿宋"/>
          <w:sz w:val="28"/>
          <w:szCs w:val="28"/>
        </w:rPr>
      </w:pPr>
    </w:p>
    <w:p>
      <w:pPr>
        <w:pStyle w:val="34"/>
        <w:pageBreakBefore w:val="0"/>
        <w:topLinePunct w:val="0"/>
        <w:bidi w:val="0"/>
        <w:spacing w:before="0" w:beforeAutospacing="0" w:after="0" w:afterAutospacing="0" w:line="360" w:lineRule="auto"/>
        <w:ind w:firstLine="560" w:firstLineChars="200"/>
        <w:outlineLvl w:val="9"/>
        <w:rPr>
          <w:rFonts w:hint="eastAsia" w:ascii="仿宋" w:hAnsi="仿宋" w:eastAsia="仿宋" w:cs="仿宋"/>
          <w:sz w:val="28"/>
          <w:szCs w:val="28"/>
        </w:rPr>
      </w:pPr>
    </w:p>
    <w:p>
      <w:pPr>
        <w:pStyle w:val="34"/>
        <w:pageBreakBefore w:val="0"/>
        <w:topLinePunct w:val="0"/>
        <w:bidi w:val="0"/>
        <w:spacing w:before="0" w:beforeAutospacing="0" w:after="0" w:afterAutospacing="0" w:line="360" w:lineRule="auto"/>
        <w:ind w:firstLine="560" w:firstLineChars="200"/>
        <w:outlineLvl w:val="9"/>
        <w:rPr>
          <w:rFonts w:hint="eastAsia" w:ascii="仿宋" w:hAnsi="仿宋" w:eastAsia="仿宋" w:cs="仿宋"/>
          <w:sz w:val="28"/>
          <w:szCs w:val="28"/>
        </w:rPr>
      </w:pPr>
    </w:p>
    <w:p>
      <w:pPr>
        <w:pStyle w:val="34"/>
        <w:pageBreakBefore w:val="0"/>
        <w:topLinePunct w:val="0"/>
        <w:bidi w:val="0"/>
        <w:spacing w:before="0" w:beforeAutospacing="0" w:after="0" w:afterAutospacing="0" w:line="360" w:lineRule="auto"/>
        <w:ind w:firstLine="560" w:firstLineChars="200"/>
        <w:outlineLvl w:val="9"/>
        <w:rPr>
          <w:rFonts w:hint="eastAsia" w:ascii="仿宋" w:hAnsi="仿宋" w:eastAsia="仿宋" w:cs="仿宋"/>
          <w:sz w:val="28"/>
          <w:szCs w:val="28"/>
        </w:rPr>
      </w:pPr>
    </w:p>
    <w:p>
      <w:pPr>
        <w:pStyle w:val="34"/>
        <w:pageBreakBefore w:val="0"/>
        <w:topLinePunct w:val="0"/>
        <w:bidi w:val="0"/>
        <w:spacing w:before="0" w:beforeAutospacing="0" w:after="0" w:afterAutospacing="0" w:line="360" w:lineRule="auto"/>
        <w:ind w:firstLine="560" w:firstLineChars="200"/>
        <w:outlineLvl w:val="9"/>
        <w:rPr>
          <w:rFonts w:hint="eastAsia" w:ascii="仿宋" w:hAnsi="仿宋" w:eastAsia="仿宋" w:cs="仿宋"/>
          <w:sz w:val="28"/>
          <w:szCs w:val="28"/>
        </w:rPr>
      </w:pPr>
    </w:p>
    <w:p>
      <w:pPr>
        <w:pStyle w:val="34"/>
        <w:pageBreakBefore w:val="0"/>
        <w:topLinePunct w:val="0"/>
        <w:bidi w:val="0"/>
        <w:spacing w:before="0" w:beforeAutospacing="0" w:after="0" w:afterAutospacing="0" w:line="360" w:lineRule="auto"/>
        <w:ind w:firstLine="560" w:firstLineChars="200"/>
        <w:outlineLvl w:val="9"/>
        <w:rPr>
          <w:rFonts w:hint="eastAsia" w:ascii="仿宋" w:hAnsi="仿宋" w:eastAsia="仿宋" w:cs="仿宋"/>
          <w:sz w:val="28"/>
          <w:szCs w:val="28"/>
        </w:rPr>
      </w:pPr>
    </w:p>
    <w:p>
      <w:pPr>
        <w:pageBreakBefore w:val="0"/>
        <w:topLinePunct w:val="0"/>
        <w:bidi w:val="0"/>
        <w:jc w:val="center"/>
        <w:outlineLvl w:val="9"/>
        <w:rPr>
          <w:sz w:val="24"/>
        </w:rPr>
      </w:pPr>
      <w:r>
        <w:br w:type="page"/>
      </w:r>
      <w:bookmarkStart w:id="142" w:name="_Toc19680"/>
      <w:bookmarkStart w:id="143" w:name="_Toc4233"/>
      <w:bookmarkStart w:id="144" w:name="_Toc11362"/>
      <w:bookmarkStart w:id="145" w:name="_Toc7181"/>
      <w:bookmarkStart w:id="146" w:name="_Toc28392"/>
      <w:bookmarkStart w:id="147" w:name="_Toc13311"/>
      <w:bookmarkStart w:id="148" w:name="_Toc20676"/>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bookmarkEnd w:id="142"/>
    <w:bookmarkEnd w:id="143"/>
    <w:bookmarkEnd w:id="144"/>
    <w:bookmarkEnd w:id="145"/>
    <w:bookmarkEnd w:id="146"/>
    <w:bookmarkEnd w:id="147"/>
    <w:bookmarkEnd w:id="148"/>
    <w:p>
      <w:pPr>
        <w:pageBreakBefore w:val="0"/>
        <w:topLinePunct w:val="0"/>
        <w:bidi w:val="0"/>
        <w:jc w:val="both"/>
        <w:outlineLvl w:val="9"/>
        <w:rPr>
          <w:rFonts w:hint="eastAsia"/>
          <w:sz w:val="24"/>
        </w:rPr>
      </w:pPr>
    </w:p>
    <w:p>
      <w:pPr>
        <w:pageBreakBefore w:val="0"/>
        <w:topLinePunct w:val="0"/>
        <w:bidi w:val="0"/>
        <w:jc w:val="center"/>
        <w:outlineLvl w:val="9"/>
        <w:rPr>
          <w:rFonts w:hint="eastAsia"/>
          <w:sz w:val="24"/>
        </w:rPr>
      </w:pPr>
    </w:p>
    <w:p>
      <w:pPr>
        <w:pageBreakBefore w:val="0"/>
        <w:topLinePunct w:val="0"/>
        <w:bidi w:val="0"/>
        <w:jc w:val="center"/>
        <w:outlineLvl w:val="9"/>
        <w:rPr>
          <w:rFonts w:hint="eastAsia"/>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jc w:val="center"/>
        <w:outlineLvl w:val="9"/>
        <w:rPr>
          <w:rFonts w:hint="eastAsia"/>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沪电信职院〔201</w:t>
      </w:r>
      <w:r>
        <w:rPr>
          <w:rFonts w:hint="eastAsia" w:eastAsia="仿宋_GB2312"/>
          <w:color w:val="000000"/>
          <w:kern w:val="0"/>
          <w:sz w:val="32"/>
          <w:szCs w:val="28"/>
        </w:rPr>
        <w:t>8</w:t>
      </w:r>
      <w:r>
        <w:rPr>
          <w:rFonts w:eastAsia="仿宋_GB2312"/>
          <w:color w:val="000000"/>
          <w:kern w:val="0"/>
          <w:sz w:val="32"/>
          <w:szCs w:val="28"/>
        </w:rPr>
        <w:t>〕</w:t>
      </w:r>
      <w:r>
        <w:rPr>
          <w:rFonts w:hint="eastAsia" w:eastAsia="仿宋_GB2312"/>
          <w:color w:val="000000"/>
          <w:kern w:val="0"/>
          <w:sz w:val="32"/>
          <w:szCs w:val="28"/>
        </w:rPr>
        <w:t>33</w:t>
      </w:r>
      <w:r>
        <w:rPr>
          <w:rFonts w:eastAsia="仿宋_GB2312"/>
          <w:color w:val="000000"/>
          <w:kern w:val="0"/>
          <w:sz w:val="32"/>
          <w:szCs w:val="28"/>
        </w:rPr>
        <w:t>号</w:t>
      </w:r>
    </w:p>
    <w:p>
      <w:pPr>
        <w:pageBreakBefore w:val="0"/>
        <w:topLinePunct w:val="0"/>
        <w:bidi w:val="0"/>
        <w:spacing w:line="240" w:lineRule="atLeast"/>
        <w:outlineLvl w:val="9"/>
        <w:rPr>
          <w:rFonts w:hint="eastAsia" w:ascii="黑体" w:eastAsia="黑体"/>
          <w:color w:val="FF0000"/>
          <w:sz w:val="28"/>
          <w:szCs w:val="28"/>
          <w:u w:val="thick"/>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156" w:beforeLines="50" w:after="156" w:afterLines="50" w:line="640" w:lineRule="exact"/>
        <w:jc w:val="center"/>
        <w:textAlignment w:val="auto"/>
        <w:outlineLvl w:val="0"/>
        <w:rPr>
          <w:rFonts w:hint="eastAsia" w:ascii="华文中宋" w:hAnsi="华文中宋" w:eastAsia="华文中宋" w:cs="宋体"/>
          <w:b/>
          <w:color w:val="000000"/>
          <w:kern w:val="0"/>
          <w:sz w:val="36"/>
          <w:szCs w:val="36"/>
        </w:rPr>
      </w:pPr>
      <w:bookmarkStart w:id="149" w:name="文件标题"/>
      <w:bookmarkStart w:id="150" w:name="_Toc29011"/>
      <w:r>
        <w:rPr>
          <w:rFonts w:hint="eastAsia" w:ascii="黑体" w:hAnsi="黑体" w:eastAsia="黑体" w:cs="黑体"/>
          <w:b/>
          <w:color w:val="000000"/>
          <w:kern w:val="0"/>
          <w:sz w:val="36"/>
          <w:szCs w:val="36"/>
        </w:rPr>
        <w:t>关于印发《上海电子信息职业技术学院内涵建设重大项目管理办法</w:t>
      </w:r>
      <w:bookmarkEnd w:id="149"/>
      <w:r>
        <w:rPr>
          <w:rFonts w:hint="eastAsia" w:ascii="黑体" w:hAnsi="黑体" w:eastAsia="黑体" w:cs="黑体"/>
          <w:b/>
          <w:color w:val="000000"/>
          <w:kern w:val="0"/>
          <w:sz w:val="36"/>
          <w:szCs w:val="36"/>
        </w:rPr>
        <w:t>（修订）》的通知</w:t>
      </w:r>
      <w:r>
        <w:rPr>
          <w:rFonts w:ascii="华文中宋" w:hAnsi="华文中宋" w:eastAsia="华文中宋"/>
          <w:b/>
          <w:sz w:val="36"/>
          <w:szCs w:val="36"/>
        </w:rPr>
        <w:fldChar w:fldCharType="begin"/>
      </w:r>
      <w:r>
        <w:rPr>
          <w:rFonts w:ascii="华文中宋" w:hAnsi="华文中宋" w:eastAsia="华文中宋"/>
          <w:b/>
          <w:sz w:val="36"/>
          <w:szCs w:val="36"/>
        </w:rPr>
        <w:instrText xml:space="preserve"> </w:instrText>
      </w:r>
      <w:r>
        <w:rPr>
          <w:rFonts w:hint="eastAsia" w:ascii="华文中宋" w:hAnsi="华文中宋" w:eastAsia="华文中宋"/>
          <w:b/>
          <w:sz w:val="36"/>
          <w:szCs w:val="36"/>
        </w:rPr>
        <w:instrText xml:space="preserve">Fillin“请键入公文标题”</w:instrText>
      </w:r>
      <w:r>
        <w:rPr>
          <w:rFonts w:ascii="华文中宋" w:hAnsi="华文中宋" w:eastAsia="华文中宋"/>
          <w:b/>
          <w:sz w:val="36"/>
          <w:szCs w:val="36"/>
        </w:rPr>
        <w:instrText xml:space="preserve">  \* MERGEFORMAT </w:instrText>
      </w:r>
      <w:r>
        <w:rPr>
          <w:rFonts w:ascii="华文中宋" w:hAnsi="华文中宋" w:eastAsia="华文中宋"/>
          <w:b/>
          <w:sz w:val="36"/>
          <w:szCs w:val="36"/>
        </w:rPr>
        <w:fldChar w:fldCharType="separate"/>
      </w:r>
      <w:r>
        <w:rPr>
          <w:rFonts w:ascii="华文中宋" w:hAnsi="华文中宋" w:eastAsia="华文中宋"/>
          <w:b/>
          <w:sz w:val="36"/>
          <w:szCs w:val="36"/>
        </w:rPr>
        <w:fldChar w:fldCharType="end"/>
      </w:r>
      <w:bookmarkEnd w:id="150"/>
    </w:p>
    <w:p>
      <w:pPr>
        <w:pageBreakBefore w:val="0"/>
        <w:topLinePunct w:val="0"/>
        <w:bidi w:val="0"/>
        <w:adjustRightInd w:val="0"/>
        <w:snapToGrid w:val="0"/>
        <w:spacing w:line="560" w:lineRule="exact"/>
        <w:outlineLvl w:val="9"/>
        <w:rPr>
          <w:rFonts w:hint="eastAsia" w:ascii="仿宋_GB2312" w:hAnsi="仿宋_GB2312" w:eastAsia="仿宋_GB2312" w:cs="仿宋_GB2312"/>
          <w:kern w:val="2"/>
          <w:sz w:val="28"/>
          <w:szCs w:val="28"/>
          <w:highlight w:val="none"/>
          <w:lang w:val="en-US" w:eastAsia="zh-CN" w:bidi="ar-SA"/>
        </w:rPr>
      </w:pPr>
      <w:bookmarkStart w:id="151" w:name="主送"/>
      <w:r>
        <w:rPr>
          <w:rFonts w:hint="eastAsia" w:ascii="仿宋_GB2312" w:hAnsi="仿宋_GB2312" w:eastAsia="仿宋_GB2312" w:cs="仿宋_GB2312"/>
          <w:kern w:val="2"/>
          <w:sz w:val="28"/>
          <w:szCs w:val="28"/>
          <w:highlight w:val="none"/>
          <w:lang w:val="en-US" w:eastAsia="zh-CN" w:bidi="ar-SA"/>
        </w:rPr>
        <w:t>各教学单位、职能部门</w:t>
      </w:r>
      <w:bookmarkEnd w:id="151"/>
      <w:r>
        <w:rPr>
          <w:rFonts w:hint="eastAsia" w:ascii="仿宋_GB2312" w:hAnsi="仿宋_GB2312" w:eastAsia="仿宋_GB2312" w:cs="仿宋_GB2312"/>
          <w:kern w:val="2"/>
          <w:sz w:val="28"/>
          <w:szCs w:val="28"/>
          <w:highlight w:val="none"/>
          <w:lang w:val="en-US" w:eastAsia="zh-CN" w:bidi="ar-SA"/>
        </w:rPr>
        <w:t>：</w:t>
      </w:r>
    </w:p>
    <w:p>
      <w:pPr>
        <w:pageBreakBefore w:val="0"/>
        <w:widowControl/>
        <w:topLinePunct w:val="0"/>
        <w:bidi w:val="0"/>
        <w:adjustRightInd w:val="0"/>
        <w:snapToGrid w:val="0"/>
        <w:spacing w:line="520" w:lineRule="exact"/>
        <w:ind w:firstLine="64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进一步推进学校教育教学改革，深化内涵建设，提升学校人才培养质量和办学水平，促进学校更好更快地发展，结合学校实际情况，在原《上海电子信息职业技术学院内涵建设重大项目管理办法》（沪电信职院〔2012〕12号）文件基础上，重新修订《上海电子信息职业技术学院内涵建设重大项目管理办法》。现予以印发，请遵照执行。</w:t>
      </w:r>
    </w:p>
    <w:p>
      <w:pPr>
        <w:pageBreakBefore w:val="0"/>
        <w:widowControl/>
        <w:topLinePunct w:val="0"/>
        <w:bidi w:val="0"/>
        <w:adjustRightInd w:val="0"/>
        <w:snapToGrid w:val="0"/>
        <w:spacing w:line="520" w:lineRule="exact"/>
        <w:jc w:val="lef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附件：上海电子信息职业技术学院内涵建设重大项目管理办法（修订）</w:t>
      </w:r>
    </w:p>
    <w:p>
      <w:pPr>
        <w:pageBreakBefore w:val="0"/>
        <w:topLinePunct w:val="0"/>
        <w:bidi w:val="0"/>
        <w:spacing w:line="500" w:lineRule="exact"/>
        <w:ind w:firstLine="3430" w:firstLineChars="1225"/>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firstLine="3430" w:firstLineChars="1225"/>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firstLine="3430" w:firstLineChars="1225"/>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00" w:lineRule="exact"/>
        <w:ind w:firstLine="64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2018年1月26日</w:t>
      </w:r>
    </w:p>
    <w:p>
      <w:pPr>
        <w:pageBreakBefore w:val="0"/>
        <w:topLinePunct w:val="0"/>
        <w:bidi w:val="0"/>
        <w:spacing w:line="500" w:lineRule="exact"/>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w:t>
      </w:r>
    </w:p>
    <w:p>
      <w:pPr>
        <w:pageBreakBefore w:val="0"/>
        <w:topLinePunct w:val="0"/>
        <w:bidi w:val="0"/>
        <w:spacing w:line="360" w:lineRule="auto"/>
        <w:jc w:val="center"/>
        <w:outlineLvl w:val="9"/>
        <w:rPr>
          <w:rFonts w:hint="eastAsia" w:ascii="华文中宋" w:hAnsi="华文中宋" w:eastAsia="华文中宋"/>
          <w:sz w:val="36"/>
          <w:szCs w:val="36"/>
        </w:rPr>
      </w:pPr>
      <w:r>
        <w:rPr>
          <w:rFonts w:hint="eastAsia" w:ascii="黑体" w:hAnsi="黑体" w:eastAsia="黑体" w:cs="黑体"/>
          <w:b/>
          <w:bCs/>
          <w:sz w:val="36"/>
          <w:szCs w:val="36"/>
        </w:rPr>
        <w:t>上海电子信息职业技术学院                              内涵建设重大项目管理办法（修订）</w:t>
      </w:r>
    </w:p>
    <w:p>
      <w:pPr>
        <w:pageBreakBefore w:val="0"/>
        <w:topLinePunct w:val="0"/>
        <w:bidi w:val="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第一章 总  则</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第一条  为进一步推进学校教育教学改革、师资队伍建设、实践教学基地建设、内部管理机制改革和社会服务等，深化内涵建设，提升学校人才培养质量和办学水平，促进学校更好更快地发展，现结合学校实际情况，重新修订本办法。</w:t>
      </w:r>
    </w:p>
    <w:p>
      <w:pPr>
        <w:pStyle w:val="101"/>
        <w:pageBreakBefore w:val="0"/>
        <w:topLinePunct w:val="0"/>
        <w:bidi w:val="0"/>
        <w:spacing w:line="360" w:lineRule="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第二条  本办法所指项目是指围绕学校内涵建设开展的非科学研究类的国家级、市级、校级重大专项项目。包括：高职创新发展三年行动计划、一流专业、产教研协同基地和双证融通等项目；以及围绕学校内涵建设所设立的重点专业建设，教师专业发展工程，教育国际化重点建设工程，教育教学改革等项目。其中，与学校发展定位、发展方向等密切相关的重大项目须有行业企业专家参加评审论证。</w:t>
      </w:r>
    </w:p>
    <w:p>
      <w:pPr>
        <w:pageBreakBefore w:val="0"/>
        <w:topLinePunct w:val="0"/>
        <w:bidi w:val="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第二章 项目立项、实施与管理</w:t>
      </w:r>
    </w:p>
    <w:p>
      <w:pPr>
        <w:pageBreakBefore w:val="0"/>
        <w:topLinePunct w:val="0"/>
        <w:bidi w:val="0"/>
        <w:spacing w:line="30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第三条  学校将项目申报信息通知到各处室、二级学院，各处室、二级学院根据具体情况组织申报，项目申报人按申报要求填写相应的“项目申请书”，由所在部门负责人签署意见后，在规定期限内送交学校，由学校组织评审、校部批准后下发项目立项通知。</w:t>
      </w:r>
    </w:p>
    <w:p>
      <w:pPr>
        <w:pageBreakBefore w:val="0"/>
        <w:topLinePunct w:val="0"/>
        <w:bidi w:val="0"/>
        <w:spacing w:line="30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第四条  项目立项后，项目负责人认真做好项目任务书和项目经费使用计划，由所在部门负责人签署意见后提交学校，学校审核批准后，项目组严格按照项目任务书和项目经费使用计划执行。</w:t>
      </w:r>
    </w:p>
    <w:p>
      <w:pPr>
        <w:pageBreakBefore w:val="0"/>
        <w:topLinePunct w:val="0"/>
        <w:bidi w:val="0"/>
        <w:spacing w:line="30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第五条  项目实行分级管理和项目负责人负责制。各级项目组组长与上一级项目负责人签订责任书，承担相应责任，并对其所辖下一级子项目的完成情况等进行全程监控与管理，定期检查考核，确保项目的完成进度和质量。若项目建设过程中出现重大问题和新情况，应及时向上一级负责人汇报，以便尽快研究和解决问题，保证项目建设的顺利开展。</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第六条  学校对一级项目建设实行检查、监督、指导、协调、论证和评估等。</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第七条  学校组织检查组对一级项目实行中期检查并提出书面检查意见，对项目建设中存在的问题提出整改意见。</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第八条  一级项目建设完成后，项目负责人向学校提交验收申请报告，由学校组织专家组根据项目组所签订的项目责任书、项目任务书和项目经费使用计划对项目进行验收。二级及以下级项目建设完成后，项目负责人向上一级项目负责人提交验收申请报告，由一级项目负责人组织专家组对项目进行验收。</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第九条  各级项目组应做好相关建设资料的收集归档。</w:t>
      </w:r>
    </w:p>
    <w:p>
      <w:pPr>
        <w:pageBreakBefore w:val="0"/>
        <w:topLinePunct w:val="0"/>
        <w:bidi w:val="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第三章  项目经费管理</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第十条  项目经费支出包括人员经费、教学与科研经费、业务费、设备购置费、其他经费等，实行“逐级审批，归口管理，专款专用”，不得以任何理由和方式截留、挤占、挪用，不得用于支付各种罚款、捐款、赞助、投资等。</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（一）业务费指为完成专项项目建设任务而必须开支的印刷费、邮寄费、交通费、差旅费、培训费、租赁费、国际交流与合作的招待费、出国费支出。</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人员经费指用于项目建设过程中专家和临时人员（含助研）的咨询与劳务费、论证费、评审费等（除本单位在职、在岗人员）以及行企业兼职教师聘任等所发生的支出。人员经费支出不高于项目总经费的15%。</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（三）教学、科研经费指在专项项目建设中，在人才培养方案制定、课程建设、教材建设等专业建设与改革过程中发生的成本费用。</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（四）设备购置费指完成专项项目建设任务中购置必要的教学、科研仪器设备及其运行维护等支出。设备购置费不高于项目总经费的50%。</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（五）其他经费指主要用于项目运行过程中发生的除上述费用之外的其他支出。</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第十一条  按项目管理工作流程审核与批准项目经费支出。财务处制定专门帐册，按财务规定对项目经费支出进行管理与监控。</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第十二条  项目结题前，由学校监察内审室对经费使用情况进行审计。</w:t>
      </w:r>
    </w:p>
    <w:p>
      <w:pPr>
        <w:pageBreakBefore w:val="0"/>
        <w:topLinePunct w:val="0"/>
        <w:bidi w:val="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第四章    设备管理</w:t>
      </w:r>
    </w:p>
    <w:p>
      <w:pPr>
        <w:pStyle w:val="101"/>
        <w:pageBreakBefore w:val="0"/>
        <w:topLinePunct w:val="0"/>
        <w:bidi w:val="0"/>
        <w:spacing w:line="360" w:lineRule="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第十三条  设备购置，使用与管理按照《上海电子信息职业技术学院货物和服务采购管理办法》（沪电信职院〔2017〕164号）、《上海电子信息职业技术学院固定资产管理办法》（沪电信职院〔2017〕165号）执行。</w:t>
      </w:r>
    </w:p>
    <w:p>
      <w:pPr>
        <w:pageBreakBefore w:val="0"/>
        <w:topLinePunct w:val="0"/>
        <w:bidi w:val="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第五章    图书管理</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第十四条  图书购置，使用与管理按照《上海电子信息职业技术学院图书馆文献资料采购管理细则》（沪电信职院〔2017〕161号）执行。</w:t>
      </w:r>
    </w:p>
    <w:p>
      <w:pPr>
        <w:pageBreakBefore w:val="0"/>
        <w:topLinePunct w:val="0"/>
        <w:bidi w:val="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第六章   考核与奖惩</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第十五条  学校对项目实行严格的绩效考评，建立分级绩效考核、整体绩效考核两级考核制度和竞争激励机制。各级项目组按照子项目任务书对所辖下一级子项目组实施公开、公平、公正的考核。学校按照项目任务书对一级项目组进行全面的绩效评估与考核。项目最终考核验收通过后，学校拨付绩效奖励；验收不通过的，不拨付绩效奖励。</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第十六条  根据绩效考核结果，引入竞争机制，实行动态管理。对于考核成绩突出、效益显著的各级子项目组和个人，予以表彰和奖励，并作为学校考核、评优和专业技术职务聘任等工作依据之一。对无正当理由拖延完成时间，致使正常验收无法进行或经评审达不到验收要求的项目，学校视情节轻重和责任大小，对项目负责人及相关人员酌情进行批评，且三年内不得申请专项建设项目。</w:t>
      </w:r>
    </w:p>
    <w:p>
      <w:pPr>
        <w:pageBreakBefore w:val="0"/>
        <w:topLinePunct w:val="0"/>
        <w:bidi w:val="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第七章  附  则</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第十七条  本办法若有与国家和上海市的相关管理文件不一致处，以国家和上海市的文件为准。</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第十八条  本办法经校长办公会议批准后自发布之日起实施。原《上海电子信息职业技术学院内涵建设重大项目管理办法》（沪电信职院〔2012〕12号）同时废止。</w:t>
      </w:r>
    </w:p>
    <w:p>
      <w:pPr>
        <w:pStyle w:val="101"/>
        <w:pageBreakBefore w:val="0"/>
        <w:topLinePunct w:val="0"/>
        <w:bidi w:val="0"/>
        <w:spacing w:line="360" w:lineRule="auto"/>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第十九条  本办法由教务处负责解释。</w:t>
      </w:r>
    </w:p>
    <w:p>
      <w:pPr>
        <w:pageBreakBefore w:val="0"/>
        <w:topLinePunct w:val="0"/>
        <w:bidi w:val="0"/>
        <w:outlineLvl w:val="9"/>
        <w:rPr>
          <w:sz w:val="28"/>
          <w:szCs w:val="28"/>
        </w:rPr>
      </w:pPr>
    </w:p>
    <w:p>
      <w:pPr>
        <w:pStyle w:val="16"/>
        <w:pageBreakBefore w:val="0"/>
        <w:topLinePunct w:val="0"/>
        <w:bidi w:val="0"/>
        <w:spacing w:before="312" w:beforeLines="100" w:after="312" w:afterLines="100" w:line="560" w:lineRule="atLeast"/>
        <w:ind w:left="0" w:leftChars="0" w:firstLine="560" w:firstLineChars="200"/>
        <w:outlineLvl w:val="9"/>
        <w:rPr>
          <w:rFonts w:hint="eastAsia" w:ascii="宋体" w:hAnsi="宋体"/>
          <w:sz w:val="28"/>
          <w:szCs w:val="28"/>
        </w:rPr>
      </w:pPr>
    </w:p>
    <w:p>
      <w:pPr>
        <w:pageBreakBefore w:val="0"/>
        <w:topLinePunct w:val="0"/>
        <w:bidi w:val="0"/>
        <w:outlineLvl w:val="9"/>
        <w:rPr>
          <w:rFonts w:ascii="华文仿宋" w:hAnsi="华文仿宋" w:eastAsia="华文仿宋"/>
        </w:rPr>
      </w:pPr>
    </w:p>
    <w:p>
      <w:pPr>
        <w:pageBreakBefore w:val="0"/>
        <w:topLinePunct w:val="0"/>
        <w:bidi w:val="0"/>
        <w:outlineLvl w:val="9"/>
        <w:rPr>
          <w:rFonts w:ascii="华文仿宋" w:hAnsi="华文仿宋" w:eastAsia="华文仿宋"/>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20" w:lineRule="exact"/>
        <w:outlineLvl w:val="9"/>
        <w:rPr>
          <w:szCs w:val="22"/>
        </w:rPr>
      </w:pPr>
    </w:p>
    <w:p>
      <w:pPr>
        <w:pageBreakBefore w:val="0"/>
        <w:topLinePunct w:val="0"/>
        <w:bidi w:val="0"/>
        <w:outlineLvl w:val="9"/>
        <w:rPr>
          <w:color w:val="FF0000"/>
          <w:sz w:val="24"/>
        </w:rPr>
      </w:pPr>
      <w:r>
        <w:rPr>
          <w:szCs w:val="22"/>
        </w:rPr>
        <w:br w:type="page"/>
      </w: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8〕117</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napToGrid w:val="0"/>
        <w:spacing w:before="312" w:beforeLines="100" w:line="5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pStyle w:val="98"/>
        <w:pageBreakBefore w:val="0"/>
        <w:shd w:val="clear" w:color="auto" w:fill="FFFFFF"/>
        <w:topLinePunct w:val="0"/>
        <w:bidi w:val="0"/>
        <w:spacing w:before="0" w:beforeAutospacing="0" w:after="0" w:afterAutospacing="0" w:line="560" w:lineRule="exact"/>
        <w:jc w:val="center"/>
        <w:outlineLvl w:val="9"/>
        <w:rPr>
          <w:rFonts w:hint="eastAsia" w:eastAsia="华文中宋"/>
          <w:b/>
          <w:sz w:val="36"/>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color w:val="000000"/>
          <w:sz w:val="36"/>
          <w:szCs w:val="36"/>
        </w:rPr>
      </w:pPr>
      <w:bookmarkStart w:id="152" w:name="_Toc6584"/>
      <w:r>
        <w:rPr>
          <w:rFonts w:hint="eastAsia" w:ascii="黑体" w:hAnsi="黑体" w:eastAsia="黑体" w:cs="黑体"/>
          <w:b/>
          <w:kern w:val="0"/>
          <w:sz w:val="36"/>
          <w:szCs w:val="24"/>
        </w:rPr>
        <w:t>关于</w:t>
      </w:r>
      <w:r>
        <w:rPr>
          <w:rFonts w:hint="eastAsia" w:ascii="黑体" w:hAnsi="黑体" w:eastAsia="黑体" w:cs="黑体"/>
          <w:b/>
          <w:kern w:val="0"/>
          <w:sz w:val="36"/>
          <w:szCs w:val="36"/>
        </w:rPr>
        <w:t>印发《</w:t>
      </w:r>
      <w:r>
        <w:rPr>
          <w:rFonts w:hint="eastAsia" w:ascii="黑体" w:hAnsi="黑体" w:eastAsia="黑体" w:cs="黑体"/>
          <w:b/>
          <w:sz w:val="36"/>
          <w:szCs w:val="36"/>
        </w:rPr>
        <w:t>上海电子信息职业技术学院优秀学生教学信息员评选实施办法》的通知</w:t>
      </w:r>
      <w:bookmarkEnd w:id="152"/>
    </w:p>
    <w:p>
      <w:pPr>
        <w:pageBreakBefore w:val="0"/>
        <w:topLinePunct w:val="0"/>
        <w:bidi w:val="0"/>
        <w:spacing w:before="312" w:beforeLines="100"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360" w:lineRule="auto"/>
        <w:ind w:firstLine="64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现将《上海电子信息职业技术学院优秀学生教学信息员评选实施办法》印发给你们，请结合本部门工作实际，认真研究</w:t>
      </w:r>
    </w:p>
    <w:p>
      <w:pPr>
        <w:pageBreakBefore w:val="0"/>
        <w:topLinePunct w:val="0"/>
        <w:bidi w:val="0"/>
        <w:spacing w:line="360" w:lineRule="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执行。</w:t>
      </w:r>
      <w:r>
        <w:rPr>
          <w:rFonts w:hint="eastAsia" w:ascii="仿宋_GB2312" w:hAnsi="仿宋_GB2312" w:eastAsia="仿宋_GB2312" w:cs="仿宋_GB2312"/>
          <w:kern w:val="2"/>
          <w:sz w:val="28"/>
          <w:szCs w:val="28"/>
          <w:highlight w:val="none"/>
          <w:lang w:val="en-US" w:eastAsia="zh-CN" w:bidi="ar-SA"/>
        </w:rPr>
        <w:tab/>
      </w:r>
    </w:p>
    <w:p>
      <w:pPr>
        <w:pageBreakBefore w:val="0"/>
        <w:topLinePunct w:val="0"/>
        <w:bidi w:val="0"/>
        <w:spacing w:line="56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360" w:lineRule="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附件：上海电子信息职业技术学院优秀学生教学信息员评选实施办法</w:t>
      </w:r>
    </w:p>
    <w:p>
      <w:pPr>
        <w:pageBreakBefore w:val="0"/>
        <w:topLinePunct w:val="0"/>
        <w:bidi w:val="0"/>
        <w:spacing w:line="560" w:lineRule="exact"/>
        <w:ind w:left="1470" w:leftChars="300"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firstLine="3220" w:firstLineChars="11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00" w:lineRule="exact"/>
        <w:ind w:right="48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2018年7月10日</w:t>
      </w:r>
    </w:p>
    <w:p>
      <w:pPr>
        <w:pageBreakBefore w:val="0"/>
        <w:topLinePunct w:val="0"/>
        <w:bidi w:val="0"/>
        <w:spacing w:line="360" w:lineRule="auto"/>
        <w:jc w:val="center"/>
        <w:outlineLvl w:val="9"/>
        <w:rPr>
          <w:rFonts w:hint="eastAsia" w:ascii="黑体" w:hAnsi="Times New Roman" w:eastAsia="黑体"/>
          <w:sz w:val="30"/>
          <w:szCs w:val="30"/>
        </w:rPr>
      </w:pPr>
    </w:p>
    <w:p>
      <w:pPr>
        <w:pageBreakBefore w:val="0"/>
        <w:topLinePunct w:val="0"/>
        <w:bidi w:val="0"/>
        <w:spacing w:line="360" w:lineRule="auto"/>
        <w:jc w:val="center"/>
        <w:outlineLvl w:val="9"/>
        <w:rPr>
          <w:rFonts w:hint="eastAsia" w:ascii="黑体" w:hAnsi="Times New Roman" w:eastAsia="黑体"/>
          <w:sz w:val="30"/>
          <w:szCs w:val="30"/>
        </w:rPr>
      </w:pPr>
    </w:p>
    <w:p>
      <w:pPr>
        <w:pageBreakBefore w:val="0"/>
        <w:topLinePunct w:val="0"/>
        <w:bidi w:val="0"/>
        <w:spacing w:line="360" w:lineRule="auto"/>
        <w:jc w:val="center"/>
        <w:outlineLvl w:val="9"/>
        <w:rPr>
          <w:rFonts w:hint="eastAsia" w:ascii="黑体" w:hAnsi="Times New Roman" w:eastAsia="黑体"/>
          <w:sz w:val="30"/>
          <w:szCs w:val="30"/>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优秀学生教学信息员评选实施办法</w:t>
      </w:r>
    </w:p>
    <w:p>
      <w:pPr>
        <w:pageBreakBefore w:val="0"/>
        <w:topLinePunct w:val="0"/>
        <w:bidi w:val="0"/>
        <w:spacing w:line="288" w:lineRule="auto"/>
        <w:ind w:firstLine="480" w:firstLineChars="200"/>
        <w:outlineLvl w:val="9"/>
        <w:rPr>
          <w:rFonts w:hint="eastAsia" w:ascii="Times New Roman" w:hAnsi="Times New Roman" w:eastAsia="仿宋_GB2312"/>
          <w:sz w:val="24"/>
          <w:szCs w:val="24"/>
        </w:rPr>
      </w:pPr>
    </w:p>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为表彰全体学生教学信息员在学校学风建设工作中所付出的努力和取得的成效，将开展优秀学生教学信息员学年评选活动，特制订本办法。</w:t>
      </w:r>
    </w:p>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一、评选依据</w:t>
      </w:r>
    </w:p>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优秀学生教学信息员评选以学校《学生教学信息员制度实施办法》为依据，二级学院、学校学生会与教务处三个维度综合评定学生教学信息员的工作成效，客观、公正的评价信息员一学年的工作情况。</w:t>
      </w:r>
    </w:p>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二、评选对象</w:t>
      </w:r>
    </w:p>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评选对象为学生教学信息员、二级学院学习部成员及学校学习部成员。</w:t>
      </w:r>
    </w:p>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三、评选时间</w:t>
      </w:r>
    </w:p>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“优秀学生教学信息员”每学年评选一次，并于第二学期末召开表彰会。</w:t>
      </w:r>
    </w:p>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四、评选内容</w:t>
      </w:r>
    </w:p>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对学校或教学单位的教师队伍、教学条件、教学计划、教学内容、语言文字、教学方法及教学管理等方面及时提出意见和建议；及时反映学生的听课、实验实训、作业、考试等学习状况；经常注意教学信息的收集和记录，及时客观反映教与学情况；每学期认真填报两次（期中与期末）《学生教学信息员反馈意见表》，及时上交；积极参加学生教学信息员相关会议和活动。</w:t>
      </w:r>
    </w:p>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五、评选方法</w:t>
      </w:r>
    </w:p>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评选方法：先由各二级学院学习部对本部门信息员的工作情况进行排序，并上交学校学生教学信息中心，再结合所了解的各信息员平时工作情况，给出意见，并交学校教务处，由教务处确定当年学生教学信息员获奖名单。</w:t>
      </w:r>
    </w:p>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六、评选等第</w:t>
      </w:r>
    </w:p>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学生教学信息员评选奖项分为一等奖（颁发“优秀学生教学信息员”证书）、二等奖、三等奖。</w:t>
      </w:r>
    </w:p>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七、评选人数</w:t>
      </w:r>
    </w:p>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学生教学信息员一等奖、二等奖、三等奖的名额分别按信息员人数的10%~15%比例确定。</w:t>
      </w:r>
    </w:p>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八、奖励金额</w:t>
      </w:r>
    </w:p>
    <w:p>
      <w:pPr>
        <w:pageBreakBefore w:val="0"/>
        <w:topLinePunct w:val="0"/>
        <w:bidi w:val="0"/>
        <w:spacing w:line="312" w:lineRule="auto"/>
        <w:ind w:firstLine="480" w:firstLineChars="200"/>
        <w:outlineLvl w:val="9"/>
        <w:rPr>
          <w:rFonts w:hint="eastAsia" w:ascii="Times New Roman" w:hAnsi="Times New Roman" w:eastAsia="仿宋_GB2312"/>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9"/>
        <w:gridCol w:w="3576"/>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9" w:type="dxa"/>
            <w:noWrap w:val="0"/>
            <w:vAlign w:val="top"/>
          </w:tcPr>
          <w:p>
            <w:pPr>
              <w:pageBreakBefore w:val="0"/>
              <w:topLinePunct w:val="0"/>
              <w:bidi w:val="0"/>
              <w:spacing w:line="400" w:lineRule="exact"/>
              <w:jc w:val="center"/>
              <w:outlineLvl w:val="9"/>
              <w:rPr>
                <w:rFonts w:ascii="Times New Roman" w:hAnsi="Times New Roman" w:eastAsia="仿宋_GB2312"/>
                <w:sz w:val="24"/>
                <w:szCs w:val="24"/>
              </w:rPr>
            </w:pPr>
            <w:r>
              <w:rPr>
                <w:rFonts w:hint="eastAsia" w:ascii="Times New Roman" w:hAnsi="Times New Roman" w:eastAsia="仿宋_GB2312"/>
                <w:sz w:val="24"/>
                <w:szCs w:val="24"/>
              </w:rPr>
              <w:t>序号</w:t>
            </w:r>
          </w:p>
        </w:tc>
        <w:tc>
          <w:tcPr>
            <w:tcW w:w="3576" w:type="dxa"/>
            <w:noWrap w:val="0"/>
            <w:vAlign w:val="top"/>
          </w:tcPr>
          <w:p>
            <w:pPr>
              <w:pageBreakBefore w:val="0"/>
              <w:topLinePunct w:val="0"/>
              <w:bidi w:val="0"/>
              <w:spacing w:line="400" w:lineRule="exact"/>
              <w:jc w:val="center"/>
              <w:outlineLvl w:val="9"/>
              <w:rPr>
                <w:rFonts w:ascii="Times New Roman" w:hAnsi="Times New Roman" w:eastAsia="仿宋_GB2312"/>
                <w:sz w:val="24"/>
                <w:szCs w:val="24"/>
              </w:rPr>
            </w:pPr>
            <w:r>
              <w:rPr>
                <w:rFonts w:hint="eastAsia" w:ascii="Times New Roman" w:hAnsi="Times New Roman" w:eastAsia="仿宋_GB2312"/>
                <w:sz w:val="24"/>
                <w:szCs w:val="24"/>
              </w:rPr>
              <w:t>等级</w:t>
            </w:r>
          </w:p>
        </w:tc>
        <w:tc>
          <w:tcPr>
            <w:tcW w:w="1823" w:type="dxa"/>
            <w:noWrap w:val="0"/>
            <w:vAlign w:val="top"/>
          </w:tcPr>
          <w:p>
            <w:pPr>
              <w:pageBreakBefore w:val="0"/>
              <w:topLinePunct w:val="0"/>
              <w:bidi w:val="0"/>
              <w:spacing w:line="400" w:lineRule="exact"/>
              <w:jc w:val="center"/>
              <w:outlineLvl w:val="9"/>
              <w:rPr>
                <w:rFonts w:ascii="Times New Roman" w:hAnsi="Times New Roman" w:eastAsia="仿宋_GB2312"/>
                <w:sz w:val="24"/>
                <w:szCs w:val="24"/>
              </w:rPr>
            </w:pPr>
            <w:r>
              <w:rPr>
                <w:rFonts w:hint="eastAsia" w:ascii="Times New Roman" w:hAnsi="Times New Roman" w:eastAsia="仿宋_GB2312"/>
                <w:sz w:val="24"/>
                <w:szCs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9" w:type="dxa"/>
            <w:noWrap w:val="0"/>
            <w:vAlign w:val="top"/>
          </w:tcPr>
          <w:p>
            <w:pPr>
              <w:pageBreakBefore w:val="0"/>
              <w:topLinePunct w:val="0"/>
              <w:bidi w:val="0"/>
              <w:spacing w:line="400" w:lineRule="exact"/>
              <w:jc w:val="center"/>
              <w:outlineLvl w:val="9"/>
              <w:rPr>
                <w:rFonts w:ascii="Times New Roman" w:hAnsi="Times New Roman" w:eastAsia="仿宋_GB2312"/>
                <w:sz w:val="24"/>
                <w:szCs w:val="24"/>
              </w:rPr>
            </w:pPr>
            <w:r>
              <w:rPr>
                <w:rFonts w:hint="eastAsia" w:ascii="Times New Roman" w:hAnsi="Times New Roman" w:eastAsia="仿宋_GB2312"/>
                <w:sz w:val="24"/>
                <w:szCs w:val="24"/>
              </w:rPr>
              <w:t>1</w:t>
            </w:r>
          </w:p>
        </w:tc>
        <w:tc>
          <w:tcPr>
            <w:tcW w:w="3576" w:type="dxa"/>
            <w:noWrap w:val="0"/>
            <w:vAlign w:val="top"/>
          </w:tcPr>
          <w:p>
            <w:pPr>
              <w:pageBreakBefore w:val="0"/>
              <w:topLinePunct w:val="0"/>
              <w:bidi w:val="0"/>
              <w:spacing w:line="400" w:lineRule="exact"/>
              <w:jc w:val="center"/>
              <w:outlineLvl w:val="9"/>
              <w:rPr>
                <w:rFonts w:ascii="Times New Roman" w:hAnsi="Times New Roman" w:eastAsia="仿宋_GB2312"/>
                <w:sz w:val="24"/>
                <w:szCs w:val="24"/>
              </w:rPr>
            </w:pPr>
            <w:r>
              <w:rPr>
                <w:rFonts w:hint="eastAsia" w:ascii="Times New Roman" w:hAnsi="Times New Roman" w:eastAsia="仿宋_GB2312"/>
                <w:sz w:val="24"/>
                <w:szCs w:val="24"/>
              </w:rPr>
              <w:t>一等奖（优秀学生教学信息员）</w:t>
            </w:r>
          </w:p>
        </w:tc>
        <w:tc>
          <w:tcPr>
            <w:tcW w:w="1823" w:type="dxa"/>
            <w:noWrap w:val="0"/>
            <w:vAlign w:val="top"/>
          </w:tcPr>
          <w:p>
            <w:pPr>
              <w:pageBreakBefore w:val="0"/>
              <w:topLinePunct w:val="0"/>
              <w:bidi w:val="0"/>
              <w:spacing w:line="400" w:lineRule="exact"/>
              <w:jc w:val="center"/>
              <w:outlineLvl w:val="9"/>
              <w:rPr>
                <w:rFonts w:ascii="Times New Roman" w:hAnsi="Times New Roman" w:eastAsia="仿宋_GB2312"/>
                <w:sz w:val="24"/>
                <w:szCs w:val="24"/>
              </w:rPr>
            </w:pPr>
            <w:r>
              <w:rPr>
                <w:rFonts w:hint="eastAsia" w:ascii="Times New Roman" w:hAnsi="Times New Roman" w:eastAsia="仿宋_GB2312"/>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9" w:type="dxa"/>
            <w:noWrap w:val="0"/>
            <w:vAlign w:val="top"/>
          </w:tcPr>
          <w:p>
            <w:pPr>
              <w:pageBreakBefore w:val="0"/>
              <w:topLinePunct w:val="0"/>
              <w:bidi w:val="0"/>
              <w:spacing w:line="400" w:lineRule="exact"/>
              <w:jc w:val="center"/>
              <w:outlineLvl w:val="9"/>
              <w:rPr>
                <w:rFonts w:ascii="Times New Roman" w:hAnsi="Times New Roman" w:eastAsia="仿宋_GB2312"/>
                <w:sz w:val="24"/>
                <w:szCs w:val="24"/>
              </w:rPr>
            </w:pPr>
            <w:r>
              <w:rPr>
                <w:rFonts w:hint="eastAsia" w:ascii="Times New Roman" w:hAnsi="Times New Roman" w:eastAsia="仿宋_GB2312"/>
                <w:sz w:val="24"/>
                <w:szCs w:val="24"/>
              </w:rPr>
              <w:t>2</w:t>
            </w:r>
          </w:p>
        </w:tc>
        <w:tc>
          <w:tcPr>
            <w:tcW w:w="3576" w:type="dxa"/>
            <w:noWrap w:val="0"/>
            <w:vAlign w:val="top"/>
          </w:tcPr>
          <w:p>
            <w:pPr>
              <w:pageBreakBefore w:val="0"/>
              <w:topLinePunct w:val="0"/>
              <w:bidi w:val="0"/>
              <w:spacing w:line="400" w:lineRule="exact"/>
              <w:jc w:val="center"/>
              <w:outlineLvl w:val="9"/>
              <w:rPr>
                <w:rFonts w:ascii="Times New Roman" w:hAnsi="Times New Roman" w:eastAsia="仿宋_GB2312"/>
                <w:sz w:val="24"/>
                <w:szCs w:val="24"/>
              </w:rPr>
            </w:pPr>
            <w:r>
              <w:rPr>
                <w:rFonts w:hint="eastAsia" w:ascii="Times New Roman" w:hAnsi="Times New Roman" w:eastAsia="仿宋_GB2312"/>
                <w:sz w:val="24"/>
                <w:szCs w:val="24"/>
              </w:rPr>
              <w:t>二等奖</w:t>
            </w:r>
          </w:p>
        </w:tc>
        <w:tc>
          <w:tcPr>
            <w:tcW w:w="1823" w:type="dxa"/>
            <w:noWrap w:val="0"/>
            <w:vAlign w:val="top"/>
          </w:tcPr>
          <w:p>
            <w:pPr>
              <w:pageBreakBefore w:val="0"/>
              <w:topLinePunct w:val="0"/>
              <w:bidi w:val="0"/>
              <w:spacing w:line="400" w:lineRule="exact"/>
              <w:jc w:val="center"/>
              <w:outlineLvl w:val="9"/>
              <w:rPr>
                <w:rFonts w:ascii="Times New Roman" w:hAnsi="Times New Roman" w:eastAsia="仿宋_GB2312"/>
                <w:sz w:val="24"/>
                <w:szCs w:val="24"/>
              </w:rPr>
            </w:pPr>
            <w:r>
              <w:rPr>
                <w:rFonts w:hint="eastAsia" w:ascii="Times New Roman" w:hAnsi="Times New Roman" w:eastAsia="仿宋_GB2312"/>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9" w:type="dxa"/>
            <w:noWrap w:val="0"/>
            <w:vAlign w:val="top"/>
          </w:tcPr>
          <w:p>
            <w:pPr>
              <w:pageBreakBefore w:val="0"/>
              <w:topLinePunct w:val="0"/>
              <w:bidi w:val="0"/>
              <w:spacing w:line="400" w:lineRule="exact"/>
              <w:jc w:val="center"/>
              <w:outlineLvl w:val="9"/>
              <w:rPr>
                <w:rFonts w:ascii="Times New Roman" w:hAnsi="Times New Roman" w:eastAsia="仿宋_GB2312"/>
                <w:sz w:val="24"/>
                <w:szCs w:val="24"/>
              </w:rPr>
            </w:pPr>
            <w:r>
              <w:rPr>
                <w:rFonts w:hint="eastAsia" w:ascii="Times New Roman" w:hAnsi="Times New Roman" w:eastAsia="仿宋_GB2312"/>
                <w:sz w:val="24"/>
                <w:szCs w:val="24"/>
              </w:rPr>
              <w:t>3</w:t>
            </w:r>
          </w:p>
        </w:tc>
        <w:tc>
          <w:tcPr>
            <w:tcW w:w="3576" w:type="dxa"/>
            <w:noWrap w:val="0"/>
            <w:vAlign w:val="top"/>
          </w:tcPr>
          <w:p>
            <w:pPr>
              <w:pageBreakBefore w:val="0"/>
              <w:topLinePunct w:val="0"/>
              <w:bidi w:val="0"/>
              <w:spacing w:line="400" w:lineRule="exact"/>
              <w:jc w:val="center"/>
              <w:outlineLvl w:val="9"/>
              <w:rPr>
                <w:rFonts w:ascii="Times New Roman" w:hAnsi="Times New Roman" w:eastAsia="仿宋_GB2312"/>
                <w:sz w:val="24"/>
                <w:szCs w:val="24"/>
              </w:rPr>
            </w:pPr>
            <w:r>
              <w:rPr>
                <w:rFonts w:hint="eastAsia" w:ascii="Times New Roman" w:hAnsi="Times New Roman" w:eastAsia="仿宋_GB2312"/>
                <w:sz w:val="24"/>
                <w:szCs w:val="24"/>
              </w:rPr>
              <w:t>三等奖</w:t>
            </w:r>
          </w:p>
        </w:tc>
        <w:tc>
          <w:tcPr>
            <w:tcW w:w="1823" w:type="dxa"/>
            <w:noWrap w:val="0"/>
            <w:vAlign w:val="top"/>
          </w:tcPr>
          <w:p>
            <w:pPr>
              <w:pageBreakBefore w:val="0"/>
              <w:topLinePunct w:val="0"/>
              <w:bidi w:val="0"/>
              <w:spacing w:line="400" w:lineRule="exact"/>
              <w:jc w:val="center"/>
              <w:outlineLvl w:val="9"/>
              <w:rPr>
                <w:rFonts w:ascii="Times New Roman" w:hAnsi="Times New Roman" w:eastAsia="仿宋_GB2312"/>
                <w:sz w:val="24"/>
                <w:szCs w:val="24"/>
              </w:rPr>
            </w:pPr>
            <w:r>
              <w:rPr>
                <w:rFonts w:hint="eastAsia" w:ascii="Times New Roman" w:hAnsi="Times New Roman" w:eastAsia="仿宋_GB2312"/>
                <w:sz w:val="24"/>
                <w:szCs w:val="24"/>
              </w:rPr>
              <w:t>100</w:t>
            </w:r>
          </w:p>
        </w:tc>
      </w:tr>
    </w:tbl>
    <w:p>
      <w:pPr>
        <w:pageBreakBefore w:val="0"/>
        <w:topLinePunct w:val="0"/>
        <w:bidi w:val="0"/>
        <w:spacing w:line="312"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附件：优秀学生教学信息员申请表</w:t>
      </w:r>
    </w:p>
    <w:p>
      <w:pPr>
        <w:pageBreakBefore w:val="0"/>
        <w:topLinePunct w:val="0"/>
        <w:bidi w:val="0"/>
        <w:spacing w:line="312" w:lineRule="auto"/>
        <w:ind w:firstLine="560" w:firstLineChars="200"/>
        <w:outlineLvl w:val="9"/>
        <w:rPr>
          <w:rFonts w:hint="eastAsia" w:ascii="Times New Roman" w:hAnsi="Times New Roman" w:eastAsia="仿宋_GB2312"/>
          <w:sz w:val="24"/>
          <w:szCs w:val="24"/>
        </w:rPr>
      </w:pPr>
      <w:r>
        <w:rPr>
          <w:rFonts w:hint="eastAsia" w:ascii="仿宋_GB2312" w:hAnsi="仿宋_GB2312" w:eastAsia="仿宋_GB2312" w:cs="仿宋_GB2312"/>
          <w:kern w:val="2"/>
          <w:sz w:val="28"/>
          <w:szCs w:val="28"/>
          <w:highlight w:val="none"/>
          <w:lang w:val="en-US" w:eastAsia="zh-CN" w:bidi="ar-SA"/>
        </w:rPr>
        <w:br w:type="page"/>
      </w:r>
      <w:r>
        <w:rPr>
          <w:rFonts w:hint="eastAsia" w:ascii="Times New Roman" w:hAnsi="Times New Roman" w:eastAsia="仿宋_GB2312"/>
          <w:sz w:val="24"/>
          <w:szCs w:val="24"/>
        </w:rPr>
        <w:t>附件：</w:t>
      </w:r>
    </w:p>
    <w:p>
      <w:pPr>
        <w:pageBreakBefore w:val="0"/>
        <w:topLinePunct w:val="0"/>
        <w:bidi w:val="0"/>
        <w:spacing w:line="400" w:lineRule="exact"/>
        <w:jc w:val="center"/>
        <w:outlineLvl w:val="9"/>
        <w:rPr>
          <w:rFonts w:hint="eastAsia" w:ascii="Times New Roman" w:hAnsi="Times New Roman" w:eastAsia="仿宋_GB2312"/>
          <w:sz w:val="24"/>
          <w:szCs w:val="24"/>
        </w:rPr>
      </w:pPr>
      <w:r>
        <w:rPr>
          <w:rFonts w:hint="eastAsia" w:ascii="Times New Roman" w:hAnsi="Times New Roman" w:eastAsia="黑体"/>
          <w:sz w:val="30"/>
          <w:szCs w:val="30"/>
        </w:rPr>
        <w:t>优秀学生教学信息员申请表</w:t>
      </w:r>
    </w:p>
    <w:tbl>
      <w:tblPr>
        <w:tblStyle w:val="37"/>
        <w:tblpPr w:leftFromText="180" w:rightFromText="180" w:vertAnchor="page" w:horzAnchor="page" w:tblpXSpec="center" w:tblpY="2731"/>
        <w:tblOverlap w:val="never"/>
        <w:tblW w:w="0" w:type="auto"/>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985"/>
        <w:gridCol w:w="1134"/>
        <w:gridCol w:w="1843"/>
        <w:gridCol w:w="1418"/>
        <w:gridCol w:w="1559"/>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884" w:type="dxa"/>
            <w:noWrap w:val="0"/>
            <w:vAlign w:val="center"/>
          </w:tcPr>
          <w:p>
            <w:pPr>
              <w:pageBreakBefore w:val="0"/>
              <w:topLinePunct w:val="0"/>
              <w:bidi w:val="0"/>
              <w:jc w:val="center"/>
              <w:outlineLvl w:val="9"/>
              <w:rPr>
                <w:rFonts w:hint="eastAsia" w:ascii="仿宋_GB2312" w:eastAsia="仿宋_GB2312"/>
              </w:rPr>
            </w:pPr>
            <w:r>
              <w:rPr>
                <w:rFonts w:hint="eastAsia" w:ascii="仿宋_GB2312" w:eastAsia="仿宋_GB2312"/>
              </w:rPr>
              <w:t>姓名</w:t>
            </w:r>
          </w:p>
        </w:tc>
        <w:tc>
          <w:tcPr>
            <w:tcW w:w="1985" w:type="dxa"/>
            <w:noWrap w:val="0"/>
            <w:vAlign w:val="center"/>
          </w:tcPr>
          <w:p>
            <w:pPr>
              <w:pageBreakBefore w:val="0"/>
              <w:topLinePunct w:val="0"/>
              <w:bidi w:val="0"/>
              <w:jc w:val="center"/>
              <w:outlineLvl w:val="9"/>
              <w:rPr>
                <w:rFonts w:hint="eastAsia" w:ascii="仿宋_GB2312" w:eastAsia="仿宋_GB2312"/>
              </w:rPr>
            </w:pPr>
          </w:p>
        </w:tc>
        <w:tc>
          <w:tcPr>
            <w:tcW w:w="1134" w:type="dxa"/>
            <w:noWrap w:val="0"/>
            <w:vAlign w:val="center"/>
          </w:tcPr>
          <w:p>
            <w:pPr>
              <w:pageBreakBefore w:val="0"/>
              <w:topLinePunct w:val="0"/>
              <w:bidi w:val="0"/>
              <w:jc w:val="center"/>
              <w:outlineLvl w:val="9"/>
              <w:rPr>
                <w:rFonts w:hint="eastAsia" w:ascii="仿宋_GB2312" w:eastAsia="仿宋_GB2312"/>
              </w:rPr>
            </w:pPr>
            <w:r>
              <w:rPr>
                <w:rFonts w:hint="eastAsia" w:ascii="仿宋_GB2312" w:eastAsia="仿宋_GB2312"/>
              </w:rPr>
              <w:t>性别</w:t>
            </w:r>
          </w:p>
        </w:tc>
        <w:tc>
          <w:tcPr>
            <w:tcW w:w="1843" w:type="dxa"/>
            <w:noWrap w:val="0"/>
            <w:vAlign w:val="center"/>
          </w:tcPr>
          <w:p>
            <w:pPr>
              <w:pageBreakBefore w:val="0"/>
              <w:topLinePunct w:val="0"/>
              <w:bidi w:val="0"/>
              <w:jc w:val="center"/>
              <w:outlineLvl w:val="9"/>
              <w:rPr>
                <w:rFonts w:hint="eastAsia" w:ascii="仿宋_GB2312" w:eastAsia="仿宋_GB2312"/>
              </w:rPr>
            </w:pPr>
          </w:p>
        </w:tc>
        <w:tc>
          <w:tcPr>
            <w:tcW w:w="1418" w:type="dxa"/>
            <w:noWrap w:val="0"/>
            <w:vAlign w:val="center"/>
          </w:tcPr>
          <w:p>
            <w:pPr>
              <w:pageBreakBefore w:val="0"/>
              <w:topLinePunct w:val="0"/>
              <w:bidi w:val="0"/>
              <w:jc w:val="center"/>
              <w:outlineLvl w:val="9"/>
              <w:rPr>
                <w:rFonts w:hint="eastAsia" w:ascii="仿宋_GB2312" w:eastAsia="仿宋_GB2312"/>
              </w:rPr>
            </w:pPr>
            <w:r>
              <w:rPr>
                <w:rFonts w:hint="eastAsia" w:ascii="仿宋_GB2312" w:eastAsia="仿宋_GB2312"/>
              </w:rPr>
              <w:t>出生年月</w:t>
            </w:r>
          </w:p>
        </w:tc>
        <w:tc>
          <w:tcPr>
            <w:tcW w:w="1559" w:type="dxa"/>
            <w:noWrap w:val="0"/>
            <w:vAlign w:val="center"/>
          </w:tcPr>
          <w:p>
            <w:pPr>
              <w:pageBreakBefore w:val="0"/>
              <w:topLinePunct w:val="0"/>
              <w:bidi w:val="0"/>
              <w:jc w:val="center"/>
              <w:outlineLvl w:val="9"/>
              <w:rPr>
                <w:rFonts w:hint="eastAsia" w:ascii="仿宋_GB2312" w:eastAsia="仿宋_GB231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884" w:type="dxa"/>
            <w:noWrap w:val="0"/>
            <w:vAlign w:val="center"/>
          </w:tcPr>
          <w:p>
            <w:pPr>
              <w:pageBreakBefore w:val="0"/>
              <w:topLinePunct w:val="0"/>
              <w:bidi w:val="0"/>
              <w:jc w:val="center"/>
              <w:outlineLvl w:val="9"/>
              <w:rPr>
                <w:rFonts w:hint="eastAsia" w:ascii="仿宋_GB2312" w:eastAsia="仿宋_GB2312"/>
              </w:rPr>
            </w:pPr>
            <w:r>
              <w:rPr>
                <w:rFonts w:hint="eastAsia" w:ascii="仿宋_GB2312" w:eastAsia="仿宋_GB2312"/>
              </w:rPr>
              <w:t>院系</w:t>
            </w:r>
          </w:p>
        </w:tc>
        <w:tc>
          <w:tcPr>
            <w:tcW w:w="1985" w:type="dxa"/>
            <w:noWrap w:val="0"/>
            <w:vAlign w:val="center"/>
          </w:tcPr>
          <w:p>
            <w:pPr>
              <w:pageBreakBefore w:val="0"/>
              <w:topLinePunct w:val="0"/>
              <w:bidi w:val="0"/>
              <w:jc w:val="center"/>
              <w:outlineLvl w:val="9"/>
              <w:rPr>
                <w:rFonts w:hint="eastAsia" w:ascii="仿宋_GB2312" w:eastAsia="仿宋_GB2312"/>
              </w:rPr>
            </w:pPr>
          </w:p>
        </w:tc>
        <w:tc>
          <w:tcPr>
            <w:tcW w:w="1134" w:type="dxa"/>
            <w:noWrap w:val="0"/>
            <w:vAlign w:val="center"/>
          </w:tcPr>
          <w:p>
            <w:pPr>
              <w:pageBreakBefore w:val="0"/>
              <w:topLinePunct w:val="0"/>
              <w:bidi w:val="0"/>
              <w:jc w:val="center"/>
              <w:outlineLvl w:val="9"/>
              <w:rPr>
                <w:rFonts w:hint="eastAsia" w:ascii="仿宋_GB2312" w:eastAsia="仿宋_GB2312"/>
              </w:rPr>
            </w:pPr>
            <w:r>
              <w:rPr>
                <w:rFonts w:hint="eastAsia" w:ascii="仿宋_GB2312" w:eastAsia="仿宋_GB2312"/>
              </w:rPr>
              <w:t>班级</w:t>
            </w:r>
          </w:p>
        </w:tc>
        <w:tc>
          <w:tcPr>
            <w:tcW w:w="1843" w:type="dxa"/>
            <w:noWrap w:val="0"/>
            <w:vAlign w:val="center"/>
          </w:tcPr>
          <w:p>
            <w:pPr>
              <w:pageBreakBefore w:val="0"/>
              <w:topLinePunct w:val="0"/>
              <w:bidi w:val="0"/>
              <w:jc w:val="center"/>
              <w:outlineLvl w:val="9"/>
              <w:rPr>
                <w:rFonts w:hint="eastAsia" w:ascii="仿宋_GB2312" w:eastAsia="仿宋_GB2312"/>
              </w:rPr>
            </w:pPr>
          </w:p>
        </w:tc>
        <w:tc>
          <w:tcPr>
            <w:tcW w:w="1418" w:type="dxa"/>
            <w:noWrap w:val="0"/>
            <w:vAlign w:val="center"/>
          </w:tcPr>
          <w:p>
            <w:pPr>
              <w:pageBreakBefore w:val="0"/>
              <w:topLinePunct w:val="0"/>
              <w:bidi w:val="0"/>
              <w:jc w:val="center"/>
              <w:outlineLvl w:val="9"/>
              <w:rPr>
                <w:rFonts w:hint="eastAsia" w:ascii="仿宋_GB2312" w:eastAsia="仿宋_GB2312"/>
              </w:rPr>
            </w:pPr>
            <w:r>
              <w:rPr>
                <w:rFonts w:hint="eastAsia" w:ascii="仿宋_GB2312" w:eastAsia="仿宋_GB2312"/>
              </w:rPr>
              <w:t>学号</w:t>
            </w:r>
          </w:p>
        </w:tc>
        <w:tc>
          <w:tcPr>
            <w:tcW w:w="1559" w:type="dxa"/>
            <w:noWrap w:val="0"/>
            <w:vAlign w:val="center"/>
          </w:tcPr>
          <w:p>
            <w:pPr>
              <w:pageBreakBefore w:val="0"/>
              <w:topLinePunct w:val="0"/>
              <w:bidi w:val="0"/>
              <w:jc w:val="center"/>
              <w:outlineLvl w:val="9"/>
              <w:rPr>
                <w:rFonts w:hint="eastAsia" w:ascii="仿宋_GB2312" w:eastAsia="仿宋_GB231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884" w:type="dxa"/>
            <w:noWrap w:val="0"/>
            <w:vAlign w:val="center"/>
          </w:tcPr>
          <w:p>
            <w:pPr>
              <w:pageBreakBefore w:val="0"/>
              <w:topLinePunct w:val="0"/>
              <w:bidi w:val="0"/>
              <w:jc w:val="center"/>
              <w:outlineLvl w:val="9"/>
              <w:rPr>
                <w:rFonts w:hint="eastAsia" w:ascii="仿宋_GB2312" w:eastAsia="仿宋_GB2312"/>
              </w:rPr>
            </w:pPr>
            <w:r>
              <w:rPr>
                <w:rFonts w:hint="eastAsia" w:ascii="仿宋_GB2312" w:eastAsia="仿宋_GB2312"/>
              </w:rPr>
              <w:t>民族</w:t>
            </w:r>
          </w:p>
        </w:tc>
        <w:tc>
          <w:tcPr>
            <w:tcW w:w="1985" w:type="dxa"/>
            <w:noWrap w:val="0"/>
            <w:vAlign w:val="center"/>
          </w:tcPr>
          <w:p>
            <w:pPr>
              <w:pageBreakBefore w:val="0"/>
              <w:topLinePunct w:val="0"/>
              <w:bidi w:val="0"/>
              <w:jc w:val="center"/>
              <w:outlineLvl w:val="9"/>
              <w:rPr>
                <w:rFonts w:hint="eastAsia" w:ascii="仿宋_GB2312" w:eastAsia="仿宋_GB2312"/>
              </w:rPr>
            </w:pPr>
          </w:p>
        </w:tc>
        <w:tc>
          <w:tcPr>
            <w:tcW w:w="1134" w:type="dxa"/>
            <w:noWrap w:val="0"/>
            <w:vAlign w:val="center"/>
          </w:tcPr>
          <w:p>
            <w:pPr>
              <w:pageBreakBefore w:val="0"/>
              <w:topLinePunct w:val="0"/>
              <w:bidi w:val="0"/>
              <w:jc w:val="center"/>
              <w:outlineLvl w:val="9"/>
              <w:rPr>
                <w:rFonts w:hint="eastAsia" w:ascii="仿宋_GB2312" w:eastAsia="仿宋_GB2312"/>
              </w:rPr>
            </w:pPr>
            <w:r>
              <w:rPr>
                <w:rFonts w:hint="eastAsia" w:ascii="仿宋_GB2312" w:eastAsia="仿宋_GB2312"/>
              </w:rPr>
              <w:t>担任职务</w:t>
            </w:r>
          </w:p>
        </w:tc>
        <w:tc>
          <w:tcPr>
            <w:tcW w:w="1843" w:type="dxa"/>
            <w:noWrap w:val="0"/>
            <w:vAlign w:val="center"/>
          </w:tcPr>
          <w:p>
            <w:pPr>
              <w:pageBreakBefore w:val="0"/>
              <w:topLinePunct w:val="0"/>
              <w:bidi w:val="0"/>
              <w:jc w:val="center"/>
              <w:outlineLvl w:val="9"/>
              <w:rPr>
                <w:rFonts w:hint="eastAsia" w:ascii="仿宋_GB2312" w:eastAsia="仿宋_GB2312"/>
              </w:rPr>
            </w:pPr>
          </w:p>
        </w:tc>
        <w:tc>
          <w:tcPr>
            <w:tcW w:w="1418" w:type="dxa"/>
            <w:noWrap w:val="0"/>
            <w:vAlign w:val="center"/>
          </w:tcPr>
          <w:p>
            <w:pPr>
              <w:pageBreakBefore w:val="0"/>
              <w:topLinePunct w:val="0"/>
              <w:bidi w:val="0"/>
              <w:jc w:val="center"/>
              <w:outlineLvl w:val="9"/>
              <w:rPr>
                <w:rFonts w:hint="eastAsia" w:ascii="仿宋_GB2312" w:eastAsia="仿宋_GB2312"/>
              </w:rPr>
            </w:pPr>
            <w:r>
              <w:rPr>
                <w:rFonts w:hint="eastAsia" w:ascii="仿宋_GB2312" w:eastAsia="仿宋_GB2312"/>
              </w:rPr>
              <w:t>是否团/党员</w:t>
            </w:r>
          </w:p>
        </w:tc>
        <w:tc>
          <w:tcPr>
            <w:tcW w:w="1559" w:type="dxa"/>
            <w:noWrap w:val="0"/>
            <w:vAlign w:val="center"/>
          </w:tcPr>
          <w:p>
            <w:pPr>
              <w:pageBreakBefore w:val="0"/>
              <w:topLinePunct w:val="0"/>
              <w:bidi w:val="0"/>
              <w:jc w:val="center"/>
              <w:outlineLvl w:val="9"/>
              <w:rPr>
                <w:rFonts w:hint="eastAsia" w:ascii="仿宋_GB2312" w:eastAsia="仿宋_GB231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197" w:hRule="atLeast"/>
        </w:trPr>
        <w:tc>
          <w:tcPr>
            <w:tcW w:w="884" w:type="dxa"/>
            <w:noWrap w:val="0"/>
            <w:vAlign w:val="center"/>
          </w:tcPr>
          <w:p>
            <w:pPr>
              <w:pageBreakBefore w:val="0"/>
              <w:topLinePunct w:val="0"/>
              <w:bidi w:val="0"/>
              <w:jc w:val="center"/>
              <w:outlineLvl w:val="9"/>
              <w:rPr>
                <w:rFonts w:hint="eastAsia" w:ascii="仿宋_GB2312" w:eastAsia="仿宋_GB2312"/>
              </w:rPr>
            </w:pPr>
            <w:r>
              <w:rPr>
                <w:rFonts w:hint="eastAsia" w:ascii="仿宋_GB2312" w:eastAsia="仿宋_GB2312"/>
              </w:rPr>
              <w:t>工作</w:t>
            </w:r>
          </w:p>
          <w:p>
            <w:pPr>
              <w:pageBreakBefore w:val="0"/>
              <w:topLinePunct w:val="0"/>
              <w:bidi w:val="0"/>
              <w:jc w:val="center"/>
              <w:outlineLvl w:val="9"/>
              <w:rPr>
                <w:rFonts w:hint="eastAsia" w:ascii="仿宋_GB2312" w:eastAsia="仿宋_GB2312"/>
              </w:rPr>
            </w:pPr>
            <w:r>
              <w:rPr>
                <w:rFonts w:hint="eastAsia" w:ascii="仿宋_GB2312" w:eastAsia="仿宋_GB2312"/>
              </w:rPr>
              <w:t>业绩</w:t>
            </w:r>
          </w:p>
        </w:tc>
        <w:tc>
          <w:tcPr>
            <w:tcW w:w="7939" w:type="dxa"/>
            <w:gridSpan w:val="5"/>
            <w:noWrap w:val="0"/>
            <w:vAlign w:val="center"/>
          </w:tcPr>
          <w:p>
            <w:pPr>
              <w:pageBreakBefore w:val="0"/>
              <w:topLinePunct w:val="0"/>
              <w:bidi w:val="0"/>
              <w:outlineLvl w:val="9"/>
              <w:rPr>
                <w:rFonts w:hint="eastAsia" w:ascii="仿宋_GB2312" w:eastAsia="仿宋_GB2312"/>
              </w:rPr>
            </w:pPr>
          </w:p>
          <w:p>
            <w:pPr>
              <w:pageBreakBefore w:val="0"/>
              <w:topLinePunct w:val="0"/>
              <w:bidi w:val="0"/>
              <w:outlineLvl w:val="9"/>
              <w:rPr>
                <w:rFonts w:hint="eastAsia" w:ascii="仿宋_GB2312" w:eastAsia="仿宋_GB2312"/>
              </w:rPr>
            </w:pPr>
          </w:p>
          <w:p>
            <w:pPr>
              <w:pageBreakBefore w:val="0"/>
              <w:topLinePunct w:val="0"/>
              <w:bidi w:val="0"/>
              <w:outlineLvl w:val="9"/>
              <w:rPr>
                <w:rFonts w:hint="eastAsia" w:ascii="仿宋_GB2312" w:eastAsia="仿宋_GB2312"/>
              </w:rPr>
            </w:pPr>
          </w:p>
          <w:p>
            <w:pPr>
              <w:pageBreakBefore w:val="0"/>
              <w:topLinePunct w:val="0"/>
              <w:bidi w:val="0"/>
              <w:outlineLvl w:val="9"/>
              <w:rPr>
                <w:rFonts w:hint="eastAsia" w:ascii="仿宋_GB2312" w:eastAsia="仿宋_GB2312"/>
              </w:rPr>
            </w:pPr>
          </w:p>
          <w:p>
            <w:pPr>
              <w:pageBreakBefore w:val="0"/>
              <w:topLinePunct w:val="0"/>
              <w:bidi w:val="0"/>
              <w:outlineLvl w:val="9"/>
              <w:rPr>
                <w:rFonts w:hint="eastAsia" w:ascii="仿宋_GB2312" w:eastAsia="仿宋_GB2312"/>
              </w:rPr>
            </w:pPr>
          </w:p>
          <w:p>
            <w:pPr>
              <w:pageBreakBefore w:val="0"/>
              <w:topLinePunct w:val="0"/>
              <w:bidi w:val="0"/>
              <w:outlineLvl w:val="9"/>
              <w:rPr>
                <w:rFonts w:hint="eastAsia" w:ascii="仿宋_GB2312" w:eastAsia="仿宋_GB2312"/>
              </w:rPr>
            </w:pPr>
          </w:p>
          <w:p>
            <w:pPr>
              <w:pageBreakBefore w:val="0"/>
              <w:topLinePunct w:val="0"/>
              <w:bidi w:val="0"/>
              <w:outlineLvl w:val="9"/>
              <w:rPr>
                <w:rFonts w:hint="eastAsia" w:ascii="仿宋_GB2312" w:eastAsia="仿宋_GB2312"/>
              </w:rPr>
            </w:pPr>
          </w:p>
          <w:p>
            <w:pPr>
              <w:pageBreakBefore w:val="0"/>
              <w:topLinePunct w:val="0"/>
              <w:bidi w:val="0"/>
              <w:outlineLvl w:val="9"/>
              <w:rPr>
                <w:rFonts w:hint="eastAsia" w:ascii="仿宋_GB2312" w:eastAsia="仿宋_GB2312"/>
              </w:rPr>
            </w:pPr>
          </w:p>
          <w:p>
            <w:pPr>
              <w:pageBreakBefore w:val="0"/>
              <w:topLinePunct w:val="0"/>
              <w:bidi w:val="0"/>
              <w:outlineLvl w:val="9"/>
              <w:rPr>
                <w:rFonts w:hint="eastAsia" w:ascii="仿宋_GB2312" w:eastAsia="仿宋_GB2312"/>
              </w:rPr>
            </w:pPr>
          </w:p>
          <w:p>
            <w:pPr>
              <w:pageBreakBefore w:val="0"/>
              <w:topLinePunct w:val="0"/>
              <w:bidi w:val="0"/>
              <w:outlineLvl w:val="9"/>
              <w:rPr>
                <w:rFonts w:hint="eastAsia" w:ascii="仿宋_GB2312" w:eastAsia="仿宋_GB2312"/>
              </w:rPr>
            </w:pPr>
          </w:p>
          <w:p>
            <w:pPr>
              <w:pageBreakBefore w:val="0"/>
              <w:topLinePunct w:val="0"/>
              <w:bidi w:val="0"/>
              <w:outlineLvl w:val="9"/>
              <w:rPr>
                <w:rFonts w:hint="eastAsia" w:ascii="仿宋_GB2312" w:eastAsia="仿宋_GB2312"/>
              </w:rPr>
            </w:pPr>
          </w:p>
          <w:p>
            <w:pPr>
              <w:pageBreakBefore w:val="0"/>
              <w:topLinePunct w:val="0"/>
              <w:bidi w:val="0"/>
              <w:outlineLvl w:val="9"/>
              <w:rPr>
                <w:rFonts w:hint="eastAsia" w:ascii="仿宋_GB2312" w:eastAsia="仿宋_GB2312"/>
              </w:rPr>
            </w:pPr>
          </w:p>
          <w:p>
            <w:pPr>
              <w:pageBreakBefore w:val="0"/>
              <w:topLinePunct w:val="0"/>
              <w:bidi w:val="0"/>
              <w:outlineLvl w:val="9"/>
              <w:rPr>
                <w:rFonts w:hint="eastAsia" w:ascii="仿宋_GB2312" w:eastAsia="仿宋_GB2312"/>
              </w:rPr>
            </w:pPr>
          </w:p>
          <w:p>
            <w:pPr>
              <w:pageBreakBefore w:val="0"/>
              <w:topLinePunct w:val="0"/>
              <w:bidi w:val="0"/>
              <w:outlineLvl w:val="9"/>
              <w:rPr>
                <w:rFonts w:hint="eastAsia" w:ascii="仿宋_GB2312" w:eastAsia="仿宋_GB2312"/>
              </w:rPr>
            </w:pPr>
          </w:p>
          <w:p>
            <w:pPr>
              <w:pageBreakBefore w:val="0"/>
              <w:topLinePunct w:val="0"/>
              <w:bidi w:val="0"/>
              <w:outlineLvl w:val="9"/>
              <w:rPr>
                <w:rFonts w:hint="eastAsia" w:ascii="仿宋_GB2312" w:eastAsia="仿宋_GB2312"/>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70" w:hRule="atLeast"/>
        </w:trPr>
        <w:tc>
          <w:tcPr>
            <w:tcW w:w="8823" w:type="dxa"/>
            <w:gridSpan w:val="6"/>
            <w:noWrap w:val="0"/>
            <w:vAlign w:val="center"/>
          </w:tcPr>
          <w:p>
            <w:pPr>
              <w:pageBreakBefore w:val="0"/>
              <w:topLinePunct w:val="0"/>
              <w:bidi w:val="0"/>
              <w:outlineLvl w:val="9"/>
              <w:rPr>
                <w:rFonts w:hint="eastAsia" w:ascii="仿宋_GB2312" w:eastAsia="仿宋_GB2312"/>
              </w:rPr>
            </w:pPr>
            <w:r>
              <w:rPr>
                <w:rFonts w:hint="eastAsia" w:ascii="仿宋_GB2312" w:eastAsia="仿宋_GB2312"/>
              </w:rPr>
              <w:t>所在二级学院学生教学信息组组长意见：</w:t>
            </w:r>
          </w:p>
          <w:p>
            <w:pPr>
              <w:pageBreakBefore w:val="0"/>
              <w:topLinePunct w:val="0"/>
              <w:bidi w:val="0"/>
              <w:jc w:val="left"/>
              <w:outlineLvl w:val="9"/>
              <w:rPr>
                <w:rFonts w:hint="eastAsia" w:ascii="仿宋_GB2312" w:eastAsia="仿宋_GB2312"/>
              </w:rPr>
            </w:pPr>
          </w:p>
          <w:p>
            <w:pPr>
              <w:pageBreakBefore w:val="0"/>
              <w:topLinePunct w:val="0"/>
              <w:bidi w:val="0"/>
              <w:jc w:val="center"/>
              <w:outlineLvl w:val="9"/>
              <w:rPr>
                <w:rFonts w:hint="eastAsia" w:ascii="仿宋_GB2312" w:eastAsia="仿宋_GB2312"/>
              </w:rPr>
            </w:pPr>
          </w:p>
          <w:p>
            <w:pPr>
              <w:pageBreakBefore w:val="0"/>
              <w:topLinePunct w:val="0"/>
              <w:bidi w:val="0"/>
              <w:jc w:val="center"/>
              <w:outlineLvl w:val="9"/>
              <w:rPr>
                <w:rFonts w:hint="eastAsia" w:ascii="仿宋_GB2312" w:eastAsia="仿宋_GB2312"/>
              </w:rPr>
            </w:pPr>
          </w:p>
          <w:p>
            <w:pPr>
              <w:pageBreakBefore w:val="0"/>
              <w:topLinePunct w:val="0"/>
              <w:bidi w:val="0"/>
              <w:jc w:val="center"/>
              <w:outlineLvl w:val="9"/>
              <w:rPr>
                <w:rFonts w:hint="eastAsia" w:ascii="仿宋_GB2312" w:eastAsia="仿宋_GB2312"/>
              </w:rPr>
            </w:pPr>
          </w:p>
          <w:p>
            <w:pPr>
              <w:pageBreakBefore w:val="0"/>
              <w:topLinePunct w:val="0"/>
              <w:bidi w:val="0"/>
              <w:jc w:val="center"/>
              <w:outlineLvl w:val="9"/>
              <w:rPr>
                <w:rFonts w:hint="eastAsia" w:ascii="仿宋_GB2312" w:eastAsia="仿宋_GB2312"/>
              </w:rPr>
            </w:pPr>
            <w:r>
              <w:rPr>
                <w:rFonts w:hint="eastAsia" w:ascii="仿宋_GB2312" w:eastAsia="仿宋_GB2312"/>
              </w:rPr>
              <w:t xml:space="preserve">                                          签名：             日期：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8823" w:type="dxa"/>
            <w:gridSpan w:val="6"/>
            <w:noWrap w:val="0"/>
            <w:vAlign w:val="center"/>
          </w:tcPr>
          <w:p>
            <w:pPr>
              <w:pageBreakBefore w:val="0"/>
              <w:topLinePunct w:val="0"/>
              <w:bidi w:val="0"/>
              <w:outlineLvl w:val="9"/>
              <w:rPr>
                <w:rFonts w:hint="eastAsia" w:ascii="仿宋_GB2312" w:eastAsia="仿宋_GB2312"/>
                <w:szCs w:val="21"/>
              </w:rPr>
            </w:pPr>
            <w:r>
              <w:rPr>
                <w:rFonts w:hint="eastAsia" w:ascii="仿宋_GB2312" w:hAnsi="宋体" w:eastAsia="仿宋_GB2312"/>
                <w:szCs w:val="21"/>
              </w:rPr>
              <w:t>学生教学信息中心副主任意见：</w:t>
            </w:r>
          </w:p>
          <w:p>
            <w:pPr>
              <w:pageBreakBefore w:val="0"/>
              <w:topLinePunct w:val="0"/>
              <w:bidi w:val="0"/>
              <w:jc w:val="center"/>
              <w:outlineLvl w:val="9"/>
              <w:rPr>
                <w:rFonts w:hint="eastAsia" w:ascii="仿宋_GB2312" w:eastAsia="仿宋_GB2312"/>
              </w:rPr>
            </w:pPr>
          </w:p>
          <w:p>
            <w:pPr>
              <w:pageBreakBefore w:val="0"/>
              <w:topLinePunct w:val="0"/>
              <w:bidi w:val="0"/>
              <w:jc w:val="center"/>
              <w:outlineLvl w:val="9"/>
              <w:rPr>
                <w:rFonts w:hint="eastAsia" w:ascii="仿宋_GB2312" w:eastAsia="仿宋_GB2312"/>
              </w:rPr>
            </w:pPr>
          </w:p>
          <w:p>
            <w:pPr>
              <w:pageBreakBefore w:val="0"/>
              <w:topLinePunct w:val="0"/>
              <w:bidi w:val="0"/>
              <w:jc w:val="center"/>
              <w:outlineLvl w:val="9"/>
              <w:rPr>
                <w:rFonts w:hint="eastAsia" w:ascii="仿宋_GB2312" w:eastAsia="仿宋_GB2312"/>
              </w:rPr>
            </w:pPr>
          </w:p>
          <w:p>
            <w:pPr>
              <w:pageBreakBefore w:val="0"/>
              <w:topLinePunct w:val="0"/>
              <w:bidi w:val="0"/>
              <w:outlineLvl w:val="9"/>
              <w:rPr>
                <w:rFonts w:hint="eastAsia" w:ascii="仿宋_GB2312" w:eastAsia="仿宋_GB2312"/>
              </w:rPr>
            </w:pPr>
            <w:r>
              <w:rPr>
                <w:rFonts w:hint="eastAsia" w:ascii="仿宋_GB2312" w:eastAsia="仿宋_GB2312"/>
              </w:rPr>
              <w:t xml:space="preserve">                                                  签名：             日期：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8823" w:type="dxa"/>
            <w:gridSpan w:val="6"/>
            <w:noWrap w:val="0"/>
            <w:vAlign w:val="center"/>
          </w:tcPr>
          <w:p>
            <w:pPr>
              <w:pageBreakBefore w:val="0"/>
              <w:topLinePunct w:val="0"/>
              <w:bidi w:val="0"/>
              <w:outlineLvl w:val="9"/>
              <w:rPr>
                <w:rFonts w:hint="eastAsia" w:ascii="仿宋_GB2312" w:eastAsia="仿宋_GB2312"/>
                <w:szCs w:val="21"/>
              </w:rPr>
            </w:pPr>
            <w:r>
              <w:rPr>
                <w:rFonts w:hint="eastAsia" w:ascii="仿宋_GB2312" w:eastAsia="仿宋_GB2312"/>
                <w:szCs w:val="21"/>
              </w:rPr>
              <w:t>教务处意见：</w:t>
            </w:r>
          </w:p>
          <w:p>
            <w:pPr>
              <w:pageBreakBefore w:val="0"/>
              <w:topLinePunct w:val="0"/>
              <w:bidi w:val="0"/>
              <w:jc w:val="center"/>
              <w:outlineLvl w:val="9"/>
              <w:rPr>
                <w:rFonts w:hint="eastAsia" w:ascii="仿宋_GB2312" w:eastAsia="仿宋_GB2312"/>
              </w:rPr>
            </w:pPr>
          </w:p>
          <w:p>
            <w:pPr>
              <w:pageBreakBefore w:val="0"/>
              <w:topLinePunct w:val="0"/>
              <w:bidi w:val="0"/>
              <w:jc w:val="center"/>
              <w:outlineLvl w:val="9"/>
              <w:rPr>
                <w:rFonts w:hint="eastAsia" w:ascii="仿宋_GB2312" w:eastAsia="仿宋_GB2312"/>
              </w:rPr>
            </w:pPr>
          </w:p>
          <w:p>
            <w:pPr>
              <w:pageBreakBefore w:val="0"/>
              <w:topLinePunct w:val="0"/>
              <w:bidi w:val="0"/>
              <w:jc w:val="center"/>
              <w:outlineLvl w:val="9"/>
              <w:rPr>
                <w:rFonts w:hint="eastAsia" w:ascii="仿宋_GB2312" w:eastAsia="仿宋_GB2312"/>
              </w:rPr>
            </w:pPr>
            <w:r>
              <w:rPr>
                <w:rFonts w:hint="eastAsia" w:ascii="仿宋_GB2312" w:eastAsia="仿宋_GB2312"/>
              </w:rPr>
              <w:t xml:space="preserve"> </w:t>
            </w:r>
          </w:p>
          <w:p>
            <w:pPr>
              <w:pageBreakBefore w:val="0"/>
              <w:topLinePunct w:val="0"/>
              <w:bidi w:val="0"/>
              <w:outlineLvl w:val="9"/>
              <w:rPr>
                <w:rFonts w:hint="eastAsia" w:ascii="仿宋_GB2312" w:eastAsia="仿宋_GB2312"/>
              </w:rPr>
            </w:pPr>
            <w:r>
              <w:rPr>
                <w:rFonts w:hint="eastAsia" w:ascii="仿宋_GB2312" w:eastAsia="仿宋_GB2312"/>
              </w:rPr>
              <w:t xml:space="preserve">                                                  签名：             日期：</w:t>
            </w:r>
          </w:p>
        </w:tc>
      </w:tr>
    </w:tbl>
    <w:p>
      <w:pPr>
        <w:pageBreakBefore w:val="0"/>
        <w:topLinePunct w:val="0"/>
        <w:bidi w:val="0"/>
        <w:spacing w:line="560" w:lineRule="exact"/>
        <w:ind w:right="300"/>
        <w:outlineLvl w:val="9"/>
        <w:rPr>
          <w:rFonts w:ascii="Times New Roman" w:hAnsi="Times New Roman" w:eastAsia="仿宋_GB2312"/>
          <w:sz w:val="30"/>
          <w:szCs w:val="30"/>
        </w:rPr>
      </w:pPr>
      <w:r>
        <w:rPr>
          <w:rFonts w:ascii="Times New Roman" w:hAnsi="Times New Roman" w:eastAsia="仿宋_GB2312"/>
          <w:sz w:val="30"/>
          <w:szCs w:val="30"/>
        </w:rPr>
        <w:br w:type="page"/>
      </w:r>
    </w:p>
    <w:p>
      <w:pPr>
        <w:pageBreakBefore w:val="0"/>
        <w:topLinePunct w:val="0"/>
        <w:bidi w:val="0"/>
        <w:jc w:val="both"/>
        <w:outlineLvl w:val="9"/>
        <w:rPr>
          <w:color w:val="FF0000"/>
          <w:sz w:val="24"/>
        </w:rPr>
      </w:pPr>
      <w:bookmarkStart w:id="153" w:name="_Toc20387"/>
      <w:bookmarkStart w:id="154" w:name="_Toc31595"/>
      <w:bookmarkStart w:id="155" w:name="_Toc7270"/>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ascii="华文中宋" w:hAnsi="华文中宋" w:eastAsia="华文中宋"/>
          <w:b/>
          <w:color w:val="FF0000"/>
          <w:spacing w:val="266"/>
          <w:w w:val="72"/>
          <w:kern w:val="0"/>
          <w:sz w:val="72"/>
          <w:szCs w:val="72"/>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jc w:val="both"/>
        <w:outlineLvl w:val="9"/>
        <w:rPr>
          <w:sz w:val="24"/>
        </w:rPr>
      </w:pPr>
    </w:p>
    <w:p>
      <w:pPr>
        <w:pageBreakBefore w:val="0"/>
        <w:topLinePunct w:val="0"/>
        <w:bidi w:val="0"/>
        <w:spacing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8〕1</w:t>
      </w:r>
      <w:r>
        <w:rPr>
          <w:rFonts w:hint="eastAsia" w:ascii="仿宋_GB2312" w:eastAsia="仿宋_GB2312"/>
          <w:color w:val="000000"/>
          <w:kern w:val="0"/>
          <w:sz w:val="32"/>
          <w:szCs w:val="28"/>
          <w:lang w:val="en-US" w:eastAsia="zh-CN"/>
        </w:rPr>
        <w:t>19</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napToGrid w:val="0"/>
        <w:spacing w:beforeLines="100" w:line="5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pStyle w:val="98"/>
        <w:pageBreakBefore w:val="0"/>
        <w:shd w:val="clear" w:color="auto" w:fill="FFFFFF"/>
        <w:topLinePunct w:val="0"/>
        <w:bidi w:val="0"/>
        <w:spacing w:before="0" w:beforeAutospacing="0" w:after="0" w:afterAutospacing="0" w:line="560" w:lineRule="exact"/>
        <w:jc w:val="center"/>
        <w:outlineLvl w:val="9"/>
        <w:rPr>
          <w:rFonts w:hint="eastAsia" w:ascii="宋体" w:hAnsi="宋体" w:eastAsia="华文中宋" w:cs="宋体"/>
          <w:b/>
          <w:kern w:val="0"/>
          <w:sz w:val="36"/>
          <w:szCs w:val="24"/>
        </w:rPr>
      </w:pPr>
    </w:p>
    <w:p>
      <w:pPr>
        <w:keepNext w:val="0"/>
        <w:keepLines w:val="0"/>
        <w:pageBreakBefore w:val="0"/>
        <w:widowControl w:val="0"/>
        <w:tabs>
          <w:tab w:val="left" w:pos="426"/>
        </w:tabs>
        <w:kinsoku/>
        <w:wordWrap/>
        <w:overflowPunct/>
        <w:topLinePunct w:val="0"/>
        <w:autoSpaceDE/>
        <w:autoSpaceDN/>
        <w:bidi w:val="0"/>
        <w:adjustRightInd/>
        <w:snapToGrid/>
        <w:spacing w:after="312" w:afterLines="100" w:line="560" w:lineRule="exact"/>
        <w:jc w:val="center"/>
        <w:textAlignment w:val="auto"/>
        <w:outlineLvl w:val="0"/>
        <w:rPr>
          <w:rFonts w:hint="eastAsia" w:ascii="黑体" w:hAnsi="黑体" w:eastAsia="黑体" w:cs="黑体"/>
          <w:b/>
          <w:color w:val="000000"/>
          <w:sz w:val="36"/>
          <w:szCs w:val="36"/>
        </w:rPr>
      </w:pPr>
      <w:bookmarkStart w:id="156" w:name="_Toc9183"/>
      <w:r>
        <w:rPr>
          <w:rFonts w:hint="eastAsia" w:ascii="黑体" w:hAnsi="黑体" w:eastAsia="黑体" w:cs="黑体"/>
          <w:b/>
          <w:kern w:val="0"/>
          <w:sz w:val="36"/>
          <w:szCs w:val="24"/>
        </w:rPr>
        <w:t>关于</w:t>
      </w:r>
      <w:r>
        <w:rPr>
          <w:rFonts w:hint="eastAsia" w:ascii="黑体" w:hAnsi="黑体" w:eastAsia="黑体" w:cs="黑体"/>
          <w:b/>
          <w:bCs w:val="0"/>
          <w:kern w:val="0"/>
          <w:sz w:val="36"/>
          <w:szCs w:val="36"/>
        </w:rPr>
        <w:t>印发</w:t>
      </w:r>
      <w:r>
        <w:rPr>
          <w:rFonts w:hint="eastAsia" w:ascii="黑体" w:hAnsi="黑体" w:eastAsia="黑体" w:cs="黑体"/>
          <w:b/>
          <w:bCs w:val="0"/>
          <w:sz w:val="36"/>
          <w:szCs w:val="36"/>
        </w:rPr>
        <w:t>《上海电子信息职业技术学院实践教学管理规范》的通知</w:t>
      </w:r>
      <w:bookmarkEnd w:id="156"/>
    </w:p>
    <w:p>
      <w:pPr>
        <w:pageBreakBefore w:val="0"/>
        <w:tabs>
          <w:tab w:val="left" w:pos="426"/>
        </w:tabs>
        <w:topLinePunct w:val="0"/>
        <w:bidi w:val="0"/>
        <w:spacing w:after="312" w:afterLines="100" w:line="400" w:lineRule="exact"/>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abs>
          <w:tab w:val="left" w:pos="426"/>
        </w:tabs>
        <w:topLinePunct w:val="0"/>
        <w:bidi w:val="0"/>
        <w:spacing w:after="312" w:afterLines="100" w:line="400" w:lineRule="exact"/>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abs>
          <w:tab w:val="left" w:pos="426"/>
        </w:tabs>
        <w:topLinePunct w:val="0"/>
        <w:bidi w:val="0"/>
        <w:spacing w:after="312" w:afterLines="100" w:line="400" w:lineRule="exact"/>
        <w:ind w:firstLine="560" w:firstLineChars="200"/>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现将《上海电子信息职业技术学院实践教学管理规范》印发给你们，请结合本部门工作实际，认真研究执行。</w:t>
      </w:r>
      <w:r>
        <w:rPr>
          <w:rFonts w:hint="eastAsia" w:ascii="仿宋_GB2312" w:hAnsi="仿宋_GB2312" w:eastAsia="仿宋_GB2312" w:cs="仿宋_GB2312"/>
          <w:kern w:val="2"/>
          <w:sz w:val="28"/>
          <w:szCs w:val="28"/>
          <w:highlight w:val="none"/>
          <w:lang w:val="en-US" w:eastAsia="zh-CN" w:bidi="ar-SA"/>
        </w:rPr>
        <w:tab/>
      </w:r>
    </w:p>
    <w:p>
      <w:pPr>
        <w:pageBreakBefore w:val="0"/>
        <w:tabs>
          <w:tab w:val="left" w:pos="426"/>
        </w:tabs>
        <w:topLinePunct w:val="0"/>
        <w:bidi w:val="0"/>
        <w:spacing w:after="312" w:afterLines="100" w:line="400" w:lineRule="exact"/>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abs>
          <w:tab w:val="left" w:pos="426"/>
        </w:tabs>
        <w:topLinePunct w:val="0"/>
        <w:bidi w:val="0"/>
        <w:spacing w:after="312" w:afterLines="100" w:line="400" w:lineRule="exact"/>
        <w:ind w:firstLine="560" w:firstLineChars="200"/>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附件：上海电子信息职业技术学院实践教学管理规范</w:t>
      </w:r>
    </w:p>
    <w:p>
      <w:pPr>
        <w:pageBreakBefore w:val="0"/>
        <w:topLinePunct w:val="0"/>
        <w:bidi w:val="0"/>
        <w:spacing w:line="360" w:lineRule="auto"/>
        <w:ind w:left="1478" w:leftChars="304" w:hanging="840" w:hangingChars="300"/>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left="1470" w:leftChars="300"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firstLine="3220" w:firstLineChars="11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00" w:lineRule="exact"/>
        <w:ind w:right="48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2018年7月10日</w:t>
      </w:r>
    </w:p>
    <w:p>
      <w:pPr>
        <w:pageBreakBefore w:val="0"/>
        <w:tabs>
          <w:tab w:val="left" w:pos="426"/>
        </w:tabs>
        <w:topLinePunct w:val="0"/>
        <w:bidi w:val="0"/>
        <w:spacing w:after="312" w:afterLines="100" w:line="400" w:lineRule="exact"/>
        <w:jc w:val="both"/>
        <w:outlineLvl w:val="9"/>
        <w:rPr>
          <w:rFonts w:hint="eastAsia" w:ascii="仿宋" w:hAnsi="仿宋" w:eastAsia="仿宋" w:cs="仿宋"/>
          <w:b/>
          <w:color w:val="000000"/>
          <w:sz w:val="32"/>
          <w:szCs w:val="28"/>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实践教学管理规范</w:t>
      </w:r>
      <w:bookmarkEnd w:id="153"/>
      <w:bookmarkEnd w:id="154"/>
      <w:bookmarkEnd w:id="155"/>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一、总 则</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(一)为加强实践教学管理，提高实践教学质量，着力培养学生创新精神和实践能力，特制定本规范。</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（二）本规范所指实践教学包含：实训、课程设计、企业认知实习或社会调研、毕业设计（论文）或毕业顶岗实习、指导各级各类竞赛以及各种技能工种的考级考证辅导。</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实践教学一方面应引导学生通过对各种科学问题、工程问题和社会问题的亲自体验与验证，加深对各种问题的认识与理解；另一方面应努力培养学生的综合能力、创新意识和社会责任。各类专业的实践教学必须以贴近科学研究、贴近工程实际、贴近社会实践为指导思想。</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（四）各二级学院应参照本规范并结合各专业人才培养方案和教学特点，制定（修订）各类实践教学管理细则。</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二、组织与管理</w:t>
      </w:r>
    </w:p>
    <w:p>
      <w:pPr>
        <w:keepNext w:val="0"/>
        <w:keepLines w:val="0"/>
        <w:pageBreakBefore w:val="0"/>
        <w:widowControl/>
        <w:kinsoku/>
        <w:wordWrap/>
        <w:overflowPunct/>
        <w:topLinePunct w:val="0"/>
        <w:autoSpaceDE/>
        <w:autoSpaceDN/>
        <w:bidi w:val="0"/>
        <w:adjustRightInd/>
        <w:snapToGrid/>
        <w:spacing w:line="360" w:lineRule="auto"/>
        <w:ind w:firstLine="420" w:firstLineChars="15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（一）实践教学工作在学院主管校长领导下，实行院校两级管理。</w:t>
      </w:r>
    </w:p>
    <w:p>
      <w:pPr>
        <w:keepNext w:val="0"/>
        <w:keepLines w:val="0"/>
        <w:pageBreakBefore w:val="0"/>
        <w:widowControl/>
        <w:kinsoku/>
        <w:wordWrap/>
        <w:overflowPunct/>
        <w:topLinePunct w:val="0"/>
        <w:autoSpaceDE/>
        <w:autoSpaceDN/>
        <w:bidi w:val="0"/>
        <w:adjustRightInd/>
        <w:snapToGrid/>
        <w:spacing w:line="360" w:lineRule="auto"/>
        <w:ind w:firstLine="420" w:firstLineChars="15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（二）教务处代表学校负责全校实践教学的宏观管理，履行宏观指导、组织协调、监督保障的职责；资产管理处负责各类实践教学仪器设备保障，后勤保障处负责学校实践教学基地的后勤保障。</w:t>
      </w: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（三）各二级学院是执行各类实践教学工作的主体，具有设计安排各种实践教学环节、组织实施实践教学过程的权利，负有保证教学质量、达到教学目标的责任。</w:t>
      </w:r>
    </w:p>
    <w:p>
      <w:pPr>
        <w:keepNext w:val="0"/>
        <w:keepLines w:val="0"/>
        <w:pageBreakBefore w:val="0"/>
        <w:widowControl/>
        <w:kinsoku/>
        <w:wordWrap/>
        <w:overflowPunct/>
        <w:topLinePunct w:val="0"/>
        <w:autoSpaceDE/>
        <w:autoSpaceDN/>
        <w:bidi w:val="0"/>
        <w:adjustRightInd/>
        <w:snapToGrid/>
        <w:spacing w:line="360" w:lineRule="auto"/>
        <w:ind w:firstLine="420" w:firstLineChars="15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（四）各二级学院应根据人才培养方案的要求和实践教学的特点，全面、系统、科学的规划设计实践教学体系。    </w:t>
      </w:r>
    </w:p>
    <w:p>
      <w:pPr>
        <w:keepNext w:val="0"/>
        <w:keepLines w:val="0"/>
        <w:pageBreakBefore w:val="0"/>
        <w:widowControl/>
        <w:kinsoku/>
        <w:wordWrap/>
        <w:overflowPunct/>
        <w:topLinePunct w:val="0"/>
        <w:autoSpaceDE/>
        <w:autoSpaceDN/>
        <w:bidi w:val="0"/>
        <w:adjustRightInd/>
        <w:snapToGrid/>
        <w:spacing w:line="360" w:lineRule="auto"/>
        <w:ind w:firstLine="420" w:firstLineChars="15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各二级学院必须明确各类实践教学的教学目标，制定完整的教学计划、课程标准或实习指导书，配备称职和充足的指导教师，选择合适的实践场所。各种实践教学的内容应符合各专业人才培养方案中对学生能力的要求。各种实践课程标准或实习指导书须经专业建设指导委员会论证后方可执行。</w:t>
      </w: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六）各二级学院、教师和管理人员都必须共同维护实践教学计划的严肃性，严格按照实践教学计划组织和开展实践教学工作。在执行过程中，确需进行调整或者增减变化的，需经教务处同意并办理相关手续后才能执行。</w:t>
      </w: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（七）在不改变实践教学计划的前提下，各二级学院可将教学改革与科技成果、新技术方法融入实践课程标准和实践内容，经专业建设委员会论证后即可执行。</w:t>
      </w:r>
    </w:p>
    <w:p>
      <w:pPr>
        <w:keepNext w:val="0"/>
        <w:keepLines w:val="0"/>
        <w:pageBreakBefore w:val="0"/>
        <w:widowControl/>
        <w:kinsoku/>
        <w:wordWrap/>
        <w:overflowPunct/>
        <w:topLinePunct w:val="0"/>
        <w:autoSpaceDE/>
        <w:autoSpaceDN/>
        <w:bidi w:val="0"/>
        <w:adjustRightInd/>
        <w:snapToGrid/>
        <w:spacing w:line="360" w:lineRule="auto"/>
        <w:ind w:firstLine="420" w:firstLineChars="15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八）学生所在二级学院是学生实习实训的组织、管理和责任单位，要积极做好学生实习安排、安全与保密教育等工作；实习前应组织实习动员，宣讲实习目的、实习计划、相关要求和安全注意事项等。学校应为外出实习的学生购买人身保险。</w:t>
      </w:r>
    </w:p>
    <w:p>
      <w:pPr>
        <w:keepNext w:val="0"/>
        <w:keepLines w:val="0"/>
        <w:pageBreakBefore w:val="0"/>
        <w:widowControl/>
        <w:kinsoku/>
        <w:wordWrap/>
        <w:overflowPunct/>
        <w:topLinePunct w:val="0"/>
        <w:autoSpaceDE/>
        <w:autoSpaceDN/>
        <w:bidi w:val="0"/>
        <w:adjustRightInd/>
        <w:snapToGrid/>
        <w:spacing w:line="360" w:lineRule="auto"/>
        <w:ind w:firstLine="420" w:firstLineChars="15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九）学生不得无故不参加实习，不得申请免修实习；因病不能参加实习者必须提出缓修申请并附医院证明，经二级学院批准，教务处备案方可，缓修随下一年级进行；实习过程中不迟到、不早退，未经指导教师同意不得擅自离开。</w:t>
      </w:r>
    </w:p>
    <w:p>
      <w:pPr>
        <w:keepNext w:val="0"/>
        <w:keepLines w:val="0"/>
        <w:pageBreakBefore w:val="0"/>
        <w:widowControl/>
        <w:kinsoku/>
        <w:wordWrap/>
        <w:overflowPunct/>
        <w:topLinePunct w:val="0"/>
        <w:autoSpaceDE/>
        <w:autoSpaceDN/>
        <w:bidi w:val="0"/>
        <w:adjustRightInd/>
        <w:snapToGrid/>
        <w:spacing w:line="360" w:lineRule="auto"/>
        <w:ind w:firstLine="420" w:firstLineChars="15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（十）各二级学院必须建立和完善教学检查机制，加强对实践教学环节的检查与督导工作，教务处每学期应对开出的所有实践教学环节进行检查，及时解决存在的问题，并将检查情况如实记载。</w:t>
      </w:r>
    </w:p>
    <w:p>
      <w:pPr>
        <w:keepNext w:val="0"/>
        <w:keepLines w:val="0"/>
        <w:pageBreakBefore w:val="0"/>
        <w:widowControl/>
        <w:kinsoku/>
        <w:wordWrap/>
        <w:overflowPunct/>
        <w:topLinePunct w:val="0"/>
        <w:autoSpaceDE/>
        <w:autoSpaceDN/>
        <w:bidi w:val="0"/>
        <w:adjustRightInd/>
        <w:snapToGrid/>
        <w:spacing w:line="360" w:lineRule="auto"/>
        <w:ind w:firstLine="420" w:firstLineChars="15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一）专职实训指导教师必须严格执行《实训室管理制度》，组织并承担实训室的常规管理、仪器设备的维修与保养，以及实训前的准备工作。实训室应保持环境整洁，仪器设备摆放整齐，器件、材料、工具应按类有序存放，仪器设备完好率应保证在95％以上。定期检查安全设施，消除事故隐患。</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三、实践教学</w:t>
      </w:r>
    </w:p>
    <w:p>
      <w:pPr>
        <w:keepNext w:val="0"/>
        <w:keepLines w:val="0"/>
        <w:pageBreakBefore w:val="0"/>
        <w:kinsoku/>
        <w:wordWrap/>
        <w:overflowPunct/>
        <w:topLinePunct w:val="0"/>
        <w:autoSpaceDE/>
        <w:autoSpaceDN/>
        <w:bidi w:val="0"/>
        <w:adjustRightInd/>
        <w:snapToGrid/>
        <w:spacing w:line="360" w:lineRule="auto"/>
        <w:ind w:firstLine="420" w:firstLineChars="15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学文件是规范教学过程和实施教学管理的基本依据和准则。实践教学的基本任务是对学生进行基本知识运用能力的训练、基本操作技能能力的训练、必备的专业技能训练和开拓创新能力的培养。而要实现这一任务，应该而且必须有完备和科学的实践教学文件来规范和指导实践教学。</w:t>
      </w:r>
    </w:p>
    <w:p>
      <w:pPr>
        <w:keepNext w:val="0"/>
        <w:keepLines w:val="0"/>
        <w:pageBreakBefore w:val="0"/>
        <w:kinsoku/>
        <w:wordWrap/>
        <w:overflowPunct/>
        <w:topLinePunct w:val="0"/>
        <w:autoSpaceDE/>
        <w:autoSpaceDN/>
        <w:bidi w:val="0"/>
        <w:adjustRightInd/>
        <w:snapToGrid/>
        <w:spacing w:line="360" w:lineRule="auto"/>
        <w:ind w:firstLine="420" w:firstLineChars="15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（二）课程实训</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1．实训课程要根据专业人才培养方案的需要设置，结合学生应掌握和达到的知识和</w:t>
      </w: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技术技能的要求，突出实践性和应用性，安排合适的实训项目，构建分层次、多模块，与理论教学有机结合又相对独立的实践教学体系。</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2．各课程实训必须有该课程的实训课程标准。实训课程标准应包括以下内容：</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（1）实训课在专业人才培养和所属课程中的作用和地位。</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（2）实训课主要培养学生哪些方面的实践动手能力和解决实际问题的能力。</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（3）与理论的关系。</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（4）设置哪些实训项目与内容，总学时分配、每个实训所需的时间等。</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（5）考核方式及评分方法。</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3．实训教材（实训指导书）</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各实训课程均应有实训教材或实验指导书，实训课程标准及实训指导书由二级学院教研室组织主讲教师及有关行企业专家编写。</w:t>
      </w:r>
    </w:p>
    <w:p>
      <w:pPr>
        <w:keepNext w:val="0"/>
        <w:keepLines w:val="0"/>
        <w:pageBreakBefore w:val="0"/>
        <w:widowControl/>
        <w:kinsoku/>
        <w:wordWrap/>
        <w:overflowPunct/>
        <w:topLinePunct w:val="0"/>
        <w:autoSpaceDE/>
        <w:autoSpaceDN/>
        <w:bidi w:val="0"/>
        <w:adjustRightInd/>
        <w:snapToGrid/>
        <w:spacing w:line="360" w:lineRule="auto"/>
        <w:ind w:firstLine="420" w:firstLineChars="15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（三）实习</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实习包括：各类认知实习、随岗实习、顶岗实习等。各二级学院应根据专业人才培养方案和专业的不同要求和需要，确定不同专业的实习类型和时间，同时做好与课程教学的衔接；各类实习的设置应有层次性、针对性和前瞻性。</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各专业人才培养方案中确定的实习计划应保持稳定，不得无故取消或缩减实习时间、内容；因特殊原因需要调整实习教学计划的，应按照本规范第二条第九款、第十款执行；实习计划的调整在时间进程上不得与课程教学等其他教学环节冲突，不得影响正常教学秩序、降低教学要求。</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3．实习宜采取集中安排的方式。考虑到专业性质、实习内容要求的不同以及实习单位</w:t>
      </w:r>
    </w:p>
    <w:p>
      <w:pPr>
        <w:keepNext w:val="0"/>
        <w:keepLines w:val="0"/>
        <w:pageBreakBefore w:val="0"/>
        <w:widowControl/>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的具体情况，部分实习（主要为顶岗实习）也可采取分散实习的方式。</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4．培养方案中列出的所有实习，都必须有实习课程标准，课程标准的内容主要包括：</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（1）实习的作用和地位。</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（2）实习的基本内容和要求。</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（3）考核方式及评分方法。</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5．实习项目进行前都必须制定具体的实习方案，报教务处审核、备案。</w:t>
      </w:r>
    </w:p>
    <w:p>
      <w:pPr>
        <w:keepNext w:val="0"/>
        <w:keepLines w:val="0"/>
        <w:pageBreakBefore w:val="0"/>
        <w:widowControl/>
        <w:kinsoku/>
        <w:wordWrap/>
        <w:overflowPunct/>
        <w:topLinePunct w:val="0"/>
        <w:autoSpaceDE/>
        <w:autoSpaceDN/>
        <w:bidi w:val="0"/>
        <w:adjustRightInd/>
        <w:snapToGrid/>
        <w:spacing w:line="360" w:lineRule="auto"/>
        <w:ind w:firstLine="420" w:firstLineChars="15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（四）课程设计</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1．课程设计的设置要符合专业人才培养综合训练的需要，其安排须与相关理论课程有机结合，应有一定的综合性，能使学生在分析、解决问题能力、创新能力等方面得到充分锻炼。</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2．课程设计每名指导教师指导的学生数一般不超过30人，一些量大面广、人数较多的课程，每名指导教师指导的学生数不应超过40人。</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3．在进行课程设计前，指导教师要编制课程设计任务书并及时下达给学生。课程设计任务书要求下达的设计选题恰当、设计任务足额、设计要求明确。</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4．对于综合性课程设计或大型设计（设计周数在2周及以上），在下达课程设计任务书的同时，应尽可能有与之相配套的课程设计指导书提供给学生。课程设计指导书的内容主要包括：</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（1）列出完成本设计必需的理论知识；</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（2）设计的基本思路和基本方法步骤；</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（3）对于需进行实际工程安装调试的设计，应指出安装调试时的注意事项，并列出需准备的主要材料名称型号，供学生参考；</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（4）设计参考文献。</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5．要制定课程设计计划并认真填写教务处统一印制的实践教学进度表。</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（五）毕业设计要严格按照学校制定的《</w:t>
      </w:r>
      <w:bookmarkStart w:id="157" w:name="_Toc295991949"/>
      <w:r>
        <w:rPr>
          <w:rFonts w:hint="eastAsia" w:ascii="仿宋_GB2312" w:hAnsi="仿宋_GB2312" w:eastAsia="仿宋_GB2312" w:cs="仿宋_GB2312"/>
          <w:kern w:val="2"/>
          <w:sz w:val="28"/>
          <w:szCs w:val="28"/>
          <w:highlight w:val="none"/>
          <w:lang w:val="en-US" w:eastAsia="zh-CN" w:bidi="ar-SA"/>
        </w:rPr>
        <w:t>学生顶岗实习管理规定</w:t>
      </w:r>
      <w:bookmarkEnd w:id="157"/>
      <w:r>
        <w:rPr>
          <w:rFonts w:hint="eastAsia" w:ascii="仿宋_GB2312" w:hAnsi="仿宋_GB2312" w:eastAsia="仿宋_GB2312" w:cs="仿宋_GB2312"/>
          <w:kern w:val="2"/>
          <w:sz w:val="28"/>
          <w:szCs w:val="28"/>
          <w:highlight w:val="none"/>
          <w:lang w:val="en-US" w:eastAsia="zh-CN" w:bidi="ar-SA"/>
        </w:rPr>
        <w:t>》开展毕业设计工作，每位同学要认真完成学校统一制订的顶岗实习报告。</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四、实践教学项目成绩管理</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指导教师在指导学生实训、课程设计时，应对学生的实训准备、操作进行考核，对设计方案和报告进行认真审阅，课程实训可进行实际操作考试，课程设计可进行必要的答辩。要根据具体实践教学项目，采取灵活多样的考核方法，客观公正地评价学生的成绩。</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（二）实习学生必须参加考核，成绩合格方能获得学分。实习考核按《学生顶岗实习管理规定》有关规定进行。</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五、附 则</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 本规范自公布之日起施行。</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 本规范由教务处负责解释。</w:t>
      </w:r>
    </w:p>
    <w:p>
      <w:pPr>
        <w:pageBreakBefore w:val="0"/>
        <w:widowControl/>
        <w:topLinePunct w:val="0"/>
        <w:bidi w:val="0"/>
        <w:spacing w:line="4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400" w:lineRule="exact"/>
        <w:jc w:val="lef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jc w:val="center"/>
        <w:outlineLvl w:val="9"/>
        <w:rPr>
          <w:color w:val="FF0000"/>
          <w:sz w:val="24"/>
        </w:rPr>
      </w:pPr>
      <w:r>
        <w:rPr>
          <w:rFonts w:hint="eastAsia"/>
        </w:rPr>
        <w:br w:type="page"/>
      </w:r>
      <w:bookmarkStart w:id="158" w:name="_Toc6332"/>
      <w:bookmarkStart w:id="159" w:name="_Toc12268"/>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ascii="华文中宋" w:hAnsi="华文中宋" w:eastAsia="华文中宋"/>
          <w:b/>
          <w:color w:val="FF0000"/>
          <w:spacing w:val="266"/>
          <w:w w:val="72"/>
          <w:kern w:val="0"/>
          <w:sz w:val="72"/>
          <w:szCs w:val="72"/>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jc w:val="both"/>
        <w:outlineLvl w:val="9"/>
        <w:rPr>
          <w:sz w:val="24"/>
        </w:rPr>
      </w:pPr>
    </w:p>
    <w:p>
      <w:pPr>
        <w:pageBreakBefore w:val="0"/>
        <w:topLinePunct w:val="0"/>
        <w:bidi w:val="0"/>
        <w:spacing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w:t>
      </w:r>
      <w:r>
        <w:rPr>
          <w:rFonts w:hint="eastAsia" w:ascii="仿宋_GB2312" w:eastAsia="仿宋_GB2312"/>
          <w:color w:val="000000"/>
          <w:kern w:val="0"/>
          <w:sz w:val="32"/>
          <w:szCs w:val="28"/>
          <w:lang w:val="en-US" w:eastAsia="zh-CN"/>
        </w:rPr>
        <w:t>120</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napToGrid w:val="0"/>
        <w:spacing w:beforeLines="100" w:line="5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pStyle w:val="98"/>
        <w:pageBreakBefore w:val="0"/>
        <w:shd w:val="clear" w:color="auto" w:fill="FFFFFF"/>
        <w:topLinePunct w:val="0"/>
        <w:bidi w:val="0"/>
        <w:spacing w:before="0" w:beforeAutospacing="0" w:after="0" w:afterAutospacing="0" w:line="560" w:lineRule="exact"/>
        <w:jc w:val="center"/>
        <w:outlineLvl w:val="9"/>
        <w:rPr>
          <w:rFonts w:hint="eastAsia" w:ascii="宋体" w:hAnsi="宋体" w:eastAsia="华文中宋" w:cs="宋体"/>
          <w:b/>
          <w:kern w:val="0"/>
          <w:sz w:val="36"/>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color w:val="000000"/>
          <w:sz w:val="36"/>
          <w:szCs w:val="36"/>
        </w:rPr>
      </w:pPr>
      <w:bookmarkStart w:id="160" w:name="_Toc14676"/>
      <w:r>
        <w:rPr>
          <w:rFonts w:hint="eastAsia" w:ascii="黑体" w:hAnsi="黑体" w:eastAsia="黑体" w:cs="黑体"/>
          <w:b/>
          <w:kern w:val="0"/>
          <w:sz w:val="36"/>
          <w:szCs w:val="24"/>
        </w:rPr>
        <w:t>关于</w:t>
      </w:r>
      <w:r>
        <w:rPr>
          <w:rFonts w:hint="eastAsia" w:ascii="黑体" w:hAnsi="黑体" w:eastAsia="黑体" w:cs="黑体"/>
          <w:b/>
          <w:bCs w:val="0"/>
          <w:kern w:val="0"/>
          <w:sz w:val="36"/>
          <w:szCs w:val="36"/>
        </w:rPr>
        <w:t>印发</w:t>
      </w:r>
      <w:r>
        <w:rPr>
          <w:rFonts w:hint="eastAsia" w:ascii="黑体" w:hAnsi="黑体" w:eastAsia="黑体" w:cs="黑体"/>
          <w:b/>
          <w:bCs w:val="0"/>
          <w:sz w:val="36"/>
          <w:szCs w:val="36"/>
        </w:rPr>
        <w:t>《上海电子信息职业技术学院</w:t>
      </w:r>
      <w:r>
        <w:rPr>
          <w:rFonts w:hint="eastAsia" w:ascii="黑体" w:hAnsi="黑体" w:eastAsia="黑体" w:cs="黑体"/>
          <w:b/>
          <w:bCs w:val="0"/>
          <w:sz w:val="36"/>
          <w:szCs w:val="36"/>
          <w:lang w:eastAsia="zh-CN"/>
        </w:rPr>
        <w:t>教研室工作职责</w:t>
      </w:r>
      <w:r>
        <w:rPr>
          <w:rFonts w:hint="eastAsia" w:ascii="黑体" w:hAnsi="黑体" w:eastAsia="黑体" w:cs="黑体"/>
          <w:b/>
          <w:bCs w:val="0"/>
          <w:sz w:val="36"/>
          <w:szCs w:val="36"/>
        </w:rPr>
        <w:t>》的通知</w:t>
      </w:r>
      <w:bookmarkEnd w:id="160"/>
    </w:p>
    <w:p>
      <w:pPr>
        <w:pageBreakBefore w:val="0"/>
        <w:topLinePunct w:val="0"/>
        <w:bidi w:val="0"/>
        <w:spacing w:beforeLines="100" w:line="56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beforeLines="100"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360" w:lineRule="auto"/>
        <w:ind w:firstLine="560" w:firstLineChars="200"/>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现将《上海电子信息职业技术学院教研室工作职责》印发给你们，请结合本部门工作实际，认真研究执行。</w:t>
      </w:r>
      <w:r>
        <w:rPr>
          <w:rFonts w:hint="eastAsia" w:ascii="仿宋_GB2312" w:hAnsi="仿宋_GB2312" w:eastAsia="仿宋_GB2312" w:cs="仿宋_GB2312"/>
          <w:kern w:val="2"/>
          <w:sz w:val="28"/>
          <w:szCs w:val="28"/>
          <w:highlight w:val="none"/>
          <w:lang w:val="en-US" w:eastAsia="zh-CN" w:bidi="ar-SA"/>
        </w:rPr>
        <w:tab/>
      </w:r>
    </w:p>
    <w:p>
      <w:pPr>
        <w:pageBreakBefore w:val="0"/>
        <w:topLinePunct w:val="0"/>
        <w:bidi w:val="0"/>
        <w:spacing w:line="56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360" w:lineRule="auto"/>
        <w:ind w:left="1478" w:leftChars="304" w:hanging="840" w:hangingChars="300"/>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附件：上海电子信息职业技术学院教研室工作职责</w:t>
      </w:r>
    </w:p>
    <w:p>
      <w:pPr>
        <w:pageBreakBefore w:val="0"/>
        <w:topLinePunct w:val="0"/>
        <w:bidi w:val="0"/>
        <w:spacing w:line="560" w:lineRule="exact"/>
        <w:ind w:left="1470" w:leftChars="300"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firstLine="3220" w:firstLineChars="1150"/>
        <w:jc w:val="righ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firstLine="3220" w:firstLineChars="1150"/>
        <w:jc w:val="righ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firstLine="3220" w:firstLineChars="11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00" w:lineRule="exact"/>
        <w:ind w:right="48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2018年7月10日</w:t>
      </w:r>
    </w:p>
    <w:p>
      <w:pPr>
        <w:pageBreakBefore w:val="0"/>
        <w:topLinePunct w:val="0"/>
        <w:bidi w:val="0"/>
        <w:spacing w:line="360" w:lineRule="auto"/>
        <w:jc w:val="center"/>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360" w:lineRule="auto"/>
        <w:jc w:val="both"/>
        <w:outlineLvl w:val="9"/>
        <w:rPr>
          <w:rFonts w:hint="eastAsia" w:ascii="黑体" w:hAnsi="Times New Roman" w:eastAsia="黑体"/>
          <w:sz w:val="30"/>
          <w:szCs w:val="30"/>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教研室工作职责</w:t>
      </w:r>
      <w:bookmarkEnd w:id="158"/>
      <w:bookmarkEnd w:id="159"/>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教研室是按专业或课程设置的教学基层组织，其主要任务是按专业人才培养方案规定实施教学工作，开展教学研究及科研工作，不断提高教学质量和学术水平。</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1．根据专业需要组织制订课程标准，经所在二级学院和教务处审核，分管教学的副校长审批后执行。</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2．应在每学期初制订的“教研室工作计划”，并按计划组织集体备课、公开教学，组织政治与业务学习，组织教学质量分析、教学研究活动、科研活动，定期组织检查和测评教师的教学进程和教学状况。</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3．组织教研室成员定期深入课堂听课，全面了解教师授课与学生学习的情况，及时解决存在的问题。积极组织教师教学观摩。</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4．按《通识教育选修课教学管理规定》，对本教研室所属课程进行管理。</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5．按照教材管理的相关规定征订、编写本教研室所属课程的教材、讲义。</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6．按照二级学院要求做好教学档案的归集工作。</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7．按照二级学院要求做好学生的实习管理工作。</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8．按照二级学院要求做好教学检查和教学质量管理工作。</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9．每学期进行教研室工作总结。</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10．完成上级管理部门交代的其他工作。</w:t>
      </w:r>
    </w:p>
    <w:p>
      <w:pPr>
        <w:pageBreakBefore w:val="0"/>
        <w:topLinePunct w:val="0"/>
        <w:bidi w:val="0"/>
        <w:jc w:val="center"/>
        <w:outlineLvl w:val="9"/>
        <w:rPr>
          <w:color w:val="FF0000"/>
          <w:sz w:val="24"/>
        </w:rPr>
      </w:pPr>
      <w:r>
        <w:rPr>
          <w:rFonts w:hint="eastAsia" w:ascii="仿宋_GB2312" w:eastAsia="仿宋_GB2312"/>
          <w:sz w:val="30"/>
          <w:szCs w:val="30"/>
        </w:rPr>
        <w:br w:type="page"/>
      </w:r>
      <w:bookmarkStart w:id="161" w:name="_Toc794"/>
      <w:bookmarkStart w:id="162" w:name="_Toc12128"/>
      <w:bookmarkStart w:id="163" w:name="_Toc18756"/>
      <w:bookmarkStart w:id="164" w:name="_Toc28625"/>
      <w:bookmarkStart w:id="165" w:name="_Toc22742"/>
      <w:bookmarkStart w:id="166" w:name="_Toc11270"/>
      <w:bookmarkStart w:id="167" w:name="_Toc30907"/>
    </w:p>
    <w:p>
      <w:pPr>
        <w:pageBreakBefore w:val="0"/>
        <w:topLinePunct w:val="0"/>
        <w:bidi w:val="0"/>
        <w:jc w:val="both"/>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jc w:val="both"/>
        <w:outlineLvl w:val="9"/>
        <w:rPr>
          <w:sz w:val="24"/>
        </w:rPr>
      </w:pPr>
    </w:p>
    <w:p>
      <w:pPr>
        <w:pageBreakBefore w:val="0"/>
        <w:topLinePunct w:val="0"/>
        <w:bidi w:val="0"/>
        <w:spacing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8〕1</w:t>
      </w:r>
      <w:r>
        <w:rPr>
          <w:rFonts w:hint="eastAsia" w:ascii="仿宋_GB2312" w:eastAsia="仿宋_GB2312"/>
          <w:color w:val="000000"/>
          <w:kern w:val="0"/>
          <w:sz w:val="32"/>
          <w:szCs w:val="28"/>
          <w:lang w:val="en-US" w:eastAsia="zh-CN"/>
        </w:rPr>
        <w:t>22</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napToGrid w:val="0"/>
        <w:spacing w:beforeLines="100" w:line="5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pStyle w:val="98"/>
        <w:pageBreakBefore w:val="0"/>
        <w:shd w:val="clear" w:color="auto" w:fill="FFFFFF"/>
        <w:topLinePunct w:val="0"/>
        <w:bidi w:val="0"/>
        <w:spacing w:before="0" w:beforeAutospacing="0" w:after="0" w:afterAutospacing="0" w:line="560" w:lineRule="exact"/>
        <w:jc w:val="center"/>
        <w:outlineLvl w:val="9"/>
        <w:rPr>
          <w:rFonts w:hint="eastAsia" w:ascii="华文中宋" w:hAnsi="华文中宋" w:eastAsia="华文中宋" w:cs="华文中宋"/>
          <w:b/>
          <w:kern w:val="0"/>
          <w:sz w:val="36"/>
          <w:szCs w:val="36"/>
        </w:rPr>
      </w:pPr>
    </w:p>
    <w:p>
      <w:pPr>
        <w:keepNext w:val="0"/>
        <w:keepLines w:val="0"/>
        <w:pageBreakBefore w:val="0"/>
        <w:widowControl w:val="0"/>
        <w:kinsoku/>
        <w:wordWrap/>
        <w:overflowPunct/>
        <w:topLinePunct w:val="0"/>
        <w:autoSpaceDE/>
        <w:autoSpaceDN/>
        <w:bidi w:val="0"/>
        <w:adjustRightInd/>
        <w:snapToGrid/>
        <w:spacing w:after="312" w:afterLines="100" w:line="640" w:lineRule="exact"/>
        <w:jc w:val="center"/>
        <w:textAlignment w:val="auto"/>
        <w:outlineLvl w:val="0"/>
        <w:rPr>
          <w:rFonts w:hint="eastAsia" w:ascii="黑体" w:hAnsi="黑体" w:eastAsia="黑体" w:cs="黑体"/>
          <w:b/>
          <w:color w:val="000000"/>
          <w:kern w:val="0"/>
          <w:sz w:val="36"/>
          <w:szCs w:val="36"/>
          <w:lang w:eastAsia="zh-CN"/>
        </w:rPr>
      </w:pPr>
      <w:bookmarkStart w:id="168" w:name="_Toc25442"/>
      <w:r>
        <w:rPr>
          <w:rFonts w:hint="eastAsia" w:ascii="黑体" w:hAnsi="黑体" w:eastAsia="黑体" w:cs="黑体"/>
          <w:b/>
          <w:kern w:val="0"/>
          <w:sz w:val="36"/>
          <w:szCs w:val="36"/>
        </w:rPr>
        <w:t>关于印</w:t>
      </w:r>
      <w:r>
        <w:rPr>
          <w:rFonts w:hint="eastAsia" w:ascii="黑体" w:hAnsi="黑体" w:eastAsia="黑体" w:cs="黑体"/>
          <w:b/>
          <w:color w:val="000000"/>
          <w:kern w:val="0"/>
          <w:sz w:val="36"/>
          <w:szCs w:val="36"/>
          <w:lang w:eastAsia="zh-CN"/>
        </w:rPr>
        <w:t>发《上海电子信息职业技术学院关于课程标准制订的指导性意见》的通知</w:t>
      </w:r>
      <w:bookmarkEnd w:id="168"/>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keepNext w:val="0"/>
        <w:keepLines w:val="0"/>
        <w:pageBreakBefore w:val="0"/>
        <w:widowControl w:val="0"/>
        <w:kinsoku/>
        <w:wordWrap/>
        <w:overflowPunct/>
        <w:topLinePunct w:val="0"/>
        <w:autoSpaceDE/>
        <w:autoSpaceDN/>
        <w:bidi w:val="0"/>
        <w:adjustRightInd/>
        <w:snapToGrid/>
        <w:spacing w:after="312" w:line="560" w:lineRule="exact"/>
        <w:ind w:firstLine="560" w:firstLineChars="200"/>
        <w:jc w:val="both"/>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现将《上海电子信息职业技术学院关于课程标准制订的指导性意见》印发给你们，请结合本部门工作实际，认真研究执行。</w:t>
      </w:r>
      <w:r>
        <w:rPr>
          <w:rFonts w:hint="eastAsia" w:ascii="仿宋_GB2312" w:hAnsi="仿宋_GB2312" w:eastAsia="仿宋_GB2312" w:cs="仿宋_GB2312"/>
          <w:kern w:val="2"/>
          <w:sz w:val="28"/>
          <w:szCs w:val="28"/>
          <w:highlight w:val="none"/>
          <w:lang w:val="en-US" w:eastAsia="zh-CN" w:bidi="ar-SA"/>
        </w:rPr>
        <w:tab/>
      </w:r>
      <w:r>
        <w:rPr>
          <w:rFonts w:hint="eastAsia" w:ascii="仿宋_GB2312" w:hAnsi="仿宋_GB2312" w:eastAsia="仿宋_GB2312" w:cs="仿宋_GB2312"/>
          <w:kern w:val="2"/>
          <w:sz w:val="28"/>
          <w:szCs w:val="28"/>
          <w:highlight w:val="none"/>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after="312" w:line="560" w:lineRule="exact"/>
        <w:jc w:val="both"/>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2" w:line="560" w:lineRule="exact"/>
        <w:jc w:val="both"/>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312" w:line="560" w:lineRule="exact"/>
        <w:jc w:val="both"/>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附件：上海电子信息职业技术学院关于课程标准制订的指导性意见</w:t>
      </w:r>
    </w:p>
    <w:p>
      <w:pPr>
        <w:pageBreakBefore w:val="0"/>
        <w:topLinePunct w:val="0"/>
        <w:bidi w:val="0"/>
        <w:spacing w:line="500" w:lineRule="exact"/>
        <w:ind w:right="48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firstLine="3220" w:firstLineChars="11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00" w:lineRule="exact"/>
        <w:ind w:right="48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2018年7月10日</w:t>
      </w:r>
    </w:p>
    <w:p>
      <w:pPr>
        <w:pageBreakBefore w:val="0"/>
        <w:topLinePunct w:val="0"/>
        <w:bidi w:val="0"/>
        <w:spacing w:after="312" w:afterLines="100" w:line="400" w:lineRule="exact"/>
        <w:jc w:val="center"/>
        <w:outlineLvl w:val="9"/>
        <w:rPr>
          <w:rFonts w:hint="eastAsia" w:ascii="仿宋" w:hAnsi="仿宋" w:eastAsia="仿宋" w:cs="仿宋"/>
          <w:b/>
          <w:color w:val="000000"/>
          <w:kern w:val="0"/>
          <w:sz w:val="32"/>
          <w:szCs w:val="32"/>
        </w:rPr>
      </w:pPr>
    </w:p>
    <w:p>
      <w:pPr>
        <w:pageBreakBefore w:val="0"/>
        <w:topLinePunct w:val="0"/>
        <w:bidi w:val="0"/>
        <w:spacing w:after="312" w:afterLines="100" w:line="400" w:lineRule="exact"/>
        <w:jc w:val="center"/>
        <w:outlineLvl w:val="9"/>
        <w:rPr>
          <w:rFonts w:hint="eastAsia" w:ascii="仿宋" w:hAnsi="仿宋" w:eastAsia="仿宋" w:cs="仿宋"/>
          <w:b/>
          <w:color w:val="000000"/>
          <w:kern w:val="0"/>
          <w:sz w:val="32"/>
          <w:szCs w:val="32"/>
        </w:rPr>
      </w:pPr>
    </w:p>
    <w:p>
      <w:pPr>
        <w:pageBreakBefore w:val="0"/>
        <w:topLinePunct w:val="0"/>
        <w:bidi w:val="0"/>
        <w:spacing w:line="360" w:lineRule="auto"/>
        <w:jc w:val="center"/>
        <w:outlineLvl w:val="9"/>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关于课程标准制订的指导性意见</w:t>
      </w:r>
      <w:bookmarkEnd w:id="161"/>
      <w:bookmarkEnd w:id="162"/>
      <w:bookmarkEnd w:id="163"/>
      <w:bookmarkEnd w:id="164"/>
      <w:bookmarkEnd w:id="165"/>
      <w:bookmarkEnd w:id="166"/>
      <w:bookmarkEnd w:id="167"/>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课程标准是规定某一课程的课程性质、课程目标、内容安排、教学方法与手段、教师队伍建设等，是与专业人才培养方案相配套的指导性教学文件，是专业人才培养方案和专业人才培养目标的具体体现。为促进我校课程建设工作、提高课程教学水平、规范课程管理，现就课程标准的制订提出如下指导性意见。</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bookmarkStart w:id="169" w:name="_Toc295991866"/>
      <w:r>
        <w:rPr>
          <w:rFonts w:hint="eastAsia" w:ascii="仿宋_GB2312" w:hAnsi="仿宋_GB2312" w:eastAsia="仿宋_GB2312" w:cs="仿宋_GB2312"/>
          <w:sz w:val="28"/>
          <w:szCs w:val="28"/>
          <w:highlight w:val="none"/>
        </w:rPr>
        <w:t>一、指导思想</w:t>
      </w:r>
      <w:bookmarkEnd w:id="169"/>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课程标准建设，要以科学发展观为指导，以现代教育思想和理念为先导，树立以学生创新能力、实践能力、综合素质能力培养为根本的思想，促使知识传授与价值观教育同频共振，深化“课程思政”教育教学改革，优化教学内容和课程体系。 </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bookmarkStart w:id="170" w:name="_Toc295991867"/>
      <w:r>
        <w:rPr>
          <w:rFonts w:hint="eastAsia" w:ascii="仿宋_GB2312" w:hAnsi="仿宋_GB2312" w:eastAsia="仿宋_GB2312" w:cs="仿宋_GB2312"/>
          <w:sz w:val="28"/>
          <w:szCs w:val="28"/>
          <w:highlight w:val="none"/>
        </w:rPr>
        <w:t>二、</w:t>
      </w:r>
      <w:bookmarkEnd w:id="170"/>
      <w:bookmarkStart w:id="171" w:name="_Toc295991868"/>
      <w:r>
        <w:rPr>
          <w:rFonts w:hint="eastAsia" w:ascii="仿宋_GB2312" w:hAnsi="仿宋_GB2312" w:eastAsia="仿宋_GB2312" w:cs="仿宋_GB2312"/>
          <w:sz w:val="28"/>
          <w:szCs w:val="28"/>
          <w:highlight w:val="none"/>
        </w:rPr>
        <w:t>编写原则与要求</w:t>
      </w:r>
      <w:bookmarkEnd w:id="171"/>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（一）课程标准要以立德树人为根本，以理想信念教育为核心，以社会主义核心价值观为引领，为实现人才培养目标服务。</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（二）教学内容以与职业岗位工作密切相关的知识和技能为基础，注重专业知识和技能的培养，教学内容的组织要以 “适用”为原则，充分注重实用性。融入国家职业资格标准和行企业相关职业技能标准。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三）加强实践教学环节，强化专业技能培养。实践教学要体现“工学结合”、“教、学、做一体化”和“基于工作过程的情境式教学”，应减少演示性、验证性实验，增加模拟性、综合性实验/实训和情境式职业岗位训练等。要对各实践性教学内容提出具体的、明确的内容和要求，包括实验/实训项目、见习（实习）、学时、教学方式等。</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（四）对课程内容进行整体优化和科学组合，注意各学科间的横向联系，避免内容重复。内容安排要遵循由浅入深、由易到难，循序渐进的教学规律。</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（五）书写严谨规范  </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1．按照课程标准编制规范进行书写（参见附件“课程标准编制规范”）。</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2．对课程中采用的专有术语、操作项目的名称要统一规范，以国家现行通用名称为准。如补充新技术、新成果等内容，要用已有定论的和成熟的技术。</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bookmarkStart w:id="172" w:name="_Toc295991869"/>
      <w:r>
        <w:rPr>
          <w:rFonts w:hint="eastAsia" w:ascii="仿宋_GB2312" w:hAnsi="仿宋_GB2312" w:eastAsia="仿宋_GB2312" w:cs="仿宋_GB2312"/>
          <w:sz w:val="28"/>
          <w:szCs w:val="28"/>
          <w:highlight w:val="none"/>
        </w:rPr>
        <w:t>三、课程标准编制或修订的一般程序</w:t>
      </w:r>
      <w:bookmarkEnd w:id="172"/>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（一）课程标准制定或修订由教务处组织。教务处依据专业人才培养方案所设课程，向课程所属教学单位提出编制课程标准的要求，再由课程所属教学单位向教研室下达编制课程标准的任务。</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（二）教研室拟订编制计划，确定编写人员（原则上由具有中级及以上专业技术职务、对课程所涉及领域进行过系统研究的教学业务骨干担任主编或主审，同时应邀请行企业相关专家和技术人员参与）。</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三）编写人员在充分调研、认真研究专业人才培养方案和与相关课程负责人进行广泛交流的基础上编制课程标准。编制完成后，经教研室讨论，主审人审阅，经专业建设（课程建设）指导委员会论证通过，报教务处备案后统一印发执行。</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（四）已执行的课程标准应保持相对稳定；若确需对课程标准进行调整、修订，应由课程所属教研室提出申请，经所属教学单位同意后，报教务处批准后组织实施。</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bookmarkStart w:id="173" w:name="_Toc295991870"/>
      <w:r>
        <w:rPr>
          <w:rFonts w:hint="eastAsia" w:ascii="仿宋_GB2312" w:hAnsi="仿宋_GB2312" w:eastAsia="仿宋_GB2312" w:cs="仿宋_GB2312"/>
          <w:sz w:val="28"/>
          <w:szCs w:val="28"/>
          <w:highlight w:val="none"/>
        </w:rPr>
        <w:t>四、课程标准的执行和检查</w:t>
      </w:r>
      <w:bookmarkEnd w:id="173"/>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（一）各专业人才培养方案中所列的课程均须制订符合培养目标要求的课程标准，无课程标准的课程不能开课。</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（二）课程标准应做到任课教师人手一份，教师应认真研究并掌握课程标准的具体内容和要求，组织好各教学环节。</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（三）各教学单位应对任课教师执行课程标准的情况经常进行检查，对新任课的教师就课程内容及要求进行解释或培训，确保课程标准的要求得以贯彻执行。</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bookmarkStart w:id="174" w:name="_Toc295991871"/>
      <w:r>
        <w:rPr>
          <w:rFonts w:hint="eastAsia" w:ascii="仿宋_GB2312" w:hAnsi="仿宋_GB2312" w:eastAsia="仿宋_GB2312" w:cs="仿宋_GB2312"/>
          <w:sz w:val="28"/>
          <w:szCs w:val="28"/>
          <w:highlight w:val="none"/>
        </w:rPr>
        <w:t>五、附则</w:t>
      </w:r>
      <w:bookmarkEnd w:id="174"/>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（一）本意见自公布之日起执行。</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（二）本意见由教务处负责解释。</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p>
    <w:p>
      <w:pPr>
        <w:pStyle w:val="5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附件：</w:t>
      </w: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HYPERLINK "http://www.sxyyc.net/edumag/edit/UploadFile/20091220212131708.doc" \t "_blank"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课程标准</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rPr>
        <w:t>编制规范</w:t>
      </w:r>
    </w:p>
    <w:p>
      <w:pPr>
        <w:pageBreakBefore w:val="0"/>
        <w:topLinePunct w:val="0"/>
        <w:bidi w:val="0"/>
        <w:spacing w:line="360" w:lineRule="auto"/>
        <w:outlineLvl w:val="9"/>
        <w:rPr>
          <w:rFonts w:hint="eastAsia" w:ascii="仿宋" w:hAnsi="仿宋" w:eastAsia="仿宋" w:cs="仿宋"/>
          <w:color w:val="000000"/>
        </w:rPr>
      </w:pPr>
      <w:r>
        <w:rPr>
          <w:rFonts w:hint="eastAsia" w:ascii="仿宋" w:hAnsi="仿宋" w:eastAsia="仿宋" w:cs="仿宋"/>
          <w:color w:val="000000"/>
          <w:sz w:val="28"/>
        </w:rPr>
        <w:br w:type="page"/>
      </w:r>
      <w:r>
        <w:rPr>
          <w:rFonts w:hint="eastAsia" w:ascii="仿宋" w:hAnsi="仿宋" w:eastAsia="仿宋" w:cs="仿宋"/>
          <w:b/>
          <w:bCs/>
          <w:color w:val="000000"/>
        </w:rPr>
        <w:t>附件</w:t>
      </w:r>
    </w:p>
    <w:p>
      <w:pPr>
        <w:pageBreakBefore w:val="0"/>
        <w:topLinePunct w:val="0"/>
        <w:bidi w:val="0"/>
        <w:spacing w:line="400" w:lineRule="exact"/>
        <w:jc w:val="center"/>
        <w:outlineLvl w:val="9"/>
        <w:rPr>
          <w:rFonts w:hint="eastAsia" w:ascii="仿宋" w:hAnsi="仿宋" w:eastAsia="仿宋" w:cs="仿宋"/>
          <w:b/>
          <w:color w:val="000000"/>
          <w:sz w:val="28"/>
          <w:szCs w:val="28"/>
        </w:rPr>
      </w:pPr>
      <w:r>
        <w:rPr>
          <w:rFonts w:hint="eastAsia" w:ascii="仿宋" w:hAnsi="仿宋" w:eastAsia="仿宋" w:cs="仿宋"/>
          <w:b/>
          <w:color w:val="000000"/>
          <w:sz w:val="28"/>
          <w:szCs w:val="28"/>
        </w:rPr>
        <w:t>课程标准编制规范</w:t>
      </w:r>
    </w:p>
    <w:p>
      <w:pPr>
        <w:pageBreakBefore w:val="0"/>
        <w:topLinePunct w:val="0"/>
        <w:bidi w:val="0"/>
        <w:spacing w:line="400" w:lineRule="exact"/>
        <w:jc w:val="center"/>
        <w:outlineLvl w:val="9"/>
        <w:rPr>
          <w:rFonts w:hint="eastAsia" w:ascii="仿宋" w:hAnsi="仿宋" w:eastAsia="仿宋" w:cs="仿宋"/>
          <w:color w:val="000000"/>
          <w:szCs w:val="36"/>
        </w:rPr>
      </w:pPr>
      <w:r>
        <w:rPr>
          <w:rFonts w:hint="eastAsia" w:ascii="仿宋" w:hAnsi="仿宋" w:eastAsia="仿宋" w:cs="仿宋"/>
          <w:color w:val="000000"/>
          <w:szCs w:val="36"/>
        </w:rPr>
        <w:t>《</w:t>
      </w:r>
      <w:r>
        <w:rPr>
          <w:rFonts w:hint="eastAsia" w:ascii="仿宋" w:hAnsi="仿宋" w:eastAsia="仿宋" w:cs="仿宋"/>
          <w:b/>
          <w:bCs/>
          <w:color w:val="000000"/>
          <w:szCs w:val="36"/>
        </w:rPr>
        <w:t>××××</w:t>
      </w:r>
      <w:r>
        <w:rPr>
          <w:rFonts w:hint="eastAsia" w:ascii="仿宋" w:hAnsi="仿宋" w:eastAsia="仿宋" w:cs="仿宋"/>
          <w:color w:val="000000"/>
          <w:szCs w:val="36"/>
        </w:rPr>
        <w:t>》课程标准</w:t>
      </w:r>
    </w:p>
    <w:p>
      <w:pPr>
        <w:pageBreakBefore w:val="0"/>
        <w:topLinePunct w:val="0"/>
        <w:bidi w:val="0"/>
        <w:spacing w:line="400" w:lineRule="exact"/>
        <w:jc w:val="center"/>
        <w:outlineLvl w:val="9"/>
        <w:rPr>
          <w:rFonts w:hint="eastAsia" w:ascii="仿宋" w:hAnsi="仿宋" w:eastAsia="仿宋" w:cs="仿宋"/>
          <w:color w:val="000000"/>
          <w:szCs w:val="36"/>
        </w:rPr>
      </w:pPr>
      <w:r>
        <w:rPr>
          <w:rFonts w:hint="eastAsia" w:ascii="仿宋" w:hAnsi="仿宋" w:eastAsia="仿宋" w:cs="仿宋"/>
          <w:bCs/>
          <w:color w:val="000000"/>
          <w:szCs w:val="32"/>
        </w:rPr>
        <w:t>（黑体，小二号，居中，1.5倍行距）</w:t>
      </w:r>
    </w:p>
    <w:p>
      <w:pPr>
        <w:pageBreakBefore w:val="0"/>
        <w:topLinePunct w:val="0"/>
        <w:bidi w:val="0"/>
        <w:spacing w:line="400" w:lineRule="exact"/>
        <w:outlineLvl w:val="9"/>
        <w:rPr>
          <w:rFonts w:hint="eastAsia" w:ascii="仿宋" w:hAnsi="仿宋" w:eastAsia="仿宋" w:cs="仿宋"/>
          <w:bCs/>
          <w:color w:val="000000"/>
        </w:rPr>
      </w:pPr>
      <w:r>
        <w:rPr>
          <w:rFonts w:hint="eastAsia" w:ascii="仿宋" w:hAnsi="仿宋" w:eastAsia="仿宋" w:cs="仿宋"/>
          <w:bCs/>
          <w:color w:val="000000"/>
          <w:szCs w:val="28"/>
        </w:rPr>
        <w:t>课程名称：</w:t>
      </w:r>
      <w:r>
        <w:rPr>
          <w:rFonts w:hint="eastAsia" w:ascii="仿宋" w:hAnsi="仿宋" w:eastAsia="仿宋" w:cs="仿宋"/>
          <w:bCs/>
          <w:color w:val="000000"/>
        </w:rPr>
        <w:t>（标题：</w:t>
      </w:r>
      <w:r>
        <w:rPr>
          <w:rFonts w:hint="eastAsia" w:ascii="仿宋" w:hAnsi="仿宋" w:eastAsia="仿宋" w:cs="仿宋"/>
          <w:bCs/>
          <w:color w:val="000000"/>
          <w:szCs w:val="32"/>
        </w:rPr>
        <w:t>黑</w:t>
      </w:r>
      <w:r>
        <w:rPr>
          <w:rFonts w:hint="eastAsia" w:ascii="仿宋" w:hAnsi="仿宋" w:eastAsia="仿宋" w:cs="仿宋"/>
          <w:bCs/>
          <w:color w:val="000000"/>
        </w:rPr>
        <w:t>体，四号， 1.5倍行距，下同。）</w:t>
      </w:r>
    </w:p>
    <w:p>
      <w:pPr>
        <w:pStyle w:val="15"/>
        <w:pageBreakBefore w:val="0"/>
        <w:topLinePunct w:val="0"/>
        <w:bidi w:val="0"/>
        <w:spacing w:after="0"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适用专业：</w:t>
      </w:r>
    </w:p>
    <w:p>
      <w:pPr>
        <w:pStyle w:val="15"/>
        <w:pageBreakBefore w:val="0"/>
        <w:topLinePunct w:val="0"/>
        <w:bidi w:val="0"/>
        <w:spacing w:after="0" w:line="400" w:lineRule="exact"/>
        <w:outlineLvl w:val="9"/>
        <w:rPr>
          <w:rFonts w:hint="eastAsia" w:ascii="仿宋" w:hAnsi="仿宋" w:eastAsia="仿宋" w:cs="仿宋"/>
          <w:color w:val="000000"/>
        </w:rPr>
      </w:pPr>
      <w:r>
        <w:rPr>
          <w:rFonts w:hint="eastAsia" w:ascii="仿宋" w:hAnsi="仿宋" w:eastAsia="仿宋" w:cs="仿宋"/>
          <w:color w:val="000000"/>
          <w:szCs w:val="28"/>
        </w:rPr>
        <w:t>1．</w:t>
      </w:r>
      <w:r>
        <w:rPr>
          <w:rFonts w:hint="eastAsia" w:ascii="仿宋" w:hAnsi="仿宋" w:eastAsia="仿宋" w:cs="仿宋"/>
          <w:color w:val="000000"/>
        </w:rPr>
        <w:t>课程定位和设计思路</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 xml:space="preserve">    1-1课程定位</w:t>
      </w:r>
    </w:p>
    <w:p>
      <w:pPr>
        <w:pageBreakBefore w:val="0"/>
        <w:topLinePunct w:val="0"/>
        <w:bidi w:val="0"/>
        <w:spacing w:line="400" w:lineRule="exact"/>
        <w:ind w:firstLine="420" w:firstLineChars="200"/>
        <w:outlineLvl w:val="9"/>
        <w:rPr>
          <w:rFonts w:hint="eastAsia" w:ascii="仿宋" w:hAnsi="仿宋" w:eastAsia="仿宋" w:cs="仿宋"/>
          <w:color w:val="000000"/>
        </w:rPr>
      </w:pPr>
      <w:r>
        <w:rPr>
          <w:rFonts w:hint="eastAsia" w:ascii="仿宋" w:hAnsi="仿宋" w:eastAsia="仿宋" w:cs="仿宋"/>
          <w:color w:val="000000"/>
        </w:rPr>
        <w:t>关键词：课程地位、主要功能、与其他课程关系</w:t>
      </w:r>
    </w:p>
    <w:p>
      <w:pPr>
        <w:pageBreakBefore w:val="0"/>
        <w:topLinePunct w:val="0"/>
        <w:bidi w:val="0"/>
        <w:spacing w:line="400" w:lineRule="exact"/>
        <w:ind w:firstLine="420" w:firstLineChars="200"/>
        <w:outlineLvl w:val="9"/>
        <w:rPr>
          <w:rFonts w:hint="eastAsia" w:ascii="仿宋" w:hAnsi="仿宋" w:eastAsia="仿宋" w:cs="仿宋"/>
          <w:color w:val="000000"/>
        </w:rPr>
      </w:pPr>
      <w:r>
        <w:rPr>
          <w:rFonts w:hint="eastAsia" w:ascii="仿宋" w:hAnsi="仿宋" w:eastAsia="仿宋" w:cs="仿宋"/>
          <w:color w:val="000000"/>
        </w:rPr>
        <w:t>主要包括该门课程的地位、功能及与其他课程的关系等内容。</w:t>
      </w:r>
    </w:p>
    <w:p>
      <w:pPr>
        <w:pageBreakBefore w:val="0"/>
        <w:topLinePunct w:val="0"/>
        <w:bidi w:val="0"/>
        <w:spacing w:line="400" w:lineRule="exact"/>
        <w:ind w:firstLine="420" w:firstLineChars="200"/>
        <w:outlineLvl w:val="9"/>
        <w:rPr>
          <w:rFonts w:hint="eastAsia" w:ascii="仿宋" w:hAnsi="仿宋" w:eastAsia="仿宋" w:cs="仿宋"/>
          <w:color w:val="000000"/>
        </w:rPr>
      </w:pPr>
      <w:r>
        <w:rPr>
          <w:rFonts w:hint="eastAsia" w:ascii="仿宋" w:hAnsi="仿宋" w:eastAsia="仿宋" w:cs="仿宋"/>
          <w:bCs/>
          <w:color w:val="000000"/>
        </w:rPr>
        <w:t>（正文：宋体，小四号，18磅行距，下同。）</w:t>
      </w:r>
    </w:p>
    <w:p>
      <w:pPr>
        <w:pageBreakBefore w:val="0"/>
        <w:topLinePunct w:val="0"/>
        <w:bidi w:val="0"/>
        <w:spacing w:line="400" w:lineRule="exact"/>
        <w:outlineLvl w:val="9"/>
        <w:rPr>
          <w:rFonts w:hint="eastAsia" w:ascii="仿宋" w:hAnsi="仿宋" w:eastAsia="仿宋" w:cs="仿宋"/>
          <w:bCs/>
          <w:color w:val="000000"/>
        </w:rPr>
      </w:pPr>
      <w:r>
        <w:rPr>
          <w:rFonts w:hint="eastAsia" w:ascii="仿宋" w:hAnsi="仿宋" w:eastAsia="仿宋" w:cs="仿宋"/>
          <w:color w:val="000000"/>
          <w:szCs w:val="28"/>
        </w:rPr>
        <w:t xml:space="preserve">    1-2</w:t>
      </w:r>
      <w:r>
        <w:rPr>
          <w:rFonts w:hint="eastAsia" w:ascii="仿宋" w:hAnsi="仿宋" w:eastAsia="仿宋" w:cs="仿宋"/>
          <w:bCs/>
          <w:color w:val="000000"/>
        </w:rPr>
        <w:t>设计思路</w:t>
      </w:r>
    </w:p>
    <w:p>
      <w:pPr>
        <w:pageBreakBefore w:val="0"/>
        <w:topLinePunct w:val="0"/>
        <w:bidi w:val="0"/>
        <w:spacing w:line="400" w:lineRule="exact"/>
        <w:ind w:firstLine="420" w:firstLineChars="200"/>
        <w:outlineLvl w:val="9"/>
        <w:rPr>
          <w:rFonts w:hint="eastAsia" w:ascii="仿宋" w:hAnsi="仿宋" w:eastAsia="仿宋" w:cs="仿宋"/>
          <w:color w:val="000000"/>
        </w:rPr>
      </w:pPr>
      <w:r>
        <w:rPr>
          <w:rFonts w:hint="eastAsia" w:ascii="仿宋" w:hAnsi="仿宋" w:eastAsia="仿宋" w:cs="仿宋"/>
          <w:color w:val="000000"/>
        </w:rPr>
        <w:t>关键词：课程开设依据、内容选择标准、项目载体设计思路、内容编排顺序（如能力递进）、学习程度用语、课时和学分</w:t>
      </w:r>
    </w:p>
    <w:p>
      <w:pPr>
        <w:pStyle w:val="15"/>
        <w:pageBreakBefore w:val="0"/>
        <w:topLinePunct w:val="0"/>
        <w:bidi w:val="0"/>
        <w:spacing w:after="0" w:line="400" w:lineRule="exact"/>
        <w:outlineLvl w:val="9"/>
        <w:rPr>
          <w:rFonts w:hint="eastAsia" w:ascii="仿宋" w:hAnsi="仿宋" w:eastAsia="仿宋" w:cs="仿宋"/>
          <w:color w:val="000000"/>
        </w:rPr>
      </w:pPr>
      <w:r>
        <w:rPr>
          <w:rFonts w:hint="eastAsia" w:ascii="仿宋" w:hAnsi="仿宋" w:eastAsia="仿宋" w:cs="仿宋"/>
          <w:color w:val="000000"/>
        </w:rPr>
        <w:t>2</w:t>
      </w:r>
      <w:r>
        <w:rPr>
          <w:rFonts w:hint="eastAsia" w:ascii="仿宋" w:hAnsi="仿宋" w:eastAsia="仿宋" w:cs="仿宋"/>
          <w:color w:val="000000"/>
          <w:szCs w:val="28"/>
        </w:rPr>
        <w:t>．</w:t>
      </w:r>
      <w:r>
        <w:rPr>
          <w:rFonts w:hint="eastAsia" w:ascii="仿宋" w:hAnsi="仿宋" w:eastAsia="仿宋" w:cs="仿宋"/>
          <w:color w:val="000000"/>
        </w:rPr>
        <w:t>工作任务和课程目标</w:t>
      </w:r>
    </w:p>
    <w:p>
      <w:pPr>
        <w:pageBreakBefore w:val="0"/>
        <w:topLinePunct w:val="0"/>
        <w:bidi w:val="0"/>
        <w:spacing w:line="400" w:lineRule="exact"/>
        <w:outlineLvl w:val="9"/>
        <w:rPr>
          <w:rFonts w:hint="eastAsia" w:ascii="仿宋" w:hAnsi="仿宋" w:eastAsia="仿宋" w:cs="仿宋"/>
          <w:bCs/>
          <w:color w:val="000000"/>
          <w:szCs w:val="28"/>
        </w:rPr>
      </w:pPr>
      <w:r>
        <w:rPr>
          <w:rFonts w:hint="eastAsia" w:ascii="仿宋" w:hAnsi="仿宋" w:eastAsia="仿宋" w:cs="仿宋"/>
          <w:bCs/>
          <w:color w:val="000000"/>
          <w:szCs w:val="28"/>
        </w:rPr>
        <w:t xml:space="preserve">    2-1工作任务</w:t>
      </w:r>
    </w:p>
    <w:p>
      <w:pPr>
        <w:pageBreakBefore w:val="0"/>
        <w:topLinePunct w:val="0"/>
        <w:bidi w:val="0"/>
        <w:spacing w:line="400" w:lineRule="exact"/>
        <w:ind w:firstLine="420" w:firstLineChars="200"/>
        <w:outlineLvl w:val="9"/>
        <w:rPr>
          <w:rFonts w:hint="eastAsia" w:ascii="仿宋" w:hAnsi="仿宋" w:eastAsia="仿宋" w:cs="仿宋"/>
          <w:color w:val="000000"/>
        </w:rPr>
      </w:pPr>
      <w:r>
        <w:rPr>
          <w:rFonts w:hint="eastAsia" w:ascii="仿宋" w:hAnsi="仿宋" w:eastAsia="仿宋" w:cs="仿宋"/>
          <w:color w:val="000000"/>
        </w:rPr>
        <w:t>关键词：工作情境（背景）、工作内容、技术标准、设备工具和材料</w:t>
      </w:r>
    </w:p>
    <w:p>
      <w:pPr>
        <w:pageBreakBefore w:val="0"/>
        <w:topLinePunct w:val="0"/>
        <w:bidi w:val="0"/>
        <w:spacing w:line="400" w:lineRule="exact"/>
        <w:outlineLvl w:val="9"/>
        <w:rPr>
          <w:rFonts w:hint="eastAsia" w:ascii="仿宋" w:hAnsi="仿宋" w:eastAsia="仿宋" w:cs="仿宋"/>
          <w:bCs/>
          <w:color w:val="000000"/>
          <w:szCs w:val="28"/>
        </w:rPr>
      </w:pPr>
      <w:r>
        <w:rPr>
          <w:rFonts w:hint="eastAsia" w:ascii="仿宋" w:hAnsi="仿宋" w:eastAsia="仿宋" w:cs="仿宋"/>
          <w:bCs/>
          <w:color w:val="000000"/>
          <w:szCs w:val="28"/>
        </w:rPr>
        <w:t xml:space="preserve">    2-2课程目标</w:t>
      </w:r>
    </w:p>
    <w:p>
      <w:pPr>
        <w:pageBreakBefore w:val="0"/>
        <w:topLinePunct w:val="0"/>
        <w:bidi w:val="0"/>
        <w:adjustRightInd w:val="0"/>
        <w:snapToGrid w:val="0"/>
        <w:spacing w:line="400" w:lineRule="exact"/>
        <w:ind w:firstLine="420" w:firstLineChars="200"/>
        <w:outlineLvl w:val="9"/>
        <w:rPr>
          <w:rFonts w:hint="eastAsia" w:ascii="仿宋" w:hAnsi="仿宋" w:eastAsia="仿宋" w:cs="仿宋"/>
          <w:color w:val="000000"/>
        </w:rPr>
      </w:pPr>
      <w:r>
        <w:rPr>
          <w:rFonts w:hint="eastAsia" w:ascii="仿宋" w:hAnsi="仿宋" w:eastAsia="仿宋" w:cs="仿宋"/>
          <w:color w:val="000000"/>
        </w:rPr>
        <w:t>关键词：知识、技能、态度</w:t>
      </w:r>
    </w:p>
    <w:p>
      <w:pPr>
        <w:pageBreakBefore w:val="0"/>
        <w:topLinePunct w:val="0"/>
        <w:bidi w:val="0"/>
        <w:spacing w:line="400" w:lineRule="exact"/>
        <w:ind w:firstLine="420" w:firstLineChars="200"/>
        <w:outlineLvl w:val="9"/>
        <w:rPr>
          <w:rFonts w:hint="eastAsia" w:ascii="仿宋" w:hAnsi="仿宋" w:eastAsia="仿宋" w:cs="仿宋"/>
          <w:color w:val="000000"/>
        </w:rPr>
      </w:pPr>
      <w:r>
        <w:rPr>
          <w:rFonts w:hint="eastAsia" w:ascii="仿宋" w:hAnsi="仿宋" w:eastAsia="仿宋" w:cs="仿宋"/>
          <w:color w:val="000000"/>
        </w:rPr>
        <w:t>课程目标的描述要具体明确。</w:t>
      </w:r>
    </w:p>
    <w:p>
      <w:pPr>
        <w:pageBreakBefore w:val="0"/>
        <w:topLinePunct w:val="0"/>
        <w:bidi w:val="0"/>
        <w:spacing w:line="400" w:lineRule="exact"/>
        <w:ind w:firstLine="420" w:firstLineChars="200"/>
        <w:outlineLvl w:val="9"/>
        <w:rPr>
          <w:rFonts w:hint="eastAsia" w:ascii="仿宋" w:hAnsi="仿宋" w:eastAsia="仿宋" w:cs="仿宋"/>
          <w:color w:val="000000"/>
        </w:rPr>
      </w:pPr>
      <w:r>
        <w:rPr>
          <w:rFonts w:hint="eastAsia" w:ascii="仿宋" w:hAnsi="仿宋" w:eastAsia="仿宋" w:cs="仿宋"/>
          <w:color w:val="000000"/>
        </w:rPr>
        <w:t>文字表述可分两段，第一段为总体描述，即课程对学生在知识与技能、过程与方法、情感态度与价值观等方面的基本要求，学生学习该门课程后应达到的预期结果。第二段具体说明学生应达到的职业能力目标（用黑点分开）。</w:t>
      </w:r>
    </w:p>
    <w:p>
      <w:pPr>
        <w:pageBreakBefore w:val="0"/>
        <w:topLinePunct w:val="0"/>
        <w:bidi w:val="0"/>
        <w:spacing w:line="400" w:lineRule="exact"/>
        <w:ind w:firstLine="420" w:firstLineChars="200"/>
        <w:outlineLvl w:val="9"/>
        <w:rPr>
          <w:rFonts w:hint="eastAsia" w:ascii="仿宋" w:hAnsi="仿宋" w:eastAsia="仿宋" w:cs="仿宋"/>
          <w:color w:val="000000"/>
        </w:rPr>
      </w:pPr>
      <w:r>
        <w:rPr>
          <w:rFonts w:hint="eastAsia" w:ascii="仿宋" w:hAnsi="仿宋" w:eastAsia="仿宋" w:cs="仿宋"/>
          <w:color w:val="000000"/>
        </w:rPr>
        <w:t xml:space="preserve">为了使得课程目标的表述能够明确，职业能力目标表述尽量不要使用“知道”、“了解”“懂得”、“熟悉”之类的动词，否则，所描述的课程目标就会非常模糊。建议采用“能或会+程度副词+操作动词+操作对象”的格式，如“能熟练操作压片机”。 </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rPr>
        <w:t>3</w:t>
      </w:r>
      <w:r>
        <w:rPr>
          <w:rFonts w:hint="eastAsia" w:ascii="仿宋" w:hAnsi="仿宋" w:eastAsia="仿宋" w:cs="仿宋"/>
          <w:color w:val="000000"/>
          <w:szCs w:val="28"/>
        </w:rPr>
        <w:t>．课程内容和要求</w:t>
      </w:r>
    </w:p>
    <w:p>
      <w:pPr>
        <w:pageBreakBefore w:val="0"/>
        <w:topLinePunct w:val="0"/>
        <w:bidi w:val="0"/>
        <w:spacing w:line="400" w:lineRule="exact"/>
        <w:ind w:firstLine="420" w:firstLineChars="200"/>
        <w:outlineLvl w:val="9"/>
        <w:rPr>
          <w:rFonts w:hint="eastAsia" w:ascii="仿宋" w:hAnsi="仿宋" w:eastAsia="仿宋" w:cs="仿宋"/>
          <w:color w:val="000000"/>
        </w:rPr>
      </w:pPr>
      <w:r>
        <w:rPr>
          <w:rFonts w:hint="eastAsia" w:ascii="仿宋" w:hAnsi="仿宋" w:eastAsia="仿宋" w:cs="仿宋"/>
          <w:color w:val="000000"/>
        </w:rPr>
        <w:t>根据专业课程目标和涵盖的工作任务要求，确定课程内容和要求，说明学生应获得的知识、技能与态度。典型工作任务指经过筛选后需要纳入课程内容的工作任务。注意典型工作任务要与企业专家分析的工作任务相对接。技能内容与知识内容的分析要准确，并充分体现高职特色。</w:t>
      </w:r>
    </w:p>
    <w:p>
      <w:pPr>
        <w:pageBreakBefore w:val="0"/>
        <w:topLinePunct w:val="0"/>
        <w:bidi w:val="0"/>
        <w:spacing w:line="360" w:lineRule="exact"/>
        <w:ind w:firstLine="420" w:firstLineChars="200"/>
        <w:outlineLvl w:val="9"/>
        <w:rPr>
          <w:rFonts w:hint="eastAsia" w:ascii="仿宋" w:hAnsi="仿宋" w:eastAsia="仿宋" w:cs="仿宋"/>
          <w:color w:val="000000"/>
        </w:rPr>
      </w:pPr>
    </w:p>
    <w:p>
      <w:pPr>
        <w:pageBreakBefore w:val="0"/>
        <w:topLinePunct w:val="0"/>
        <w:bidi w:val="0"/>
        <w:spacing w:line="360" w:lineRule="exact"/>
        <w:ind w:firstLine="420" w:firstLineChars="200"/>
        <w:outlineLvl w:val="9"/>
        <w:rPr>
          <w:rFonts w:hint="eastAsia" w:ascii="仿宋" w:hAnsi="仿宋" w:eastAsia="仿宋" w:cs="仿宋"/>
          <w:color w:val="000000"/>
        </w:rPr>
      </w:pPr>
    </w:p>
    <w:p>
      <w:pPr>
        <w:pageBreakBefore w:val="0"/>
        <w:topLinePunct w:val="0"/>
        <w:bidi w:val="0"/>
        <w:spacing w:line="360" w:lineRule="exact"/>
        <w:ind w:firstLine="420" w:firstLineChars="200"/>
        <w:outlineLvl w:val="9"/>
        <w:rPr>
          <w:rFonts w:hint="eastAsia" w:ascii="仿宋" w:hAnsi="仿宋" w:eastAsia="仿宋" w:cs="仿宋"/>
          <w:color w:val="000000"/>
        </w:rPr>
      </w:pPr>
    </w:p>
    <w:p>
      <w:pPr>
        <w:pageBreakBefore w:val="0"/>
        <w:topLinePunct w:val="0"/>
        <w:bidi w:val="0"/>
        <w:spacing w:line="360" w:lineRule="exact"/>
        <w:ind w:firstLine="420" w:firstLineChars="200"/>
        <w:outlineLvl w:val="9"/>
        <w:rPr>
          <w:rFonts w:hint="eastAsia" w:ascii="仿宋" w:hAnsi="仿宋" w:eastAsia="仿宋" w:cs="仿宋"/>
          <w:color w:val="000000"/>
        </w:rPr>
      </w:pPr>
    </w:p>
    <w:p>
      <w:pPr>
        <w:pageBreakBefore w:val="0"/>
        <w:topLinePunct w:val="0"/>
        <w:bidi w:val="0"/>
        <w:spacing w:before="93" w:beforeLines="30" w:after="93" w:afterLines="30" w:line="360" w:lineRule="exact"/>
        <w:ind w:firstLine="420" w:firstLineChars="200"/>
        <w:outlineLvl w:val="9"/>
        <w:rPr>
          <w:rFonts w:hint="eastAsia" w:ascii="仿宋" w:hAnsi="仿宋" w:eastAsia="仿宋" w:cs="仿宋"/>
          <w:color w:val="000000"/>
          <w:szCs w:val="21"/>
        </w:rPr>
      </w:pPr>
      <w:r>
        <w:rPr>
          <w:rFonts w:hint="eastAsia" w:ascii="仿宋" w:hAnsi="仿宋" w:eastAsia="仿宋" w:cs="仿宋"/>
          <w:color w:val="000000"/>
          <w:szCs w:val="21"/>
        </w:rPr>
        <w:t>表式：课程内容和要求</w:t>
      </w:r>
    </w:p>
    <w:tbl>
      <w:tblPr>
        <w:tblStyle w:val="37"/>
        <w:tblW w:w="80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260"/>
        <w:gridCol w:w="2880"/>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序号</w:t>
            </w:r>
          </w:p>
        </w:tc>
        <w:tc>
          <w:tcPr>
            <w:tcW w:w="1260"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典型工作任务</w:t>
            </w:r>
          </w:p>
        </w:tc>
        <w:tc>
          <w:tcPr>
            <w:tcW w:w="2880" w:type="dxa"/>
            <w:noWrap w:val="0"/>
            <w:vAlign w:val="center"/>
          </w:tcPr>
          <w:p>
            <w:pPr>
              <w:pageBreakBefore w:val="0"/>
              <w:topLinePunct w:val="0"/>
              <w:bidi w:val="0"/>
              <w:spacing w:before="156" w:beforeLines="50"/>
              <w:jc w:val="center"/>
              <w:outlineLvl w:val="9"/>
              <w:rPr>
                <w:rFonts w:hint="eastAsia" w:ascii="仿宋" w:hAnsi="仿宋" w:eastAsia="仿宋" w:cs="仿宋"/>
                <w:color w:val="000000"/>
              </w:rPr>
            </w:pPr>
            <w:r>
              <w:rPr>
                <w:rFonts w:hint="eastAsia" w:ascii="仿宋" w:hAnsi="仿宋" w:eastAsia="仿宋" w:cs="仿宋"/>
                <w:color w:val="000000"/>
              </w:rPr>
              <w:t>技能内容及要求</w:t>
            </w:r>
          </w:p>
        </w:tc>
        <w:tc>
          <w:tcPr>
            <w:tcW w:w="3420" w:type="dxa"/>
            <w:noWrap w:val="0"/>
            <w:vAlign w:val="center"/>
          </w:tcPr>
          <w:p>
            <w:pPr>
              <w:pageBreakBefore w:val="0"/>
              <w:topLinePunct w:val="0"/>
              <w:bidi w:val="0"/>
              <w:spacing w:before="156" w:beforeLines="50"/>
              <w:jc w:val="center"/>
              <w:outlineLvl w:val="9"/>
              <w:rPr>
                <w:rFonts w:hint="eastAsia" w:ascii="仿宋" w:hAnsi="仿宋" w:eastAsia="仿宋" w:cs="仿宋"/>
                <w:color w:val="000000"/>
              </w:rPr>
            </w:pPr>
            <w:r>
              <w:rPr>
                <w:rFonts w:hint="eastAsia" w:ascii="仿宋" w:hAnsi="仿宋" w:eastAsia="仿宋" w:cs="仿宋"/>
                <w:color w:val="000000"/>
              </w:rPr>
              <w:t>知识内容及要求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468"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1</w:t>
            </w:r>
          </w:p>
        </w:tc>
        <w:tc>
          <w:tcPr>
            <w:tcW w:w="1260" w:type="dxa"/>
            <w:noWrap w:val="0"/>
            <w:vAlign w:val="center"/>
          </w:tcPr>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tc>
        <w:tc>
          <w:tcPr>
            <w:tcW w:w="2880" w:type="dxa"/>
            <w:noWrap w:val="0"/>
            <w:vAlign w:val="top"/>
          </w:tcPr>
          <w:p>
            <w:pPr>
              <w:pageBreakBefore w:val="0"/>
              <w:topLinePunct w:val="0"/>
              <w:bidi w:val="0"/>
              <w:spacing w:before="156" w:beforeLines="50"/>
              <w:outlineLvl w:val="9"/>
              <w:rPr>
                <w:rFonts w:hint="eastAsia" w:ascii="仿宋" w:hAnsi="仿宋" w:eastAsia="仿宋" w:cs="仿宋"/>
                <w:color w:val="000000"/>
                <w:szCs w:val="21"/>
              </w:rPr>
            </w:pPr>
            <w:r>
              <w:rPr>
                <w:rFonts w:hint="eastAsia" w:ascii="仿宋" w:hAnsi="仿宋" w:eastAsia="仿宋" w:cs="仿宋"/>
                <w:color w:val="000000"/>
                <w:szCs w:val="21"/>
              </w:rPr>
              <w:t>1．</w:t>
            </w:r>
          </w:p>
        </w:tc>
        <w:tc>
          <w:tcPr>
            <w:tcW w:w="3420" w:type="dxa"/>
            <w:noWrap w:val="0"/>
            <w:vAlign w:val="top"/>
          </w:tcPr>
          <w:p>
            <w:pPr>
              <w:pageBreakBefore w:val="0"/>
              <w:topLinePunct w:val="0"/>
              <w:bidi w:val="0"/>
              <w:spacing w:before="156" w:beforeLines="50"/>
              <w:outlineLvl w:val="9"/>
              <w:rPr>
                <w:rFonts w:hint="eastAsia" w:ascii="仿宋" w:hAnsi="仿宋" w:eastAsia="仿宋" w:cs="仿宋"/>
                <w:color w:val="000000"/>
              </w:rPr>
            </w:pPr>
            <w:r>
              <w:rPr>
                <w:rFonts w:hint="eastAsia" w:ascii="仿宋" w:hAnsi="仿宋" w:eastAsia="仿宋" w:cs="仿宋"/>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8"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2</w:t>
            </w:r>
          </w:p>
        </w:tc>
        <w:tc>
          <w:tcPr>
            <w:tcW w:w="1260" w:type="dxa"/>
            <w:noWrap w:val="0"/>
            <w:vAlign w:val="center"/>
          </w:tcPr>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tc>
        <w:tc>
          <w:tcPr>
            <w:tcW w:w="2880" w:type="dxa"/>
            <w:noWrap w:val="0"/>
            <w:vAlign w:val="center"/>
          </w:tcPr>
          <w:p>
            <w:pPr>
              <w:pageBreakBefore w:val="0"/>
              <w:topLinePunct w:val="0"/>
              <w:bidi w:val="0"/>
              <w:spacing w:before="156" w:beforeLines="50"/>
              <w:outlineLvl w:val="9"/>
              <w:rPr>
                <w:rFonts w:hint="eastAsia" w:ascii="仿宋" w:hAnsi="仿宋" w:eastAsia="仿宋" w:cs="仿宋"/>
                <w:color w:val="000000"/>
                <w:szCs w:val="21"/>
              </w:rPr>
            </w:pPr>
          </w:p>
        </w:tc>
        <w:tc>
          <w:tcPr>
            <w:tcW w:w="3420" w:type="dxa"/>
            <w:noWrap w:val="0"/>
            <w:vAlign w:val="center"/>
          </w:tcPr>
          <w:p>
            <w:pPr>
              <w:pageBreakBefore w:val="0"/>
              <w:topLinePunct w:val="0"/>
              <w:bidi w:val="0"/>
              <w:spacing w:before="156" w:beforeLines="50"/>
              <w:jc w:val="left"/>
              <w:outlineLvl w:val="9"/>
              <w:rPr>
                <w:rFonts w:hint="eastAsia"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468" w:type="dxa"/>
            <w:noWrap w:val="0"/>
            <w:vAlign w:val="center"/>
          </w:tcPr>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t>3</w:t>
            </w:r>
          </w:p>
        </w:tc>
        <w:tc>
          <w:tcPr>
            <w:tcW w:w="1260" w:type="dxa"/>
            <w:noWrap w:val="0"/>
            <w:vAlign w:val="center"/>
          </w:tcPr>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tc>
        <w:tc>
          <w:tcPr>
            <w:tcW w:w="2880" w:type="dxa"/>
            <w:noWrap w:val="0"/>
            <w:vAlign w:val="center"/>
          </w:tcPr>
          <w:p>
            <w:pPr>
              <w:pageBreakBefore w:val="0"/>
              <w:topLinePunct w:val="0"/>
              <w:bidi w:val="0"/>
              <w:spacing w:before="156" w:beforeLines="50"/>
              <w:outlineLvl w:val="9"/>
              <w:rPr>
                <w:rFonts w:hint="eastAsia" w:ascii="仿宋" w:hAnsi="仿宋" w:eastAsia="仿宋" w:cs="仿宋"/>
                <w:color w:val="000000"/>
              </w:rPr>
            </w:pPr>
          </w:p>
        </w:tc>
        <w:tc>
          <w:tcPr>
            <w:tcW w:w="3420" w:type="dxa"/>
            <w:noWrap w:val="0"/>
            <w:vAlign w:val="center"/>
          </w:tcPr>
          <w:p>
            <w:pPr>
              <w:pageBreakBefore w:val="0"/>
              <w:topLinePunct w:val="0"/>
              <w:bidi w:val="0"/>
              <w:spacing w:before="156" w:beforeLines="50"/>
              <w:outlineLvl w:val="9"/>
              <w:rPr>
                <w:rFonts w:hint="eastAsia" w:ascii="仿宋" w:hAnsi="仿宋" w:eastAsia="仿宋" w:cs="仿宋"/>
                <w:color w:val="000000"/>
              </w:rPr>
            </w:pPr>
          </w:p>
        </w:tc>
      </w:tr>
    </w:tbl>
    <w:p>
      <w:pPr>
        <w:pageBreakBefore w:val="0"/>
        <w:topLinePunct w:val="0"/>
        <w:bidi w:val="0"/>
        <w:spacing w:line="400" w:lineRule="exact"/>
        <w:outlineLvl w:val="9"/>
        <w:rPr>
          <w:rFonts w:hint="eastAsia" w:ascii="仿宋" w:hAnsi="仿宋" w:eastAsia="仿宋" w:cs="仿宋"/>
          <w:bCs/>
          <w:color w:val="000000"/>
          <w:szCs w:val="20"/>
        </w:rPr>
      </w:pPr>
      <w:r>
        <w:rPr>
          <w:rFonts w:hint="eastAsia" w:ascii="仿宋" w:hAnsi="仿宋" w:eastAsia="仿宋" w:cs="仿宋"/>
          <w:bCs/>
          <w:color w:val="000000"/>
          <w:szCs w:val="20"/>
        </w:rPr>
        <w:t>4</w:t>
      </w:r>
      <w:r>
        <w:rPr>
          <w:rFonts w:hint="eastAsia" w:ascii="仿宋" w:hAnsi="仿宋" w:eastAsia="仿宋" w:cs="仿宋"/>
          <w:color w:val="000000"/>
          <w:szCs w:val="28"/>
        </w:rPr>
        <w:t>．</w:t>
      </w:r>
      <w:r>
        <w:rPr>
          <w:rFonts w:hint="eastAsia" w:ascii="仿宋" w:hAnsi="仿宋" w:eastAsia="仿宋" w:cs="仿宋"/>
          <w:bCs/>
          <w:color w:val="000000"/>
          <w:szCs w:val="20"/>
        </w:rPr>
        <w:t>实施建议</w:t>
      </w:r>
    </w:p>
    <w:p>
      <w:pPr>
        <w:pageBreakBefore w:val="0"/>
        <w:topLinePunct w:val="0"/>
        <w:bidi w:val="0"/>
        <w:spacing w:line="400" w:lineRule="exact"/>
        <w:outlineLvl w:val="9"/>
        <w:rPr>
          <w:rFonts w:hint="eastAsia" w:ascii="仿宋" w:hAnsi="仿宋" w:eastAsia="仿宋" w:cs="仿宋"/>
          <w:color w:val="000000"/>
          <w:szCs w:val="20"/>
        </w:rPr>
      </w:pPr>
      <w:r>
        <w:rPr>
          <w:rFonts w:hint="eastAsia" w:ascii="仿宋" w:hAnsi="仿宋" w:eastAsia="仿宋" w:cs="仿宋"/>
          <w:bCs/>
          <w:color w:val="000000"/>
          <w:szCs w:val="28"/>
        </w:rPr>
        <w:t xml:space="preserve">   4-1</w:t>
      </w:r>
      <w:r>
        <w:rPr>
          <w:rFonts w:hint="eastAsia" w:ascii="仿宋" w:hAnsi="仿宋" w:eastAsia="仿宋" w:cs="仿宋"/>
          <w:color w:val="000000"/>
          <w:szCs w:val="20"/>
        </w:rPr>
        <w:t>教材编写</w:t>
      </w:r>
    </w:p>
    <w:p>
      <w:pPr>
        <w:pageBreakBefore w:val="0"/>
        <w:topLinePunct w:val="0"/>
        <w:bidi w:val="0"/>
        <w:spacing w:line="400" w:lineRule="exact"/>
        <w:ind w:firstLine="420" w:firstLineChars="200"/>
        <w:outlineLvl w:val="9"/>
        <w:rPr>
          <w:rFonts w:hint="eastAsia" w:ascii="仿宋" w:hAnsi="仿宋" w:eastAsia="仿宋" w:cs="仿宋"/>
          <w:color w:val="000000"/>
          <w:szCs w:val="20"/>
        </w:rPr>
      </w:pPr>
      <w:r>
        <w:rPr>
          <w:rFonts w:hint="eastAsia" w:ascii="仿宋" w:hAnsi="仿宋" w:eastAsia="仿宋" w:cs="仿宋"/>
          <w:color w:val="000000"/>
        </w:rPr>
        <w:t>必须依据本课程标准编写教材。充分体现任务引领、实践导向课程设计思想。教材内容呈现方式。教材要体现先进性、通用性、实用性。反映新技术、新工艺，典型产品或服务的选择要科学，体现地区产业特点。文字表述要求。活动设计要具体、可操作。</w:t>
      </w:r>
    </w:p>
    <w:p>
      <w:pPr>
        <w:pageBreakBefore w:val="0"/>
        <w:topLinePunct w:val="0"/>
        <w:bidi w:val="0"/>
        <w:spacing w:line="400" w:lineRule="exact"/>
        <w:outlineLvl w:val="9"/>
        <w:rPr>
          <w:rFonts w:hint="eastAsia" w:ascii="仿宋" w:hAnsi="仿宋" w:eastAsia="仿宋" w:cs="仿宋"/>
          <w:bCs/>
          <w:color w:val="000000"/>
          <w:szCs w:val="28"/>
        </w:rPr>
      </w:pPr>
      <w:r>
        <w:rPr>
          <w:rFonts w:hint="eastAsia" w:ascii="仿宋" w:hAnsi="仿宋" w:eastAsia="仿宋" w:cs="仿宋"/>
          <w:bCs/>
          <w:color w:val="000000"/>
          <w:szCs w:val="28"/>
        </w:rPr>
        <w:t xml:space="preserve">   4-2教学建议</w:t>
      </w:r>
    </w:p>
    <w:p>
      <w:pPr>
        <w:pageBreakBefore w:val="0"/>
        <w:topLinePunct w:val="0"/>
        <w:bidi w:val="0"/>
        <w:spacing w:line="400" w:lineRule="exact"/>
        <w:ind w:firstLine="420" w:firstLineChars="200"/>
        <w:outlineLvl w:val="9"/>
        <w:rPr>
          <w:rFonts w:hint="eastAsia" w:ascii="仿宋" w:hAnsi="仿宋" w:eastAsia="仿宋" w:cs="仿宋"/>
          <w:color w:val="000000"/>
          <w:szCs w:val="20"/>
        </w:rPr>
      </w:pPr>
      <w:r>
        <w:rPr>
          <w:rFonts w:hint="eastAsia" w:ascii="仿宋" w:hAnsi="仿宋" w:eastAsia="仿宋" w:cs="仿宋"/>
          <w:color w:val="000000"/>
        </w:rPr>
        <w:t>教学建议：要体现各课程在教学方法上的特殊性。</w:t>
      </w:r>
    </w:p>
    <w:p>
      <w:pPr>
        <w:pageBreakBefore w:val="0"/>
        <w:topLinePunct w:val="0"/>
        <w:bidi w:val="0"/>
        <w:spacing w:line="400" w:lineRule="exact"/>
        <w:outlineLvl w:val="9"/>
        <w:rPr>
          <w:rFonts w:hint="eastAsia" w:ascii="仿宋" w:hAnsi="仿宋" w:eastAsia="仿宋" w:cs="仿宋"/>
          <w:bCs/>
          <w:color w:val="000000"/>
          <w:szCs w:val="28"/>
        </w:rPr>
      </w:pPr>
      <w:r>
        <w:rPr>
          <w:rFonts w:hint="eastAsia" w:ascii="仿宋" w:hAnsi="仿宋" w:eastAsia="仿宋" w:cs="仿宋"/>
          <w:bCs/>
          <w:color w:val="000000"/>
          <w:szCs w:val="28"/>
        </w:rPr>
        <w:t xml:space="preserve">   4-3教学评价</w:t>
      </w:r>
    </w:p>
    <w:p>
      <w:pPr>
        <w:pageBreakBefore w:val="0"/>
        <w:topLinePunct w:val="0"/>
        <w:bidi w:val="0"/>
        <w:spacing w:line="400" w:lineRule="exact"/>
        <w:ind w:firstLine="420" w:firstLineChars="200"/>
        <w:outlineLvl w:val="9"/>
        <w:rPr>
          <w:rFonts w:hint="eastAsia" w:ascii="仿宋" w:hAnsi="仿宋" w:eastAsia="仿宋" w:cs="仿宋"/>
          <w:color w:val="000000"/>
          <w:szCs w:val="20"/>
        </w:rPr>
      </w:pPr>
      <w:r>
        <w:rPr>
          <w:rFonts w:hint="eastAsia" w:ascii="仿宋" w:hAnsi="仿宋" w:eastAsia="仿宋" w:cs="仿宋"/>
          <w:color w:val="000000"/>
        </w:rPr>
        <w:t>教学评价：主要指学生学业评价。突出阶段评价、目标评价、理论与实践一体化评价。关注评价的多元性。要体现各课程在评价上的特殊性。</w:t>
      </w:r>
    </w:p>
    <w:p>
      <w:pPr>
        <w:pageBreakBefore w:val="0"/>
        <w:topLinePunct w:val="0"/>
        <w:bidi w:val="0"/>
        <w:spacing w:line="400" w:lineRule="exact"/>
        <w:outlineLvl w:val="9"/>
        <w:rPr>
          <w:rFonts w:hint="eastAsia" w:ascii="仿宋" w:hAnsi="仿宋" w:eastAsia="仿宋" w:cs="仿宋"/>
          <w:bCs/>
          <w:color w:val="000000"/>
          <w:szCs w:val="28"/>
        </w:rPr>
      </w:pPr>
      <w:r>
        <w:rPr>
          <w:rFonts w:hint="eastAsia" w:ascii="仿宋" w:hAnsi="仿宋" w:eastAsia="仿宋" w:cs="仿宋"/>
          <w:bCs/>
          <w:color w:val="000000"/>
          <w:szCs w:val="28"/>
        </w:rPr>
        <w:t xml:space="preserve">   4-4课程资源的开发与利用</w:t>
      </w:r>
    </w:p>
    <w:p>
      <w:pPr>
        <w:pageBreakBefore w:val="0"/>
        <w:topLinePunct w:val="0"/>
        <w:bidi w:val="0"/>
        <w:spacing w:line="400" w:lineRule="exact"/>
        <w:ind w:left="1" w:firstLine="420" w:firstLineChars="200"/>
        <w:outlineLvl w:val="9"/>
        <w:rPr>
          <w:rFonts w:hint="eastAsia" w:ascii="仿宋" w:hAnsi="仿宋" w:eastAsia="仿宋" w:cs="仿宋"/>
          <w:color w:val="000000"/>
        </w:rPr>
      </w:pPr>
      <w:r>
        <w:rPr>
          <w:rFonts w:hint="eastAsia" w:ascii="仿宋" w:hAnsi="仿宋" w:eastAsia="仿宋" w:cs="仿宋"/>
          <w:color w:val="000000"/>
        </w:rPr>
        <w:t>课程资源开发与利用：包括相关教辅材料、实训指导手册、信息技术应用、工学结合、网络资源、仿真软件等。</w:t>
      </w:r>
    </w:p>
    <w:p>
      <w:pPr>
        <w:pageBreakBefore w:val="0"/>
        <w:topLinePunct w:val="0"/>
        <w:bidi w:val="0"/>
        <w:spacing w:line="400" w:lineRule="exact"/>
        <w:outlineLvl w:val="9"/>
        <w:rPr>
          <w:rFonts w:hint="eastAsia" w:ascii="仿宋" w:hAnsi="仿宋" w:eastAsia="仿宋" w:cs="仿宋"/>
          <w:bCs/>
          <w:color w:val="000000"/>
          <w:szCs w:val="28"/>
        </w:rPr>
      </w:pPr>
      <w:r>
        <w:rPr>
          <w:rFonts w:hint="eastAsia" w:ascii="仿宋" w:hAnsi="仿宋" w:eastAsia="仿宋" w:cs="仿宋"/>
          <w:bCs/>
          <w:color w:val="000000"/>
          <w:szCs w:val="28"/>
        </w:rPr>
        <w:t xml:space="preserve">   4-5其他说明</w:t>
      </w:r>
    </w:p>
    <w:p>
      <w:pPr>
        <w:pageBreakBefore w:val="0"/>
        <w:topLinePunct w:val="0"/>
        <w:bidi w:val="0"/>
        <w:spacing w:line="400" w:lineRule="exact"/>
        <w:ind w:firstLine="420" w:firstLineChars="200"/>
        <w:jc w:val="left"/>
        <w:outlineLvl w:val="9"/>
        <w:rPr>
          <w:rFonts w:hint="eastAsia" w:ascii="仿宋" w:hAnsi="仿宋" w:eastAsia="仿宋" w:cs="仿宋"/>
          <w:b/>
          <w:bCs/>
          <w:color w:val="000000"/>
          <w:sz w:val="32"/>
          <w:szCs w:val="32"/>
        </w:rPr>
      </w:pPr>
      <w:r>
        <w:rPr>
          <w:rFonts w:hint="eastAsia" w:ascii="仿宋" w:hAnsi="仿宋" w:eastAsia="仿宋" w:cs="仿宋"/>
          <w:color w:val="000000"/>
          <w:szCs w:val="20"/>
        </w:rPr>
        <w:t>对以上不能涵盖的内容作必要的说明。</w:t>
      </w:r>
    </w:p>
    <w:p>
      <w:pPr>
        <w:pageBreakBefore w:val="0"/>
        <w:topLinePunct w:val="0"/>
        <w:bidi w:val="0"/>
        <w:spacing w:line="400" w:lineRule="exact"/>
        <w:jc w:val="left"/>
        <w:outlineLvl w:val="9"/>
        <w:rPr>
          <w:rFonts w:hint="eastAsia" w:ascii="仿宋" w:hAnsi="仿宋" w:eastAsia="仿宋" w:cs="仿宋"/>
          <w:b/>
          <w:bCs/>
          <w:color w:val="000000"/>
          <w:sz w:val="32"/>
          <w:szCs w:val="32"/>
        </w:rPr>
      </w:pPr>
    </w:p>
    <w:p>
      <w:pPr>
        <w:pageBreakBefore w:val="0"/>
        <w:topLinePunct w:val="0"/>
        <w:bidi w:val="0"/>
        <w:spacing w:line="400" w:lineRule="exact"/>
        <w:jc w:val="left"/>
        <w:outlineLvl w:val="9"/>
        <w:rPr>
          <w:rFonts w:hint="eastAsia" w:ascii="仿宋" w:hAnsi="仿宋" w:eastAsia="仿宋" w:cs="仿宋"/>
          <w:b/>
          <w:bCs/>
          <w:color w:val="000000"/>
          <w:sz w:val="32"/>
          <w:szCs w:val="32"/>
        </w:rPr>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jc w:val="center"/>
        <w:outlineLvl w:val="9"/>
        <w:rPr>
          <w:color w:val="FF0000"/>
          <w:sz w:val="24"/>
        </w:rPr>
      </w:pPr>
      <w:bookmarkStart w:id="175" w:name="_Toc26574"/>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ascii="华文中宋" w:hAnsi="华文中宋" w:eastAsia="华文中宋"/>
          <w:b/>
          <w:color w:val="FF0000"/>
          <w:spacing w:val="266"/>
          <w:w w:val="72"/>
          <w:kern w:val="0"/>
          <w:sz w:val="72"/>
          <w:szCs w:val="72"/>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jc w:val="both"/>
        <w:outlineLvl w:val="9"/>
        <w:rPr>
          <w:sz w:val="24"/>
        </w:rPr>
      </w:pPr>
    </w:p>
    <w:p>
      <w:pPr>
        <w:pageBreakBefore w:val="0"/>
        <w:topLinePunct w:val="0"/>
        <w:bidi w:val="0"/>
        <w:spacing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8〕1</w:t>
      </w:r>
      <w:r>
        <w:rPr>
          <w:rFonts w:hint="eastAsia" w:ascii="仿宋_GB2312" w:eastAsia="仿宋_GB2312"/>
          <w:color w:val="000000"/>
          <w:kern w:val="0"/>
          <w:sz w:val="32"/>
          <w:szCs w:val="28"/>
          <w:lang w:val="en-US" w:eastAsia="zh-CN"/>
        </w:rPr>
        <w:t>23</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napToGrid w:val="0"/>
        <w:spacing w:beforeLines="100" w:line="5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pStyle w:val="98"/>
        <w:pageBreakBefore w:val="0"/>
        <w:shd w:val="clear" w:color="auto" w:fill="FFFFFF"/>
        <w:topLinePunct w:val="0"/>
        <w:bidi w:val="0"/>
        <w:spacing w:before="0" w:beforeAutospacing="0" w:after="0" w:afterAutospacing="0" w:line="560" w:lineRule="exact"/>
        <w:jc w:val="center"/>
        <w:outlineLvl w:val="9"/>
        <w:rPr>
          <w:rFonts w:hint="eastAsia" w:ascii="华文中宋" w:hAnsi="华文中宋" w:eastAsia="华文中宋" w:cs="华文中宋"/>
          <w:b/>
          <w:kern w:val="0"/>
          <w:sz w:val="36"/>
          <w:szCs w:val="36"/>
        </w:rPr>
      </w:pPr>
    </w:p>
    <w:p>
      <w:pPr>
        <w:keepNext w:val="0"/>
        <w:keepLines w:val="0"/>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0"/>
        <w:rPr>
          <w:rFonts w:hint="eastAsia" w:ascii="黑体" w:hAnsi="黑体" w:eastAsia="黑体" w:cs="黑体"/>
          <w:b/>
          <w:color w:val="000000"/>
          <w:kern w:val="0"/>
          <w:sz w:val="36"/>
          <w:szCs w:val="36"/>
          <w:lang w:eastAsia="zh-CN"/>
        </w:rPr>
      </w:pPr>
      <w:bookmarkStart w:id="176" w:name="_Toc21348"/>
      <w:r>
        <w:rPr>
          <w:rFonts w:hint="eastAsia" w:ascii="黑体" w:hAnsi="黑体" w:eastAsia="黑体" w:cs="黑体"/>
          <w:b/>
          <w:kern w:val="0"/>
          <w:sz w:val="36"/>
          <w:szCs w:val="36"/>
        </w:rPr>
        <w:t>关于印</w:t>
      </w:r>
      <w:r>
        <w:rPr>
          <w:rFonts w:hint="eastAsia" w:ascii="黑体" w:hAnsi="黑体" w:eastAsia="黑体" w:cs="黑体"/>
          <w:b/>
          <w:color w:val="000000"/>
          <w:kern w:val="0"/>
          <w:sz w:val="36"/>
          <w:szCs w:val="36"/>
          <w:lang w:eastAsia="zh-CN"/>
        </w:rPr>
        <w:t>发《上海电子信息职业技术二级教学督导工作管理办法》的通知</w:t>
      </w:r>
      <w:bookmarkEnd w:id="176"/>
    </w:p>
    <w:p>
      <w:pPr>
        <w:pStyle w:val="52"/>
        <w:pageBreakBefore w:val="0"/>
        <w:topLinePunct w:val="0"/>
        <w:bidi w:val="0"/>
        <w:spacing w:line="360" w:lineRule="auto"/>
        <w:ind w:left="0" w:leftChars="0" w:firstLine="0" w:firstLineChars="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各教学单位、职能部门：</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现将《</w:t>
      </w:r>
      <w:r>
        <w:rPr>
          <w:rFonts w:hint="eastAsia" w:ascii="仿宋_GB2312" w:hAnsi="仿宋_GB2312" w:eastAsia="仿宋_GB2312" w:cs="仿宋_GB2312"/>
          <w:sz w:val="28"/>
          <w:szCs w:val="28"/>
          <w:highlight w:val="none"/>
          <w:lang w:eastAsia="zh-CN"/>
        </w:rPr>
        <w:t>上海电子信息职业技术学院</w:t>
      </w:r>
      <w:r>
        <w:rPr>
          <w:rFonts w:hint="eastAsia" w:ascii="仿宋_GB2312" w:hAnsi="仿宋_GB2312" w:eastAsia="仿宋_GB2312" w:cs="仿宋_GB2312"/>
          <w:sz w:val="28"/>
          <w:szCs w:val="28"/>
          <w:highlight w:val="none"/>
        </w:rPr>
        <w:t>二级教学督导工作管理办法》印发给你们，请结合本部门工作实际，认真研究执行。</w:t>
      </w:r>
      <w:r>
        <w:rPr>
          <w:rFonts w:hint="eastAsia" w:ascii="仿宋_GB2312" w:hAnsi="仿宋_GB2312" w:eastAsia="仿宋_GB2312" w:cs="仿宋_GB2312"/>
          <w:sz w:val="28"/>
          <w:szCs w:val="28"/>
          <w:highlight w:val="none"/>
        </w:rPr>
        <w:tab/>
      </w:r>
      <w:r>
        <w:rPr>
          <w:rFonts w:hint="eastAsia" w:ascii="仿宋_GB2312" w:hAnsi="仿宋_GB2312" w:eastAsia="仿宋_GB2312" w:cs="仿宋_GB2312"/>
          <w:sz w:val="28"/>
          <w:szCs w:val="28"/>
          <w:highlight w:val="none"/>
        </w:rPr>
        <w:t xml:space="preserve">  </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附</w:t>
      </w:r>
      <w:r>
        <w:rPr>
          <w:rFonts w:hint="eastAsia" w:ascii="仿宋_GB2312" w:hAnsi="仿宋_GB2312" w:eastAsia="仿宋_GB2312" w:cs="仿宋_GB2312"/>
          <w:sz w:val="28"/>
          <w:szCs w:val="28"/>
          <w:highlight w:val="none"/>
          <w:lang w:eastAsia="zh-CN"/>
        </w:rPr>
        <w:t>件：上海电子信息职业技术学院</w:t>
      </w:r>
      <w:r>
        <w:rPr>
          <w:rFonts w:hint="eastAsia" w:ascii="仿宋_GB2312" w:hAnsi="仿宋_GB2312" w:eastAsia="仿宋_GB2312" w:cs="仿宋_GB2312"/>
          <w:sz w:val="28"/>
          <w:szCs w:val="28"/>
          <w:highlight w:val="none"/>
        </w:rPr>
        <w:t>二级教学督导工作管理办法</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jc w:val="right"/>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上海电子信息职业技术学院</w:t>
      </w:r>
    </w:p>
    <w:p>
      <w:pPr>
        <w:pStyle w:val="52"/>
        <w:pageBreakBefore w:val="0"/>
        <w:topLinePunct w:val="0"/>
        <w:bidi w:val="0"/>
        <w:spacing w:line="360" w:lineRule="auto"/>
        <w:ind w:firstLine="560" w:firstLineChars="200"/>
        <w:jc w:val="right"/>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2018年</w:t>
      </w:r>
      <w:r>
        <w:rPr>
          <w:rFonts w:hint="eastAsia" w:ascii="仿宋_GB2312" w:hAnsi="仿宋_GB2312" w:eastAsia="仿宋_GB2312" w:cs="仿宋_GB2312"/>
          <w:sz w:val="28"/>
          <w:szCs w:val="28"/>
          <w:highlight w:val="none"/>
          <w:lang w:val="en-US" w:eastAsia="zh-CN"/>
        </w:rPr>
        <w:t>7</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lang w:val="en-US" w:eastAsia="zh-CN"/>
        </w:rPr>
        <w:t>10</w:t>
      </w:r>
      <w:r>
        <w:rPr>
          <w:rFonts w:hint="eastAsia" w:ascii="仿宋_GB2312" w:hAnsi="仿宋_GB2312" w:eastAsia="仿宋_GB2312" w:cs="仿宋_GB2312"/>
          <w:sz w:val="28"/>
          <w:szCs w:val="28"/>
          <w:highlight w:val="none"/>
        </w:rPr>
        <w:t>日</w:t>
      </w:r>
    </w:p>
    <w:p>
      <w:pPr>
        <w:pageBreakBefore w:val="0"/>
        <w:topLinePunct w:val="0"/>
        <w:bidi w:val="0"/>
        <w:spacing w:line="360" w:lineRule="auto"/>
        <w:jc w:val="center"/>
        <w:outlineLvl w:val="9"/>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二级教学督导工作管理办法</w:t>
      </w:r>
      <w:bookmarkEnd w:id="175"/>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教学督导工作是维护正常教学秩序、规范教学过程、开展教学研究、提升教学质量、实施科学管理、实现教学质量监控的有效保证。</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第一条  为强化教学质量管理，健全教育教学质量保障与监控体系，提升二级教学督导管理能级，特制订本办法。</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第二条  强化二级教学单位的自我监控功能，促进教学督导工作与教学管理工作的紧密结合，使教学督导工作更贴近实际，更具科学性和实效性。</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第三条  教学督导工作遵循规范性、可操作性、全面性等原则，实现人才培养全过程监控。</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第四条  教学督导的“督”是指监督、督促、检查和评估，“导”为指导、帮助、咨询和服务。 “督”是过程，“导”是根本。融“导”于“督”之中，导督结合，以导为主。</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第五条  各教学单位成立二级教学督导组，由3~5人组成，实行主任负责制，负责本单位教学质量监控与教学督导工作的具体实施，有针对性地对本单位的教学工作进行监督与指导。</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第六条  二级教学督导人员应责任心强、办事公正，具有一定业务水平、教学能力或管理经验，具备中级及以上职称，可从在职（或退休）教师与教学管理人员中选聘，由教学单位负责人聘任，任期两年。</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第七条  教学督导工作范围主要包括：课程建设、课程标准（教学大纲）制订与实施、教材建设、师资配备、授课计划与教案的质量、现场教学质量（含课堂教学与实践教学）、教学改革、评价方式、教学规章制度的执行等。</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第八条  二级教学督导组年初制订本部门年度教学督导工作计划，年底回顾总结本部门的教学督导工作，撰写年度教学督导工作总结。</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第九条  通过随机检查和重点抽查相结合，把握本单位教学运行的实际状态，掌控教学过程中各环节的教学质量，营造良好的教风学风。教学检查主要包括：</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1．教学文件是否规范、齐全；</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2．教学内容是否符合课程标准（教学大纲）要求，教学方法与教学手段是否按照课程标准（教学大纲）实施；</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3．课堂教学中语言文字的使用是否规范，有无违背党和国家方针政策的言行。</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4．教师的教学能力和实践动手能力是否适应课程教学的要求；</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5．课程考核的方法与手段是否符合课程标准（教学大纲）要求；</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6．教学效果是否达到了课程标准（教学大纲）对素质、知识、技能的培养目标要求。</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7．教学设备与课程内容是否匹配、完好率是否满足需求、是否贴近行业企业实际工作需求。</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第十条  组织开展教师间听课评课，汇总听课信息，分析任课教师课堂教学质量，查找问题，及时交流反馈；每学期撰写任课教师课堂教学总体情况的分析报告。</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第十一条  负责本部门教师教学质量的监控，对本部门教学质量工作进行自评。</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第十二条  每学期组织召开本部门学生座谈会，及时了解教学现状和学生诉求，开展本单位学生学习效果的评估。</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第十三条  对督导过程中发现的问题及时反馈，提出意见建议及整改措施，并跟踪整改情况，实现教学与督导的良性互动。</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第十四条  开展二级教学督导工作的年度考核，考核结果作为部门年终考核的依据之一。</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第十五条  本办法从发布之日起实施，由教务处负责解释。</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jc w:val="center"/>
        <w:outlineLvl w:val="9"/>
        <w:rPr>
          <w:color w:val="FF0000"/>
          <w:sz w:val="24"/>
        </w:rPr>
      </w:pPr>
      <w:r>
        <w:rPr>
          <w:rFonts w:hint="eastAsia"/>
        </w:rPr>
        <w:br w:type="page"/>
      </w:r>
      <w:bookmarkStart w:id="177" w:name="_Toc8555"/>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jc w:val="both"/>
        <w:outlineLvl w:val="9"/>
        <w:rPr>
          <w:sz w:val="24"/>
        </w:rPr>
      </w:pPr>
    </w:p>
    <w:p>
      <w:pPr>
        <w:pageBreakBefore w:val="0"/>
        <w:topLinePunct w:val="0"/>
        <w:bidi w:val="0"/>
        <w:spacing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8〕1</w:t>
      </w:r>
      <w:r>
        <w:rPr>
          <w:rFonts w:hint="eastAsia" w:ascii="仿宋_GB2312" w:eastAsia="仿宋_GB2312"/>
          <w:color w:val="000000"/>
          <w:kern w:val="0"/>
          <w:sz w:val="32"/>
          <w:szCs w:val="28"/>
          <w:lang w:val="en-US" w:eastAsia="zh-CN"/>
        </w:rPr>
        <w:t>24</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napToGrid w:val="0"/>
        <w:spacing w:beforeLines="100" w:line="5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0"/>
        <w:rPr>
          <w:rFonts w:hint="eastAsia" w:ascii="黑体" w:hAnsi="黑体" w:eastAsia="黑体" w:cs="黑体"/>
          <w:b/>
          <w:color w:val="000000"/>
          <w:kern w:val="0"/>
          <w:sz w:val="36"/>
          <w:szCs w:val="36"/>
          <w:lang w:eastAsia="zh-CN"/>
        </w:rPr>
      </w:pPr>
      <w:bookmarkStart w:id="178" w:name="_Toc28815"/>
      <w:r>
        <w:rPr>
          <w:rFonts w:hint="eastAsia" w:ascii="黑体" w:hAnsi="黑体" w:eastAsia="黑体" w:cs="黑体"/>
          <w:b/>
          <w:kern w:val="0"/>
          <w:sz w:val="36"/>
          <w:szCs w:val="36"/>
        </w:rPr>
        <w:t>关于印</w:t>
      </w:r>
      <w:r>
        <w:rPr>
          <w:rFonts w:hint="eastAsia" w:ascii="黑体" w:hAnsi="黑体" w:eastAsia="黑体" w:cs="黑体"/>
          <w:b/>
          <w:color w:val="000000"/>
          <w:kern w:val="0"/>
          <w:sz w:val="36"/>
          <w:szCs w:val="36"/>
          <w:lang w:eastAsia="zh-CN"/>
        </w:rPr>
        <w:t>发《上海电子信息职业技术学院</w:t>
      </w:r>
      <w:r>
        <w:rPr>
          <w:rFonts w:hint="eastAsia" w:ascii="黑体" w:hAnsi="黑体" w:eastAsia="黑体" w:cs="黑体"/>
          <w:b/>
          <w:color w:val="000000"/>
          <w:sz w:val="36"/>
          <w:szCs w:val="36"/>
        </w:rPr>
        <w:t>学生教学信息员制度实施办法</w:t>
      </w:r>
      <w:r>
        <w:rPr>
          <w:rFonts w:hint="eastAsia" w:ascii="黑体" w:hAnsi="黑体" w:eastAsia="黑体" w:cs="黑体"/>
          <w:b/>
          <w:color w:val="000000"/>
          <w:kern w:val="0"/>
          <w:sz w:val="36"/>
          <w:szCs w:val="36"/>
          <w:lang w:eastAsia="zh-CN"/>
        </w:rPr>
        <w:t>》的通知</w:t>
      </w:r>
      <w:bookmarkEnd w:id="178"/>
    </w:p>
    <w:p>
      <w:pPr>
        <w:pStyle w:val="52"/>
        <w:pageBreakBefore w:val="0"/>
        <w:topLinePunct w:val="0"/>
        <w:bidi w:val="0"/>
        <w:spacing w:line="360" w:lineRule="auto"/>
        <w:ind w:left="0" w:leftChars="0" w:firstLine="0" w:firstLineChars="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各教学单位、职能部门：</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现将《</w:t>
      </w:r>
      <w:r>
        <w:rPr>
          <w:rFonts w:hint="eastAsia" w:ascii="仿宋_GB2312" w:hAnsi="仿宋_GB2312" w:eastAsia="仿宋_GB2312" w:cs="仿宋_GB2312"/>
          <w:sz w:val="28"/>
          <w:szCs w:val="28"/>
          <w:highlight w:val="none"/>
          <w:lang w:eastAsia="zh-CN"/>
        </w:rPr>
        <w:t>上海电子信息职业技术学院</w:t>
      </w:r>
      <w:r>
        <w:rPr>
          <w:rFonts w:hint="eastAsia" w:ascii="仿宋_GB2312" w:hAnsi="仿宋_GB2312" w:eastAsia="仿宋_GB2312" w:cs="仿宋_GB2312"/>
          <w:sz w:val="28"/>
          <w:szCs w:val="28"/>
          <w:highlight w:val="none"/>
        </w:rPr>
        <w:t>学生教学信息员制度实施办法》印发给你们，请结合本部门工作实际，认真研究执行。</w:t>
      </w:r>
      <w:r>
        <w:rPr>
          <w:rFonts w:hint="eastAsia" w:ascii="仿宋_GB2312" w:hAnsi="仿宋_GB2312" w:eastAsia="仿宋_GB2312" w:cs="仿宋_GB2312"/>
          <w:sz w:val="28"/>
          <w:szCs w:val="28"/>
          <w:highlight w:val="none"/>
        </w:rPr>
        <w:tab/>
      </w:r>
      <w:r>
        <w:rPr>
          <w:rFonts w:hint="eastAsia" w:ascii="仿宋_GB2312" w:hAnsi="仿宋_GB2312" w:eastAsia="仿宋_GB2312" w:cs="仿宋_GB2312"/>
          <w:sz w:val="28"/>
          <w:szCs w:val="28"/>
          <w:highlight w:val="none"/>
        </w:rPr>
        <w:t xml:space="preserve">  </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附</w:t>
      </w:r>
      <w:r>
        <w:rPr>
          <w:rFonts w:hint="eastAsia" w:ascii="仿宋_GB2312" w:hAnsi="仿宋_GB2312" w:eastAsia="仿宋_GB2312" w:cs="仿宋_GB2312"/>
          <w:sz w:val="28"/>
          <w:szCs w:val="28"/>
          <w:highlight w:val="none"/>
          <w:lang w:eastAsia="zh-CN"/>
        </w:rPr>
        <w:t>件：上海电子信息职业技术学院</w:t>
      </w:r>
      <w:r>
        <w:rPr>
          <w:rFonts w:hint="eastAsia" w:ascii="仿宋_GB2312" w:hAnsi="仿宋_GB2312" w:eastAsia="仿宋_GB2312" w:cs="仿宋_GB2312"/>
          <w:sz w:val="28"/>
          <w:szCs w:val="28"/>
          <w:highlight w:val="none"/>
        </w:rPr>
        <w:t>学生教学信息员制度实施办法</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jc w:val="right"/>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上海电子信息职业技术学院</w:t>
      </w:r>
    </w:p>
    <w:p>
      <w:pPr>
        <w:pStyle w:val="52"/>
        <w:pageBreakBefore w:val="0"/>
        <w:topLinePunct w:val="0"/>
        <w:bidi w:val="0"/>
        <w:spacing w:line="360" w:lineRule="auto"/>
        <w:ind w:firstLine="560" w:firstLineChars="200"/>
        <w:jc w:val="right"/>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2018年</w:t>
      </w:r>
      <w:r>
        <w:rPr>
          <w:rFonts w:hint="eastAsia" w:ascii="仿宋_GB2312" w:hAnsi="仿宋_GB2312" w:eastAsia="仿宋_GB2312" w:cs="仿宋_GB2312"/>
          <w:sz w:val="28"/>
          <w:szCs w:val="28"/>
          <w:highlight w:val="none"/>
          <w:lang w:val="en-US" w:eastAsia="zh-CN"/>
        </w:rPr>
        <w:t>7</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lang w:val="en-US" w:eastAsia="zh-CN"/>
        </w:rPr>
        <w:t>10</w:t>
      </w:r>
      <w:r>
        <w:rPr>
          <w:rFonts w:hint="eastAsia" w:ascii="仿宋_GB2312" w:hAnsi="仿宋_GB2312" w:eastAsia="仿宋_GB2312" w:cs="仿宋_GB2312"/>
          <w:sz w:val="28"/>
          <w:szCs w:val="28"/>
          <w:highlight w:val="none"/>
        </w:rPr>
        <w:t>日</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ageBreakBefore w:val="0"/>
        <w:topLinePunct w:val="0"/>
        <w:bidi w:val="0"/>
        <w:spacing w:before="312" w:beforeLines="100" w:after="312" w:afterLines="100"/>
        <w:jc w:val="center"/>
        <w:outlineLvl w:val="9"/>
        <w:rPr>
          <w:rFonts w:eastAsia="仿宋"/>
          <w:b/>
          <w:color w:val="000000"/>
          <w:sz w:val="32"/>
          <w:szCs w:val="32"/>
        </w:rPr>
      </w:pPr>
    </w:p>
    <w:p>
      <w:pPr>
        <w:pageBreakBefore w:val="0"/>
        <w:topLinePunct w:val="0"/>
        <w:bidi w:val="0"/>
        <w:spacing w:line="360" w:lineRule="auto"/>
        <w:jc w:val="center"/>
        <w:outlineLvl w:val="9"/>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学生教学信息员制度实施办法</w:t>
      </w:r>
      <w:bookmarkEnd w:id="177"/>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加强对学校教育教学工作的信息反馈，及时了解教师和学生教与学的情况，进一步完善教学质量监控体系，充分发挥学生参与教学管理和自我管理的主体作用，教务处决定在学生中聘任教学信息员，建立教学信息员制度。</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一、教学信息员任职条件</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关心学校发展，责任心强，认真负责，实事求是，具有较强的观察分析能力，学习成绩优良。</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二、教学信息员职责</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1．对学校或教学单位的教师队伍、教学条件、教学计划、教学内容、语言文字、教学方法及教学管理等方面及时提出意见和建议。</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2．及时反映学生的听课、实验实训、作业、考试等学习状况。</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3．经常注意教学信息的收集和记录，及时客观反映教与学情况。</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4．填报《学生教学信息员反馈意见表》（见附表），每学期集中报表二次。</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5．参加学生教学信息中心组织的相关会议及各项活动。</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6．通过各种形式协助教务处和各教学单位进行教师的教学质量评价。 </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 学生教学信息员兼任语言文字联络员，积极配合教务处开展语言文字工作。</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 对语言文字工作中存在的问题，及时向教务处反馈。</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三、教学信息员管理</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学信息员管理工作由学校学生教学信息中心管理（该中心主任由教务处负责人兼任，副主任由学校学生会学习部长担任）。各二级学院由学生教学信息中心信息组（组长由二级学院学生会学习部部长担任）负责收集汇总本部门信息员提交的信息并上报学校学生教学信息中心。每个行政班设一名学生教学信息员，原则上由学习委员担任。</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2．教学信息员由各二级学院督导组会同学校学生教学信息中心聘任，每年聘任一次，学生毕业时自动解聘。</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3．学生教学信息中心根据工作需要召开学生教学信息工作会议。</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4．对表现出色、成绩突出的信息员由教务处给予适当奖励。对任期内违反有关规定者，由相关二级学院予以解聘。</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四、教务处对学生教学信息中心的工作给予指导。</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五、本办法从发布之日起执行，由教务处负责解释。</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1．学生教学信息员（兼语言文字联络员）组织构架</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2．教学信息员反馈意见表</w:t>
      </w:r>
    </w:p>
    <w:p>
      <w:pPr>
        <w:pageBreakBefore w:val="0"/>
        <w:topLinePunct w:val="0"/>
        <w:bidi w:val="0"/>
        <w:spacing w:before="120" w:after="120" w:line="360" w:lineRule="auto"/>
        <w:jc w:val="left"/>
        <w:outlineLvl w:val="9"/>
        <w:rPr>
          <w:rFonts w:eastAsia="仿宋"/>
          <w:sz w:val="24"/>
          <w:szCs w:val="18"/>
        </w:rPr>
      </w:pPr>
      <w:r>
        <w:rPr>
          <w:rFonts w:eastAsia="仿宋"/>
          <w:sz w:val="24"/>
          <w:szCs w:val="18"/>
        </w:rPr>
        <w:br w:type="page"/>
      </w:r>
      <w:r>
        <w:rPr>
          <w:rFonts w:eastAsia="仿宋"/>
          <w:sz w:val="24"/>
          <w:szCs w:val="18"/>
        </w:rPr>
        <w:t>附件1</w:t>
      </w:r>
    </w:p>
    <w:p>
      <w:pPr>
        <w:pageBreakBefore w:val="0"/>
        <w:topLinePunct w:val="0"/>
        <w:bidi w:val="0"/>
        <w:spacing w:before="120" w:after="120" w:line="360" w:lineRule="auto"/>
        <w:jc w:val="left"/>
        <w:outlineLvl w:val="9"/>
        <w:rPr>
          <w:rFonts w:eastAsia="仿宋"/>
          <w:sz w:val="24"/>
          <w:szCs w:val="18"/>
        </w:rPr>
      </w:pPr>
      <w:r>
        <w:rPr>
          <w:rFonts w:hint="eastAsia" w:eastAsia="仿宋"/>
          <w:sz w:val="24"/>
          <w:szCs w:val="18"/>
        </w:rPr>
        <w:pict>
          <v:shape id="_x0000_i1025" o:spt="75" alt="G:\1督导室工作\1评教评学\学生评教\学生信息员\学生教学信息员相关文件-定稿\学生教学信息员兼语言文字联络员组织构架-20180621.jpg" type="#_x0000_t75" style="height:193.8pt;width:415.2pt;" filled="f" o:preferrelative="t" stroked="f" coordsize="21600,21600">
            <v:path/>
            <v:fill on="f" focussize="0,0"/>
            <v:stroke on="f"/>
            <v:imagedata r:id="rId10" o:title="G:\1督导室工作\1评教评学\学生评教\学生信息员\学生教学信息员相关文件-定稿\学生教学信息员兼语言文字联络员组织构架-20180621.jpg"/>
            <o:lock v:ext="edit" aspectratio="t"/>
            <w10:wrap type="none"/>
            <w10:anchorlock/>
          </v:shape>
        </w:pict>
      </w:r>
    </w:p>
    <w:p>
      <w:pPr>
        <w:pageBreakBefore w:val="0"/>
        <w:topLinePunct w:val="0"/>
        <w:bidi w:val="0"/>
        <w:spacing w:before="120" w:after="120" w:line="360" w:lineRule="auto"/>
        <w:ind w:firstLine="480" w:firstLineChars="200"/>
        <w:jc w:val="left"/>
        <w:outlineLvl w:val="9"/>
        <w:rPr>
          <w:rFonts w:eastAsia="仿宋"/>
          <w:sz w:val="24"/>
          <w:szCs w:val="18"/>
        </w:rPr>
      </w:pPr>
    </w:p>
    <w:p>
      <w:pPr>
        <w:pageBreakBefore w:val="0"/>
        <w:topLinePunct w:val="0"/>
        <w:bidi w:val="0"/>
        <w:spacing w:before="120" w:after="120"/>
        <w:outlineLvl w:val="9"/>
        <w:rPr>
          <w:rFonts w:eastAsia="仿宋"/>
          <w:sz w:val="24"/>
        </w:rPr>
      </w:pPr>
      <w:r>
        <w:rPr>
          <w:rFonts w:eastAsia="仿宋"/>
          <w:sz w:val="24"/>
        </w:rPr>
        <w:br w:type="page"/>
      </w:r>
      <w:r>
        <w:rPr>
          <w:rFonts w:eastAsia="仿宋"/>
          <w:sz w:val="24"/>
        </w:rPr>
        <w:t>附件2</w:t>
      </w:r>
    </w:p>
    <w:p>
      <w:pPr>
        <w:pageBreakBefore w:val="0"/>
        <w:topLinePunct w:val="0"/>
        <w:bidi w:val="0"/>
        <w:spacing w:after="156" w:afterLines="50"/>
        <w:jc w:val="center"/>
        <w:outlineLvl w:val="9"/>
        <w:rPr>
          <w:rFonts w:eastAsia="仿宋"/>
          <w:sz w:val="28"/>
          <w:szCs w:val="28"/>
        </w:rPr>
      </w:pPr>
      <w:r>
        <w:rPr>
          <w:rFonts w:eastAsia="仿宋"/>
          <w:sz w:val="28"/>
          <w:szCs w:val="28"/>
        </w:rPr>
        <w:t>教学信息员反馈意见表</w:t>
      </w:r>
    </w:p>
    <w:p>
      <w:pPr>
        <w:pageBreakBefore w:val="0"/>
        <w:topLinePunct w:val="0"/>
        <w:bidi w:val="0"/>
        <w:spacing w:before="120" w:after="120" w:line="336" w:lineRule="auto"/>
        <w:ind w:firstLine="120" w:firstLineChars="50"/>
        <w:outlineLvl w:val="9"/>
        <w:rPr>
          <w:rFonts w:eastAsia="仿宋"/>
          <w:bCs/>
          <w:sz w:val="28"/>
        </w:rPr>
      </w:pPr>
      <w:r>
        <w:rPr>
          <w:rFonts w:eastAsia="仿宋"/>
          <w:sz w:val="24"/>
        </w:rPr>
        <w:t>学院：</w:t>
      </w:r>
    </w:p>
    <w:tbl>
      <w:tblPr>
        <w:tblStyle w:val="37"/>
        <w:tblW w:w="905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80"/>
        <w:gridCol w:w="368"/>
        <w:gridCol w:w="1260"/>
        <w:gridCol w:w="740"/>
        <w:gridCol w:w="2500"/>
        <w:gridCol w:w="720"/>
        <w:gridCol w:w="298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848" w:type="dxa"/>
            <w:gridSpan w:val="2"/>
            <w:noWrap w:val="0"/>
            <w:vAlign w:val="center"/>
          </w:tcPr>
          <w:p>
            <w:pPr>
              <w:pageBreakBefore w:val="0"/>
              <w:topLinePunct w:val="0"/>
              <w:bidi w:val="0"/>
              <w:spacing w:before="120" w:after="120" w:line="336" w:lineRule="auto"/>
              <w:jc w:val="center"/>
              <w:outlineLvl w:val="9"/>
              <w:rPr>
                <w:rFonts w:eastAsia="仿宋"/>
                <w:szCs w:val="21"/>
              </w:rPr>
            </w:pPr>
            <w:r>
              <w:rPr>
                <w:rFonts w:eastAsia="仿宋"/>
                <w:szCs w:val="21"/>
              </w:rPr>
              <w:t>姓名</w:t>
            </w:r>
          </w:p>
        </w:tc>
        <w:tc>
          <w:tcPr>
            <w:tcW w:w="1260" w:type="dxa"/>
            <w:noWrap w:val="0"/>
            <w:vAlign w:val="center"/>
          </w:tcPr>
          <w:p>
            <w:pPr>
              <w:pageBreakBefore w:val="0"/>
              <w:wordWrap w:val="0"/>
              <w:topLinePunct w:val="0"/>
              <w:bidi w:val="0"/>
              <w:spacing w:before="120" w:after="120" w:line="336" w:lineRule="auto"/>
              <w:jc w:val="center"/>
              <w:outlineLvl w:val="9"/>
              <w:rPr>
                <w:rFonts w:eastAsia="仿宋"/>
                <w:szCs w:val="21"/>
              </w:rPr>
            </w:pPr>
          </w:p>
        </w:tc>
        <w:tc>
          <w:tcPr>
            <w:tcW w:w="740" w:type="dxa"/>
            <w:noWrap w:val="0"/>
            <w:vAlign w:val="center"/>
          </w:tcPr>
          <w:p>
            <w:pPr>
              <w:pageBreakBefore w:val="0"/>
              <w:wordWrap w:val="0"/>
              <w:topLinePunct w:val="0"/>
              <w:bidi w:val="0"/>
              <w:spacing w:before="120" w:after="120" w:line="336" w:lineRule="auto"/>
              <w:jc w:val="center"/>
              <w:outlineLvl w:val="9"/>
              <w:rPr>
                <w:rFonts w:eastAsia="仿宋"/>
                <w:szCs w:val="21"/>
              </w:rPr>
            </w:pPr>
            <w:r>
              <w:rPr>
                <w:rFonts w:eastAsia="仿宋"/>
                <w:szCs w:val="21"/>
              </w:rPr>
              <w:t>专业</w:t>
            </w:r>
          </w:p>
        </w:tc>
        <w:tc>
          <w:tcPr>
            <w:tcW w:w="2500" w:type="dxa"/>
            <w:noWrap w:val="0"/>
            <w:vAlign w:val="center"/>
          </w:tcPr>
          <w:p>
            <w:pPr>
              <w:pageBreakBefore w:val="0"/>
              <w:wordWrap w:val="0"/>
              <w:topLinePunct w:val="0"/>
              <w:bidi w:val="0"/>
              <w:spacing w:before="120" w:after="120" w:line="336" w:lineRule="auto"/>
              <w:jc w:val="center"/>
              <w:outlineLvl w:val="9"/>
              <w:rPr>
                <w:rFonts w:eastAsia="仿宋"/>
                <w:szCs w:val="21"/>
              </w:rPr>
            </w:pPr>
          </w:p>
        </w:tc>
        <w:tc>
          <w:tcPr>
            <w:tcW w:w="720" w:type="dxa"/>
            <w:noWrap w:val="0"/>
            <w:vAlign w:val="center"/>
          </w:tcPr>
          <w:p>
            <w:pPr>
              <w:pageBreakBefore w:val="0"/>
              <w:wordWrap w:val="0"/>
              <w:topLinePunct w:val="0"/>
              <w:bidi w:val="0"/>
              <w:spacing w:before="120" w:after="120" w:line="336" w:lineRule="auto"/>
              <w:jc w:val="center"/>
              <w:outlineLvl w:val="9"/>
              <w:rPr>
                <w:rFonts w:eastAsia="仿宋"/>
                <w:szCs w:val="21"/>
              </w:rPr>
            </w:pPr>
            <w:r>
              <w:rPr>
                <w:rFonts w:eastAsia="仿宋"/>
                <w:szCs w:val="21"/>
              </w:rPr>
              <w:t>班级</w:t>
            </w:r>
          </w:p>
        </w:tc>
        <w:tc>
          <w:tcPr>
            <w:tcW w:w="2982" w:type="dxa"/>
            <w:noWrap w:val="0"/>
            <w:vAlign w:val="center"/>
          </w:tcPr>
          <w:p>
            <w:pPr>
              <w:pageBreakBefore w:val="0"/>
              <w:wordWrap w:val="0"/>
              <w:topLinePunct w:val="0"/>
              <w:bidi w:val="0"/>
              <w:spacing w:before="120" w:after="120" w:line="336" w:lineRule="auto"/>
              <w:jc w:val="center"/>
              <w:outlineLvl w:val="9"/>
              <w:rPr>
                <w:rFonts w:eastAsia="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559" w:hRule="atLeast"/>
          <w:jc w:val="center"/>
        </w:trPr>
        <w:tc>
          <w:tcPr>
            <w:tcW w:w="9050" w:type="dxa"/>
            <w:gridSpan w:val="7"/>
            <w:noWrap w:val="0"/>
            <w:vAlign w:val="center"/>
          </w:tcPr>
          <w:p>
            <w:pPr>
              <w:pageBreakBefore w:val="0"/>
              <w:wordWrap w:val="0"/>
              <w:topLinePunct w:val="0"/>
              <w:bidi w:val="0"/>
              <w:spacing w:before="120" w:after="120"/>
              <w:ind w:firstLine="420" w:firstLineChars="200"/>
              <w:outlineLvl w:val="9"/>
              <w:rPr>
                <w:rFonts w:eastAsia="仿宋"/>
                <w:szCs w:val="21"/>
              </w:rPr>
            </w:pPr>
            <w:r>
              <w:rPr>
                <w:rFonts w:eastAsia="仿宋"/>
                <w:szCs w:val="21"/>
              </w:rPr>
              <w:t>欢迎对学校或二级学院的教师队伍、教学条件（如教室、实验室、教材等）、教学计划、教学内容、语言文字、教学方法及教学管理、教学评价等工作以及学生的听课、实验实训、作业、考试等学习状况及时提出意见和建议。</w:t>
            </w:r>
          </w:p>
          <w:p>
            <w:pPr>
              <w:pStyle w:val="22"/>
              <w:pageBreakBefore w:val="0"/>
              <w:wordWrap w:val="0"/>
              <w:topLinePunct w:val="0"/>
              <w:bidi w:val="0"/>
              <w:spacing w:before="120" w:after="120"/>
              <w:ind w:firstLine="420"/>
              <w:outlineLvl w:val="9"/>
              <w:rPr>
                <w:rFonts w:eastAsia="仿宋"/>
                <w:sz w:val="21"/>
                <w:szCs w:val="21"/>
              </w:rPr>
            </w:pPr>
            <w:r>
              <w:rPr>
                <w:rFonts w:eastAsia="仿宋"/>
                <w:sz w:val="21"/>
                <w:szCs w:val="21"/>
              </w:rPr>
              <w:t>我们将认真考虑您的意见，调整我们的工作，使学校的教学和教学管理工作做得更好。</w:t>
            </w:r>
          </w:p>
          <w:p>
            <w:pPr>
              <w:pageBreakBefore w:val="0"/>
              <w:wordWrap w:val="0"/>
              <w:topLinePunct w:val="0"/>
              <w:bidi w:val="0"/>
              <w:spacing w:before="120" w:after="120"/>
              <w:ind w:firstLine="420" w:firstLineChars="200"/>
              <w:outlineLvl w:val="9"/>
              <w:rPr>
                <w:rFonts w:eastAsia="仿宋"/>
                <w:sz w:val="15"/>
                <w:szCs w:val="15"/>
              </w:rPr>
            </w:pPr>
            <w:r>
              <w:rPr>
                <w:rFonts w:eastAsia="仿宋"/>
                <w:szCs w:val="21"/>
              </w:rPr>
              <w:t>请您将此意见表交教学信息中心或发电子邮件至教务处信箱。（dzxxjwc123@163.com）</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296" w:hRule="atLeast"/>
          <w:jc w:val="center"/>
        </w:trPr>
        <w:tc>
          <w:tcPr>
            <w:tcW w:w="480" w:type="dxa"/>
            <w:noWrap w:val="0"/>
            <w:vAlign w:val="center"/>
          </w:tcPr>
          <w:p>
            <w:pPr>
              <w:pageBreakBefore w:val="0"/>
              <w:wordWrap w:val="0"/>
              <w:topLinePunct w:val="0"/>
              <w:bidi w:val="0"/>
              <w:spacing w:before="120" w:after="120" w:line="336" w:lineRule="auto"/>
              <w:jc w:val="center"/>
              <w:outlineLvl w:val="9"/>
              <w:rPr>
                <w:rFonts w:eastAsia="仿宋"/>
                <w:sz w:val="24"/>
              </w:rPr>
            </w:pPr>
            <w:r>
              <w:rPr>
                <w:rFonts w:eastAsia="仿宋"/>
              </w:rPr>
              <w:t>情况反映及意见</w:t>
            </w:r>
          </w:p>
        </w:tc>
        <w:tc>
          <w:tcPr>
            <w:tcW w:w="8570" w:type="dxa"/>
            <w:gridSpan w:val="6"/>
            <w:noWrap w:val="0"/>
            <w:vAlign w:val="center"/>
          </w:tcPr>
          <w:p>
            <w:pPr>
              <w:pageBreakBefore w:val="0"/>
              <w:topLinePunct w:val="0"/>
              <w:bidi w:val="0"/>
              <w:spacing w:before="120" w:after="120" w:line="336" w:lineRule="auto"/>
              <w:outlineLvl w:val="9"/>
              <w:rPr>
                <w:rFonts w:eastAsia="仿宋"/>
              </w:rPr>
            </w:pPr>
          </w:p>
          <w:p>
            <w:pPr>
              <w:pageBreakBefore w:val="0"/>
              <w:topLinePunct w:val="0"/>
              <w:bidi w:val="0"/>
              <w:spacing w:before="120" w:after="120" w:line="336" w:lineRule="auto"/>
              <w:outlineLvl w:val="9"/>
              <w:rPr>
                <w:rFonts w:eastAsia="仿宋"/>
              </w:rPr>
            </w:pPr>
          </w:p>
          <w:p>
            <w:pPr>
              <w:pageBreakBefore w:val="0"/>
              <w:topLinePunct w:val="0"/>
              <w:bidi w:val="0"/>
              <w:spacing w:before="120" w:after="120" w:line="336" w:lineRule="auto"/>
              <w:outlineLvl w:val="9"/>
              <w:rPr>
                <w:rFonts w:eastAsia="仿宋"/>
              </w:rPr>
            </w:pPr>
          </w:p>
          <w:p>
            <w:pPr>
              <w:pageBreakBefore w:val="0"/>
              <w:topLinePunct w:val="0"/>
              <w:bidi w:val="0"/>
              <w:spacing w:before="120" w:after="120" w:line="336" w:lineRule="auto"/>
              <w:outlineLvl w:val="9"/>
              <w:rPr>
                <w:rFonts w:eastAsia="仿宋"/>
              </w:rPr>
            </w:pPr>
          </w:p>
          <w:p>
            <w:pPr>
              <w:pageBreakBefore w:val="0"/>
              <w:topLinePunct w:val="0"/>
              <w:bidi w:val="0"/>
              <w:spacing w:before="120" w:after="120" w:line="336" w:lineRule="auto"/>
              <w:outlineLvl w:val="9"/>
              <w:rPr>
                <w:rFonts w:eastAsia="仿宋"/>
              </w:rPr>
            </w:pPr>
          </w:p>
          <w:p>
            <w:pPr>
              <w:pageBreakBefore w:val="0"/>
              <w:topLinePunct w:val="0"/>
              <w:bidi w:val="0"/>
              <w:spacing w:before="120" w:after="120" w:line="336" w:lineRule="auto"/>
              <w:outlineLvl w:val="9"/>
              <w:rPr>
                <w:rFonts w:eastAsia="仿宋"/>
              </w:rPr>
            </w:pPr>
          </w:p>
          <w:p>
            <w:pPr>
              <w:pageBreakBefore w:val="0"/>
              <w:topLinePunct w:val="0"/>
              <w:bidi w:val="0"/>
              <w:spacing w:before="120" w:after="120" w:line="336" w:lineRule="auto"/>
              <w:outlineLvl w:val="9"/>
              <w:rPr>
                <w:rFonts w:eastAsia="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19" w:hRule="atLeast"/>
          <w:jc w:val="center"/>
        </w:trPr>
        <w:tc>
          <w:tcPr>
            <w:tcW w:w="480" w:type="dxa"/>
            <w:noWrap w:val="0"/>
            <w:vAlign w:val="center"/>
          </w:tcPr>
          <w:p>
            <w:pPr>
              <w:pageBreakBefore w:val="0"/>
              <w:wordWrap w:val="0"/>
              <w:topLinePunct w:val="0"/>
              <w:bidi w:val="0"/>
              <w:spacing w:before="120" w:after="120" w:line="336" w:lineRule="auto"/>
              <w:jc w:val="center"/>
              <w:outlineLvl w:val="9"/>
              <w:rPr>
                <w:rFonts w:eastAsia="仿宋"/>
                <w:sz w:val="24"/>
              </w:rPr>
            </w:pPr>
            <w:r>
              <w:rPr>
                <w:rFonts w:eastAsia="仿宋"/>
              </w:rPr>
              <w:t>措施及建议</w:t>
            </w:r>
          </w:p>
        </w:tc>
        <w:tc>
          <w:tcPr>
            <w:tcW w:w="8570" w:type="dxa"/>
            <w:gridSpan w:val="6"/>
            <w:noWrap w:val="0"/>
            <w:vAlign w:val="center"/>
          </w:tcPr>
          <w:p>
            <w:pPr>
              <w:pageBreakBefore w:val="0"/>
              <w:wordWrap w:val="0"/>
              <w:topLinePunct w:val="0"/>
              <w:bidi w:val="0"/>
              <w:spacing w:before="120" w:after="120" w:line="336" w:lineRule="auto"/>
              <w:outlineLvl w:val="9"/>
              <w:rPr>
                <w:rFonts w:eastAsia="仿宋"/>
                <w:sz w:val="24"/>
              </w:rPr>
            </w:pPr>
          </w:p>
          <w:p>
            <w:pPr>
              <w:pageBreakBefore w:val="0"/>
              <w:wordWrap w:val="0"/>
              <w:topLinePunct w:val="0"/>
              <w:bidi w:val="0"/>
              <w:spacing w:before="120" w:after="120" w:line="336" w:lineRule="auto"/>
              <w:outlineLvl w:val="9"/>
              <w:rPr>
                <w:rFonts w:eastAsia="仿宋"/>
                <w:sz w:val="24"/>
              </w:rPr>
            </w:pPr>
          </w:p>
          <w:p>
            <w:pPr>
              <w:pageBreakBefore w:val="0"/>
              <w:wordWrap w:val="0"/>
              <w:topLinePunct w:val="0"/>
              <w:bidi w:val="0"/>
              <w:spacing w:before="120" w:after="120" w:line="336" w:lineRule="auto"/>
              <w:outlineLvl w:val="9"/>
              <w:rPr>
                <w:rFonts w:eastAsia="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52" w:hRule="atLeast"/>
          <w:jc w:val="center"/>
        </w:trPr>
        <w:tc>
          <w:tcPr>
            <w:tcW w:w="9050" w:type="dxa"/>
            <w:gridSpan w:val="7"/>
            <w:noWrap w:val="0"/>
            <w:vAlign w:val="center"/>
          </w:tcPr>
          <w:p>
            <w:pPr>
              <w:pageBreakBefore w:val="0"/>
              <w:wordWrap w:val="0"/>
              <w:topLinePunct w:val="0"/>
              <w:bidi w:val="0"/>
              <w:spacing w:before="120" w:after="120" w:line="139" w:lineRule="atLeast"/>
              <w:outlineLvl w:val="9"/>
              <w:rPr>
                <w:rFonts w:eastAsia="仿宋"/>
              </w:rPr>
            </w:pPr>
            <w:r>
              <w:rPr>
                <w:rFonts w:eastAsia="仿宋"/>
              </w:rPr>
              <w:t>联系方法：</w:t>
            </w:r>
          </w:p>
          <w:p>
            <w:pPr>
              <w:pageBreakBefore w:val="0"/>
              <w:wordWrap w:val="0"/>
              <w:topLinePunct w:val="0"/>
              <w:bidi w:val="0"/>
              <w:spacing w:before="120" w:after="120" w:line="139" w:lineRule="atLeast"/>
              <w:outlineLvl w:val="9"/>
              <w:rPr>
                <w:rFonts w:eastAsia="仿宋"/>
              </w:rPr>
            </w:pPr>
          </w:p>
          <w:p>
            <w:pPr>
              <w:pageBreakBefore w:val="0"/>
              <w:wordWrap w:val="0"/>
              <w:topLinePunct w:val="0"/>
              <w:bidi w:val="0"/>
              <w:spacing w:before="120" w:after="120" w:line="139" w:lineRule="atLeast"/>
              <w:outlineLvl w:val="9"/>
              <w:rPr>
                <w:rFonts w:eastAsia="仿宋"/>
              </w:rPr>
            </w:pPr>
          </w:p>
          <w:p>
            <w:pPr>
              <w:pageBreakBefore w:val="0"/>
              <w:wordWrap w:val="0"/>
              <w:topLinePunct w:val="0"/>
              <w:bidi w:val="0"/>
              <w:spacing w:before="120" w:after="120" w:line="139" w:lineRule="atLeast"/>
              <w:jc w:val="right"/>
              <w:outlineLvl w:val="9"/>
              <w:rPr>
                <w:rFonts w:eastAsia="仿宋"/>
                <w:sz w:val="24"/>
              </w:rPr>
            </w:pPr>
            <w:r>
              <w:rPr>
                <w:rFonts w:eastAsia="仿宋"/>
              </w:rPr>
              <w:t xml:space="preserve">                                            年   月   日</w:t>
            </w:r>
          </w:p>
        </w:tc>
      </w:tr>
    </w:tbl>
    <w:p>
      <w:pPr>
        <w:pageBreakBefore w:val="0"/>
        <w:topLinePunct w:val="0"/>
        <w:bidi w:val="0"/>
        <w:spacing w:line="560" w:lineRule="exact"/>
        <w:ind w:right="300"/>
        <w:jc w:val="both"/>
        <w:outlineLvl w:val="9"/>
        <w:rPr>
          <w:rFonts w:eastAsia="仿宋"/>
          <w:sz w:val="28"/>
          <w:szCs w:val="28"/>
        </w:rPr>
      </w:pPr>
      <w:r>
        <w:rPr>
          <w:rFonts w:eastAsia="仿宋"/>
          <w:sz w:val="28"/>
          <w:szCs w:val="28"/>
        </w:rPr>
        <w:t xml:space="preserve"> </w:t>
      </w:r>
    </w:p>
    <w:p>
      <w:pPr>
        <w:pageBreakBefore w:val="0"/>
        <w:topLinePunct w:val="0"/>
        <w:bidi w:val="0"/>
        <w:jc w:val="center"/>
        <w:outlineLvl w:val="9"/>
        <w:rPr>
          <w:color w:val="FF0000"/>
          <w:sz w:val="24"/>
        </w:rPr>
      </w:pPr>
      <w:r>
        <w:rPr>
          <w:rFonts w:hint="eastAsia" w:ascii="仿宋_GB2312" w:eastAsia="仿宋_GB2312"/>
          <w:sz w:val="30"/>
          <w:szCs w:val="30"/>
        </w:rPr>
        <w:br w:type="page"/>
      </w:r>
      <w:bookmarkStart w:id="179" w:name="_Toc18195"/>
      <w:bookmarkStart w:id="180" w:name="_Toc24188"/>
      <w:bookmarkStart w:id="181" w:name="_Toc3861"/>
      <w:bookmarkStart w:id="182" w:name="_Toc536"/>
      <w:bookmarkStart w:id="183" w:name="_Toc7634"/>
      <w:bookmarkStart w:id="184" w:name="_Toc19784"/>
      <w:bookmarkStart w:id="185" w:name="_Toc7332"/>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jc w:val="both"/>
        <w:outlineLvl w:val="9"/>
        <w:rPr>
          <w:sz w:val="24"/>
        </w:rPr>
      </w:pPr>
    </w:p>
    <w:p>
      <w:pPr>
        <w:pageBreakBefore w:val="0"/>
        <w:topLinePunct w:val="0"/>
        <w:bidi w:val="0"/>
        <w:spacing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8〕1</w:t>
      </w:r>
      <w:r>
        <w:rPr>
          <w:rFonts w:hint="eastAsia" w:ascii="仿宋_GB2312" w:eastAsia="仿宋_GB2312"/>
          <w:color w:val="000000"/>
          <w:kern w:val="0"/>
          <w:sz w:val="32"/>
          <w:szCs w:val="28"/>
          <w:lang w:val="en-US" w:eastAsia="zh-CN"/>
        </w:rPr>
        <w:t>25</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napToGrid w:val="0"/>
        <w:spacing w:beforeLines="100" w:line="5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pStyle w:val="98"/>
        <w:pageBreakBefore w:val="0"/>
        <w:shd w:val="clear" w:color="auto" w:fill="FFFFFF"/>
        <w:topLinePunct w:val="0"/>
        <w:bidi w:val="0"/>
        <w:spacing w:before="0" w:beforeAutospacing="0" w:after="0" w:afterAutospacing="0" w:line="560" w:lineRule="exact"/>
        <w:jc w:val="center"/>
        <w:outlineLvl w:val="9"/>
        <w:rPr>
          <w:rFonts w:hint="eastAsia" w:ascii="华文中宋" w:hAnsi="华文中宋" w:eastAsia="华文中宋" w:cs="华文中宋"/>
          <w:b/>
          <w:kern w:val="0"/>
          <w:sz w:val="36"/>
          <w:szCs w:val="36"/>
        </w:rPr>
      </w:pPr>
    </w:p>
    <w:p>
      <w:pPr>
        <w:keepNext w:val="0"/>
        <w:keepLines w:val="0"/>
        <w:pageBreakBefore w:val="0"/>
        <w:widowControl w:val="0"/>
        <w:kinsoku/>
        <w:wordWrap/>
        <w:overflowPunct/>
        <w:topLinePunct w:val="0"/>
        <w:autoSpaceDE/>
        <w:autoSpaceDN/>
        <w:bidi w:val="0"/>
        <w:adjustRightInd/>
        <w:snapToGrid/>
        <w:spacing w:line="640" w:lineRule="exact"/>
        <w:ind w:right="482"/>
        <w:jc w:val="center"/>
        <w:textAlignment w:val="auto"/>
        <w:outlineLvl w:val="0"/>
        <w:rPr>
          <w:rFonts w:hint="eastAsia" w:ascii="黑体" w:hAnsi="黑体" w:eastAsia="黑体" w:cs="黑体"/>
          <w:b/>
          <w:color w:val="000000"/>
          <w:kern w:val="0"/>
          <w:sz w:val="36"/>
          <w:szCs w:val="36"/>
          <w:lang w:eastAsia="zh-CN"/>
        </w:rPr>
      </w:pPr>
      <w:bookmarkStart w:id="186" w:name="_Toc27242"/>
      <w:r>
        <w:rPr>
          <w:rFonts w:hint="eastAsia" w:ascii="黑体" w:hAnsi="黑体" w:eastAsia="黑体" w:cs="黑体"/>
          <w:b/>
          <w:kern w:val="0"/>
          <w:sz w:val="36"/>
          <w:szCs w:val="36"/>
        </w:rPr>
        <w:t>关于印</w:t>
      </w:r>
      <w:r>
        <w:rPr>
          <w:rFonts w:hint="eastAsia" w:ascii="黑体" w:hAnsi="黑体" w:eastAsia="黑体" w:cs="黑体"/>
          <w:b/>
          <w:color w:val="000000"/>
          <w:kern w:val="0"/>
          <w:sz w:val="36"/>
          <w:szCs w:val="36"/>
          <w:lang w:eastAsia="zh-CN"/>
        </w:rPr>
        <w:t>发《上海电子信息职业技术学院</w:t>
      </w:r>
      <w:r>
        <w:rPr>
          <w:rFonts w:hint="eastAsia" w:ascii="黑体" w:hAnsi="黑体" w:eastAsia="黑体" w:cs="黑体"/>
          <w:b/>
          <w:bCs/>
          <w:color w:val="000000"/>
          <w:sz w:val="36"/>
          <w:szCs w:val="36"/>
        </w:rPr>
        <w:t>校内考试考务管理规定</w:t>
      </w:r>
      <w:r>
        <w:rPr>
          <w:rFonts w:hint="eastAsia" w:ascii="黑体" w:hAnsi="黑体" w:eastAsia="黑体" w:cs="黑体"/>
          <w:b/>
          <w:color w:val="000000"/>
          <w:kern w:val="0"/>
          <w:sz w:val="36"/>
          <w:szCs w:val="36"/>
          <w:lang w:eastAsia="zh-CN"/>
        </w:rPr>
        <w:t>》的通知</w:t>
      </w:r>
      <w:bookmarkEnd w:id="186"/>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现将《上海电子信息职业技术学院校内考试考务管理规定》印发给你们，请结合本部门工作实际，认真研究执行。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1478" w:leftChars="304" w:hanging="840" w:hangingChars="300"/>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1478" w:leftChars="304" w:hanging="840" w:hangingChars="300"/>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1478" w:leftChars="304" w:hanging="840" w:hangingChars="3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附件：上海电子信息职业技术学院校内考试考务管理规定</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3360" w:firstLineChars="1200"/>
        <w:jc w:val="righ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00" w:lineRule="exact"/>
        <w:ind w:right="48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2018年7月10日</w:t>
      </w:r>
    </w:p>
    <w:p>
      <w:pPr>
        <w:pageBreakBefore w:val="0"/>
        <w:topLinePunct w:val="0"/>
        <w:bidi w:val="0"/>
        <w:spacing w:after="312" w:afterLines="100" w:line="400" w:lineRule="exact"/>
        <w:jc w:val="both"/>
        <w:outlineLvl w:val="9"/>
        <w:rPr>
          <w:rFonts w:hint="eastAsia" w:ascii="仿宋" w:hAnsi="仿宋" w:eastAsia="仿宋" w:cs="仿宋"/>
          <w:b/>
          <w:bCs/>
          <w:color w:val="000000"/>
          <w:sz w:val="32"/>
          <w:szCs w:val="32"/>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校内考试考务管理规定</w:t>
      </w:r>
      <w:bookmarkEnd w:id="179"/>
      <w:bookmarkEnd w:id="180"/>
      <w:bookmarkEnd w:id="181"/>
      <w:bookmarkEnd w:id="182"/>
      <w:bookmarkEnd w:id="183"/>
      <w:bookmarkEnd w:id="184"/>
      <w:bookmarkEnd w:id="185"/>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一、监考人员职责</w:t>
      </w:r>
    </w:p>
    <w:p>
      <w:pPr>
        <w:pStyle w:val="19"/>
        <w:keepNext w:val="0"/>
        <w:keepLines w:val="0"/>
        <w:pageBreakBefore w:val="0"/>
        <w:tabs>
          <w:tab w:val="left" w:pos="8460"/>
        </w:tabs>
        <w:kinsoku/>
        <w:wordWrap/>
        <w:overflowPunct/>
        <w:topLinePunct w:val="0"/>
        <w:autoSpaceDE/>
        <w:autoSpaceDN/>
        <w:bidi w:val="0"/>
        <w:adjustRightInd/>
        <w:snapToGrid/>
        <w:spacing w:line="360" w:lineRule="auto"/>
        <w:ind w:right="-59" w:rightChars="-28"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学部门应选派业务素质高、责任心强的同志担任监考，主考老师不能监考。监考人员应以认真负责的态度，按学校安排的考试时间执行监考任务。如有特殊情况不能监考而找人代替的至少于考前2小时到二级学院教学秘书处办理有关手续。</w:t>
      </w:r>
    </w:p>
    <w:p>
      <w:pPr>
        <w:pStyle w:val="19"/>
        <w:keepNext w:val="0"/>
        <w:keepLines w:val="0"/>
        <w:pageBreakBefore w:val="0"/>
        <w:tabs>
          <w:tab w:val="left" w:pos="8460"/>
        </w:tabs>
        <w:kinsoku/>
        <w:wordWrap/>
        <w:overflowPunct/>
        <w:topLinePunct w:val="0"/>
        <w:autoSpaceDE/>
        <w:autoSpaceDN/>
        <w:bidi w:val="0"/>
        <w:adjustRightInd/>
        <w:snapToGrid/>
        <w:spacing w:line="360" w:lineRule="auto"/>
        <w:ind w:right="-59" w:rightChars="-28"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（二）监考人员必须提前20分钟到二级学院或教务处领取试卷，并核对科目、份数和考场。</w:t>
      </w:r>
    </w:p>
    <w:p>
      <w:pPr>
        <w:pStyle w:val="19"/>
        <w:keepNext w:val="0"/>
        <w:keepLines w:val="0"/>
        <w:pageBreakBefore w:val="0"/>
        <w:tabs>
          <w:tab w:val="left" w:pos="8460"/>
        </w:tabs>
        <w:kinsoku/>
        <w:wordWrap/>
        <w:overflowPunct/>
        <w:topLinePunct w:val="0"/>
        <w:autoSpaceDE/>
        <w:autoSpaceDN/>
        <w:bidi w:val="0"/>
        <w:adjustRightInd/>
        <w:snapToGrid/>
        <w:spacing w:line="360" w:lineRule="auto"/>
        <w:ind w:right="-59" w:rightChars="-28"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（三）监考人员必须提前10分钟进入考场，按要求调整学生座次，向学生进行纪律教育，做好各项检查工作和分卷工作，待开考铃响后方能允许学生答卷。</w:t>
      </w:r>
    </w:p>
    <w:p>
      <w:pPr>
        <w:pStyle w:val="19"/>
        <w:keepNext w:val="0"/>
        <w:keepLines w:val="0"/>
        <w:pageBreakBefore w:val="0"/>
        <w:tabs>
          <w:tab w:val="left" w:pos="8460"/>
        </w:tabs>
        <w:kinsoku/>
        <w:wordWrap/>
        <w:overflowPunct/>
        <w:topLinePunct w:val="0"/>
        <w:autoSpaceDE/>
        <w:autoSpaceDN/>
        <w:bidi w:val="0"/>
        <w:adjustRightInd/>
        <w:snapToGrid/>
        <w:spacing w:line="360" w:lineRule="auto"/>
        <w:ind w:right="-59" w:rightChars="-28"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（四）发卷后监考人员应及时督促学生写好专业、班级、姓名、学号，并认真核对；同时说明试卷注意事项，如A卷、B卷、科目、页数等。</w:t>
      </w:r>
    </w:p>
    <w:p>
      <w:pPr>
        <w:pStyle w:val="19"/>
        <w:keepNext w:val="0"/>
        <w:keepLines w:val="0"/>
        <w:pageBreakBefore w:val="0"/>
        <w:tabs>
          <w:tab w:val="left" w:pos="8460"/>
        </w:tabs>
        <w:kinsoku/>
        <w:wordWrap/>
        <w:overflowPunct/>
        <w:topLinePunct w:val="0"/>
        <w:autoSpaceDE/>
        <w:autoSpaceDN/>
        <w:bidi w:val="0"/>
        <w:adjustRightInd/>
        <w:snapToGrid/>
        <w:spacing w:line="360" w:lineRule="auto"/>
        <w:ind w:right="-59" w:rightChars="-28"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（五）监考人员对试题内容、题意不得做任何解释或提示，若试卷字迹不清，则可向学生指明，必要时可宣读部分考题。</w:t>
      </w:r>
    </w:p>
    <w:p>
      <w:pPr>
        <w:pStyle w:val="19"/>
        <w:keepNext w:val="0"/>
        <w:keepLines w:val="0"/>
        <w:pageBreakBefore w:val="0"/>
        <w:tabs>
          <w:tab w:val="left" w:pos="8460"/>
        </w:tabs>
        <w:kinsoku/>
        <w:wordWrap/>
        <w:overflowPunct/>
        <w:topLinePunct w:val="0"/>
        <w:autoSpaceDE/>
        <w:autoSpaceDN/>
        <w:bidi w:val="0"/>
        <w:adjustRightInd/>
        <w:snapToGrid/>
        <w:spacing w:line="360" w:lineRule="auto"/>
        <w:ind w:right="-59" w:rightChars="-28"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（六）考试过程中，监考人员应坚守岗位，严格监考，不得在考场内闲谈或做与监考无关的工作，不得擅自离开考场，不得随意延长或缩短考试时间。</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监考人员应严格督促学生遵守考场规则，发现有违规行为时应及时制止，做出相应处理，并在考场记录表上写明违规事实，让违规学生当场签字确认。如果对违规行为视而不见，甚至姑息包庇按《教学事故认定及处理办法》处理。</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八）监考人员应在考试终了前10分钟，提醒学生掌握时间。考试结束时应清点考卷，详细填写考场记录，连同试卷及时送二级学院或教务处，如因未清点考卷造成考卷丢失者，按《教学事故认定及处理办法》处理。</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bookmarkStart w:id="187" w:name="_Toc295991829"/>
      <w:r>
        <w:rPr>
          <w:rFonts w:hint="eastAsia" w:ascii="仿宋_GB2312" w:hAnsi="仿宋_GB2312" w:eastAsia="仿宋_GB2312" w:cs="仿宋_GB2312"/>
          <w:kern w:val="2"/>
          <w:sz w:val="28"/>
          <w:szCs w:val="28"/>
          <w:highlight w:val="none"/>
          <w:lang w:val="en-US" w:eastAsia="zh-CN" w:bidi="ar-SA"/>
        </w:rPr>
        <w:t>二、考场规则</w:t>
      </w:r>
      <w:bookmarkEnd w:id="187"/>
    </w:p>
    <w:p>
      <w:pPr>
        <w:pStyle w:val="19"/>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考生应按时参加考试。考试开始前10分钟，考生应到达指定的考场，听从监考教师的指令进入考场，在规定的座位入座。迟到超过15分钟者不得入场考试，作自动放弃考试处理。开考30分钟内，无论完卷与否，考生一律不准离开考场。</w:t>
      </w:r>
    </w:p>
    <w:p>
      <w:pPr>
        <w:pStyle w:val="19"/>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（二）考生应持本人的学生证或身份证参加考试，进入考场后考生应自觉地将学生证（身份证）置于桌面的左上角，以备查验。</w:t>
      </w:r>
    </w:p>
    <w:p>
      <w:pPr>
        <w:pStyle w:val="19"/>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考试时，考生可带考试必备的文具（如笔、三角尺、圆规、橡皮等，计算工具是否允许带入考场由任课教师考试前确定），外语考试考生须自带2B铅笔，其它无关物品一律不得带入考场。上机考试时，除规定外禁止自带磁盘等具有信息存贮功能的工具。</w:t>
      </w:r>
    </w:p>
    <w:p>
      <w:pPr>
        <w:pStyle w:val="19"/>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开卷考试时，考生可携带本人的书籍、笔记与相关的资料参加考试；在考试时，考生之间不得相互传递各自的书籍、笔记与相关的资料。</w:t>
      </w:r>
    </w:p>
    <w:p>
      <w:pPr>
        <w:pStyle w:val="19"/>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实践性教学环节的考核，根据具体教学科目的特点，参照本考场规则的有关规定执行。</w:t>
      </w:r>
    </w:p>
    <w:p>
      <w:pPr>
        <w:pStyle w:val="19"/>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考生进入考场后，应将与考试无关的物品集中放在监考教师指定的地方，课桌内不得有任何物品，不得在桌面上涂写有关课程的内容。桌面上如有他人的信息记录，要立即向监考教师报告，不得隐匿不报。否则，在考试中被监考教师发现，将以作弊论处。</w:t>
      </w:r>
    </w:p>
    <w:p>
      <w:pPr>
        <w:pStyle w:val="19"/>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（五）考生进入考场后，应该自觉保持安静；不得随意走动，大声喧哗；不得做与考试无关的事；有问题举手示意，低声提问；考场内严禁吸烟。</w:t>
      </w:r>
    </w:p>
    <w:p>
      <w:pPr>
        <w:pStyle w:val="19"/>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考试时，考生必须按学号顺序排座（座次号按每列由前到后、学号依次增大的方式排列，学号无人的不留空座，以下学号依次前提）；监考教师有权临时调整考生座次，有权让部分考生的座次号不按学号排列。</w:t>
      </w:r>
    </w:p>
    <w:p>
      <w:pPr>
        <w:pStyle w:val="19"/>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（七）考生答卷前应在试卷指定位置填写专业、班级、姓名、学号，监考教师应认真核对考生试卷填写的专业、姓名、学号是否正确。</w:t>
      </w:r>
    </w:p>
    <w:p>
      <w:pPr>
        <w:pStyle w:val="19"/>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（八）考生领到试卷后，应先检查试卷是否有错发、缺页、重页、漏题等现象，如有异常应及时向监考教师提出更换。已装订好的试卷不准拆开，拆开的试卷不予批阅，按废卷处理。</w:t>
      </w:r>
    </w:p>
    <w:p>
      <w:pPr>
        <w:pStyle w:val="19"/>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九）考生答卷禁用红笔；笔试科目除规定外，一律用黑色或蓝色字迹的钢笔、圆珠笔等答卷，不准用铅笔答卷，否则将作废卷处理；考生在答题时卷面书写要工整，字迹清晰；修改答案时不准使用修正液等，否则不予评分。</w:t>
      </w:r>
    </w:p>
    <w:p>
      <w:pPr>
        <w:pStyle w:val="19"/>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（十）需用草稿纸的考试科目，考生应使用监考教师统一下发的草稿纸；不得使用自带的纸张打草稿；如无草稿纸发下，可在试卷反面打草稿；在草稿纸上答题的，不予计分。</w:t>
      </w:r>
    </w:p>
    <w:p>
      <w:pPr>
        <w:pStyle w:val="19"/>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（十一）考生应在规定的时间内独立完成答卷；考试过程中，考生应坚持诚信原则，自觉遵守考场规则、考试纪律，自觉维护考场秩序；同时，考生应有明确的自身保护意识，防止发生被动的考场违纪行为。</w:t>
      </w:r>
    </w:p>
    <w:p>
      <w:pPr>
        <w:pStyle w:val="19"/>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（十二）考生答题时，如遇试题的字迹不清、印刷错漏等问题，可以举手询问，但不得要求监考教师对试题内容、题意作任何解释。</w:t>
      </w:r>
    </w:p>
    <w:p>
      <w:pPr>
        <w:pStyle w:val="19"/>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三）考试开始30分钟后允许考生交卷离开考场；考生交卷离场时，严禁携带试卷出场，不准与未交卷的考生交谈或传递物品；考生交卷离场后，不得再进入考场，不得逗留在考场附近谈论试题或高声喧哗，不得以任何方式干扰场内的考生。</w:t>
      </w:r>
    </w:p>
    <w:p>
      <w:pPr>
        <w:pStyle w:val="19"/>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（十四）考试终了时间到，考生不论完卷与否，应立即停止答卷，将试卷与草稿纸翻放在桌面上，安静地坐在原位，待监考教师按顺序收齐全部试卷，清点无误后，方可离场。</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五）考生不服监考教师的现场处理，可以向申诉委员会提出申诉；申诉委员会在调查后发现考生的权益确实受到侵害时，将提请二级学院作出相应的处理，保障考生的正当权益；提出申诉的考生要实事求是，不得采用隐瞒、捏造等手段将问题复杂化，故意扩大事态。</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jc w:val="center"/>
        <w:outlineLvl w:val="9"/>
        <w:rPr>
          <w:color w:val="FF0000"/>
          <w:sz w:val="24"/>
        </w:rPr>
      </w:pPr>
      <w:r>
        <w:rPr>
          <w:rFonts w:hint="eastAsia" w:ascii="Times New Roman" w:hAnsi="Times New Roman" w:eastAsia="仿宋_GB2312"/>
          <w:sz w:val="30"/>
          <w:szCs w:val="30"/>
        </w:rPr>
        <w:br w:type="page"/>
      </w:r>
      <w:bookmarkStart w:id="188" w:name="_Toc29910"/>
      <w:bookmarkStart w:id="189" w:name="_Toc28823"/>
      <w:bookmarkStart w:id="190" w:name="_Toc29743"/>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ascii="华文中宋" w:hAnsi="华文中宋" w:eastAsia="华文中宋"/>
          <w:b/>
          <w:color w:val="FF0000"/>
          <w:spacing w:val="266"/>
          <w:w w:val="72"/>
          <w:kern w:val="0"/>
          <w:sz w:val="72"/>
          <w:szCs w:val="72"/>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jc w:val="both"/>
        <w:outlineLvl w:val="9"/>
        <w:rPr>
          <w:sz w:val="24"/>
        </w:rPr>
      </w:pPr>
    </w:p>
    <w:p>
      <w:pPr>
        <w:pageBreakBefore w:val="0"/>
        <w:topLinePunct w:val="0"/>
        <w:bidi w:val="0"/>
        <w:spacing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8〕1</w:t>
      </w:r>
      <w:r>
        <w:rPr>
          <w:rFonts w:hint="eastAsia" w:ascii="仿宋_GB2312" w:eastAsia="仿宋_GB2312"/>
          <w:color w:val="000000"/>
          <w:kern w:val="0"/>
          <w:sz w:val="32"/>
          <w:szCs w:val="28"/>
          <w:lang w:val="en-US" w:eastAsia="zh-CN"/>
        </w:rPr>
        <w:t>27</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napToGrid w:val="0"/>
        <w:spacing w:beforeLines="100" w:line="5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pStyle w:val="98"/>
        <w:pageBreakBefore w:val="0"/>
        <w:shd w:val="clear" w:color="auto" w:fill="FFFFFF"/>
        <w:topLinePunct w:val="0"/>
        <w:bidi w:val="0"/>
        <w:spacing w:before="0" w:beforeAutospacing="0" w:after="0" w:afterAutospacing="0" w:line="560" w:lineRule="exact"/>
        <w:jc w:val="center"/>
        <w:outlineLvl w:val="9"/>
        <w:rPr>
          <w:rFonts w:hint="eastAsia" w:ascii="华文中宋" w:hAnsi="华文中宋" w:eastAsia="华文中宋" w:cs="华文中宋"/>
          <w:b/>
          <w:kern w:val="0"/>
          <w:sz w:val="36"/>
          <w:szCs w:val="36"/>
        </w:rPr>
      </w:pPr>
    </w:p>
    <w:p>
      <w:pPr>
        <w:keepNext w:val="0"/>
        <w:keepLines w:val="0"/>
        <w:pageBreakBefore w:val="0"/>
        <w:widowControl w:val="0"/>
        <w:kinsoku/>
        <w:wordWrap/>
        <w:overflowPunct/>
        <w:topLinePunct w:val="0"/>
        <w:autoSpaceDE/>
        <w:autoSpaceDN/>
        <w:bidi w:val="0"/>
        <w:adjustRightInd/>
        <w:snapToGrid/>
        <w:spacing w:line="640" w:lineRule="exact"/>
        <w:ind w:right="482"/>
        <w:jc w:val="center"/>
        <w:textAlignment w:val="auto"/>
        <w:outlineLvl w:val="0"/>
        <w:rPr>
          <w:rFonts w:hint="eastAsia" w:ascii="黑体" w:hAnsi="黑体" w:eastAsia="黑体" w:cs="黑体"/>
          <w:b/>
          <w:color w:val="000000"/>
          <w:kern w:val="0"/>
          <w:sz w:val="36"/>
          <w:szCs w:val="36"/>
          <w:lang w:eastAsia="zh-CN"/>
        </w:rPr>
      </w:pPr>
      <w:bookmarkStart w:id="191" w:name="_Toc32245"/>
      <w:r>
        <w:rPr>
          <w:rFonts w:hint="eastAsia" w:ascii="黑体" w:hAnsi="黑体" w:eastAsia="黑体" w:cs="黑体"/>
          <w:b/>
          <w:kern w:val="0"/>
          <w:sz w:val="36"/>
          <w:szCs w:val="36"/>
        </w:rPr>
        <w:t>关于印</w:t>
      </w:r>
      <w:r>
        <w:rPr>
          <w:rFonts w:hint="eastAsia" w:ascii="黑体" w:hAnsi="黑体" w:eastAsia="黑体" w:cs="黑体"/>
          <w:b/>
          <w:color w:val="000000"/>
          <w:kern w:val="0"/>
          <w:sz w:val="36"/>
          <w:szCs w:val="36"/>
          <w:lang w:eastAsia="zh-CN"/>
        </w:rPr>
        <w:t>发《上海电子信息职业技术学院</w:t>
      </w:r>
      <w:r>
        <w:rPr>
          <w:rFonts w:hint="eastAsia" w:ascii="黑体" w:hAnsi="黑体" w:eastAsia="黑体" w:cs="黑体"/>
          <w:b/>
          <w:bCs/>
          <w:color w:val="000000"/>
          <w:sz w:val="36"/>
          <w:szCs w:val="36"/>
        </w:rPr>
        <w:t>校</w:t>
      </w:r>
      <w:r>
        <w:rPr>
          <w:rFonts w:hint="eastAsia" w:ascii="黑体" w:hAnsi="黑体" w:eastAsia="黑体" w:cs="黑体"/>
          <w:b/>
          <w:bCs/>
          <w:color w:val="000000"/>
          <w:sz w:val="36"/>
          <w:szCs w:val="36"/>
          <w:lang w:eastAsia="zh-CN"/>
        </w:rPr>
        <w:t>外</w:t>
      </w:r>
      <w:r>
        <w:rPr>
          <w:rFonts w:hint="eastAsia" w:ascii="黑体" w:hAnsi="黑体" w:eastAsia="黑体" w:cs="黑体"/>
          <w:b/>
          <w:bCs/>
          <w:color w:val="000000"/>
          <w:sz w:val="36"/>
          <w:szCs w:val="36"/>
        </w:rPr>
        <w:t>考试</w:t>
      </w:r>
      <w:r>
        <w:rPr>
          <w:rFonts w:hint="eastAsia" w:ascii="黑体" w:hAnsi="黑体" w:eastAsia="黑体" w:cs="黑体"/>
          <w:b/>
          <w:bCs/>
          <w:color w:val="000000"/>
          <w:sz w:val="36"/>
          <w:szCs w:val="36"/>
          <w:lang w:eastAsia="zh-CN"/>
        </w:rPr>
        <w:t>工作</w:t>
      </w:r>
      <w:r>
        <w:rPr>
          <w:rFonts w:hint="eastAsia" w:ascii="黑体" w:hAnsi="黑体" w:eastAsia="黑体" w:cs="黑体"/>
          <w:b/>
          <w:bCs/>
          <w:color w:val="000000"/>
          <w:sz w:val="36"/>
          <w:szCs w:val="36"/>
        </w:rPr>
        <w:t>管理规定</w:t>
      </w:r>
      <w:r>
        <w:rPr>
          <w:rFonts w:hint="eastAsia" w:ascii="黑体" w:hAnsi="黑体" w:eastAsia="黑体" w:cs="黑体"/>
          <w:b/>
          <w:color w:val="000000"/>
          <w:kern w:val="0"/>
          <w:sz w:val="36"/>
          <w:szCs w:val="36"/>
          <w:lang w:eastAsia="zh-CN"/>
        </w:rPr>
        <w:t>》的通知</w:t>
      </w:r>
      <w:bookmarkEnd w:id="191"/>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现将《上海电子信息职业技术学院校外考试工作管理规定》印发给你们，请结合本部门工作实际，认真研究执行。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1478" w:leftChars="304" w:hanging="840" w:hangingChars="300"/>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1478" w:leftChars="304" w:hanging="840" w:hangingChars="300"/>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1478" w:leftChars="304" w:hanging="840" w:hangingChars="300"/>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left="1478" w:leftChars="304" w:hanging="840" w:hangingChars="3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附件：上海电子信息职业技术学院校外考试工作管理规定</w: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3360" w:firstLineChars="1200"/>
        <w:jc w:val="righ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3360" w:firstLineChars="1200"/>
        <w:jc w:val="righ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00" w:lineRule="exact"/>
        <w:ind w:right="48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2018年7月10日</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_GB2312" w:eastAsia="仿宋_GB2312"/>
          <w:b/>
          <w:bCs/>
          <w:color w:val="000000"/>
          <w:kern w:val="0"/>
          <w:sz w:val="32"/>
          <w:szCs w:val="28"/>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_GB2312" w:eastAsia="仿宋_GB2312"/>
          <w:b/>
          <w:bCs/>
          <w:color w:val="000000"/>
          <w:kern w:val="0"/>
          <w:sz w:val="32"/>
          <w:szCs w:val="28"/>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校外考试工作管理规定</w:t>
      </w:r>
      <w:bookmarkEnd w:id="188"/>
      <w:bookmarkEnd w:id="189"/>
      <w:bookmarkEnd w:id="19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bookmarkStart w:id="192" w:name="_Toc295991828"/>
      <w:r>
        <w:rPr>
          <w:rFonts w:hint="eastAsia" w:ascii="仿宋_GB2312" w:hAnsi="仿宋_GB2312" w:eastAsia="仿宋_GB2312" w:cs="仿宋_GB2312"/>
          <w:kern w:val="2"/>
          <w:sz w:val="28"/>
          <w:szCs w:val="28"/>
          <w:highlight w:val="none"/>
          <w:lang w:val="en-US" w:eastAsia="zh-CN" w:bidi="ar-SA"/>
        </w:rPr>
        <w:t>根据教育部考试中心关于全国大学英语四六级考试、高等学校应用能力考试办公室关于高等学校英语应用能力考试考务工作、上海市教育考试院关于上海市高等学校计算机等级考试和上海市语测中心关于普通话水平测试的相关规定，结合学校实际，特制定本规定。</w:t>
      </w:r>
    </w:p>
    <w:bookmarkEnd w:id="192"/>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一、考试的科目与时间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（一）全国大学英语四六级考试（以下简称“CET”，每年开考两次）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CET-4：考试时间分别为六月与十二月第三周的周六上午的09:00-11:20</w:t>
      </w:r>
    </w:p>
    <w:p>
      <w:pPr>
        <w:keepNext w:val="0"/>
        <w:keepLines w:val="0"/>
        <w:pageBreakBefore w:val="0"/>
        <w:widowControl w:val="0"/>
        <w:kinsoku/>
        <w:wordWrap/>
        <w:overflowPunct/>
        <w:topLinePunct w:val="0"/>
        <w:autoSpaceDE/>
        <w:autoSpaceDN/>
        <w:bidi w:val="0"/>
        <w:adjustRightInd/>
        <w:snapToGrid/>
        <w:spacing w:line="360" w:lineRule="auto"/>
        <w:ind w:firstLine="420" w:firstLineChars="15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CET-6：考试时间分别为六月与十二月第三周的周六下午的15:00-17:25</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（二）高等学校英语应用能力考试（以下简称“PET”，每年开考两次）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PET-A：考试时间分别为六月与十二月第三周的周日上午的09:00-11:00</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PET-B：考试时间分别为六月与十二月第三周的周日下午的15:00-17:00</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（三）上海市高等学校计算机等级考试（以下简称“上计考”，每年开考一次）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上计考二级VB程序设计、JAVA程序设计、C程序设计、VB． Net程序设计、C#程序设计：考试时间为十月最后一个周六。</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上计考三级计算机系统与网络技术、信息系统与数据库技术、多媒体应用系统技术：考试时间为十月最后一个周日。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上计考一级：考试时间为十一月第一个周六与周日两天。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（四）普通话水平测试（以下简称“普测”，每年考一次）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（五）以上所有考试具体考试时间以每次考试前下发的准考证为准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 报 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（一）报考对象与报考条件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1.CET：进入第二学期及以后课程学习在校高职学生（包括延长学业的在校学生）与进入第七学期及以后课程学习的中高职贯通学生。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CET-4：原则上要求已参加PET考试且成绩合格；未通过PET考试的同学若有意愿报考CET-4，必须同时报考PET；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CET-6：参加本考点组织的CET-4考试且成绩在425分以上（含425分）的在校学生。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所有参加CET的考生只能报考一个级别（四、六级不可同时兼报）。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2.PET：所有在校高职学生（包括延长学业的在校学生）与进入第六学期及以后课程学习的中高职贯通学生。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3.上计考：进入第三学期及以后课程学习在校高职学生（包括延长学业的在校学生）与进入第七学期及以后课程学习的中高职贯通学生。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一级：完成“计算机应用基础”课程学习的在校学生；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二、三级：完成专业相关课程的学习，并由二级学院推荐报考的学生。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4.普测：在高职阶段之前未参加过普测的新生（如：2017年普测只接受2017级新生，往届由于休学、参军等特殊原因而未报名参加当年普测考试的学生向二级学院申请后也可以报考）。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（二）报名工作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以上所有考试的报名除上计考中二、三级考试采用二级学院推荐的方式，其它考试均采取网上报名的方式，学生登陆校园网信息门户“综合教务管理系统”进行报名（用户名为学号）。具体操作指导见附件中的“校外考试报名系统操作指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（三）报名时间</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1．CET</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每年的三月初与九月初。</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2．PET       </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每年的三月初与九月初；新生由于进校晚的原因，第一学期报名的时间推迟到九月底、十月初。</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3．上计考</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每年的六月中旬。</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4．普测</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每年的三月初</w:t>
      </w: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以上考试的报名具体时间均以报名通知为准。所有考试的报名通知均会发布在教务处网站的公告中（http://jwc．stiei．edu．cn/）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 缴费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1．缴费标准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（1）CET：25元；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（2）PET：20元；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（3）上计考：免费；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（4）普测：免费。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2．缴费程序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（1）学生在网上报名成功后，才能进入到缴费流程；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（2）学生须按照报名通知要求缴费。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（五）报名名单确认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1．上计考和普测，教务处在网络报名截止后将上报数据名单下发二级学院，由学生校对、确认。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 CET和PET考试缴费程序结束后，教务处会生成相关考试报名名单并下发二级学院，由学生校对、确认。</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（六）注意事项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1．一年之内在以上考试中有违规行为的考生不得报名参加下次同种考试。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2．以上考试不接受学生的重复报名（已经通过此类别的考试的考生，不能进行第二次考试）。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3．所有的报名时间与缴费时间均严格按照报名通知有关要求；报名结束后，上报数据前，教务处只受理学生个人信息错误的更正工作。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4．参加普测的学生由于自身原因放弃当年测试者，不得再参加下一年学校组织的测试。</w:t>
      </w:r>
    </w:p>
    <w:p>
      <w:pPr>
        <w:keepNext w:val="0"/>
        <w:keepLines w:val="0"/>
        <w:pageBreakBefore w:val="0"/>
        <w:widowControl w:val="0"/>
        <w:kinsoku/>
        <w:wordWrap/>
        <w:overflowPunct/>
        <w:topLinePunct w:val="0"/>
        <w:autoSpaceDE/>
        <w:autoSpaceDN/>
        <w:bidi w:val="0"/>
        <w:adjustRightInd/>
        <w:snapToGrid/>
        <w:spacing w:line="360" w:lineRule="auto"/>
        <w:ind w:firstLine="548" w:firstLineChars="196"/>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三、各部门及相关人员的职责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（一）职能部门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1．安全保卫处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（1）严格按照教育部、公安部、国家保密局《国家教育考试考务安全保密工作规定》（教考试【2004】 2号）规定的试卷保密室；保密室内设带有密码锁的钢制保密箱；保密室内设监控设备，保证试卷运送保密室后能进行24小时无死角拍摄功能。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（2）试卷保密室存放试卷期间，配备两到三名保卫人员进行值班巡逻。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（3）取卷与送卷当天，保卫处派一名保卫人员配合教务处考点负责人领取与运送考卷。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（4）试卷存放期间确保对外直线电话二十四小时有人接听，教育部考试中心和上海市教育考试院会随机以电话询问的方式抽查各高校试卷保卫工作情况。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（5）协同物业部门，考试期间做好车辆协调工作，除考务用车、监考工作人员自驾车以外，其他校外闲杂车辆和考生个人车辆的禁止进入。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2．信息中心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（1）考前对整个校区的广播喇叭进行测试，以保证考试当天的广播能正常播音。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（2）考试开考循环播放考场规则与考场指令，具体时间与内容以下发通知为准。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3．后勤保障处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（1）在考场区域张挂类考试的横幅。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（2）保证考试当天餐饮的正常供应。</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（3）在考务会之前完成所有标准考场的布置工作。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（4）考前按照教务处的要求协助完成取卷与送卷工作。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（5）安排考试当天监考教师的用车调度。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（6）考试当天确保电力系统正常运行。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（7）考试当天配备医生以应付考生的突发疾病。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4．保密委员会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试卷进入保密室后，学校纪检监察处人员对保密室监控录像负责实施6小时回放验看制度，即每隔6个小时回放一遍前6个小时录像，详细记录，并按附件中的格式进行报告。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（二）监考员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1．考前的培训</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因各项考试注意事项不同，且每年考试流程都会有所变动，为保证考试能够顺利且平稳的进行，所有监考员都必须参加教务处组织的考前培训。</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2．考前考场布置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（1）张贴考务袋中提供的门贴、桌贴、考生须知、考试违规处理单等一系列需要张贴的表单，在黑板上标注考试的级别、时间与听力的时间与频道。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（2）布置考场的时注意倾听广播的声音测试，如果广播有故障，请第一时间上报本楼层流动巡考。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3．考试中</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严格按照监考流程认真执行，自觉按照监考员守则进行操作。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4．突发事情处理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考试中间遭遇试卷和答题卡破损、录音播放故障、学生作弊、考场内考生突发疾病等一系列突发事情时，请第一时间向本楼层的巡考汇报，等待处理，不要擅自处理。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（三）考生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1．考前准备工作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（1）准备考试必须的文具，如黑色签字笔、铅笔（2B）、橡皮等文具。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（2）准备考试必须携带的有效证件：准考证、学生证与身份证；如果考前遗失这些证件，请按照教务处发布的“证件补办通知”中的规定补办相关证件。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2．考试中</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严格遵循考生守则。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四、考试违规处理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考生及考试工作人员违规行为的任性与处理参照《国家教育考试违规处理办法》（教育部令第33号）及其他有关文件执行，此外以下几种情况将按违规处理：</w:t>
      </w:r>
    </w:p>
    <w:p>
      <w:pPr>
        <w:keepNext w:val="0"/>
        <w:keepLines w:val="0"/>
        <w:pageBreakBefore w:val="0"/>
        <w:widowControl w:val="0"/>
        <w:kinsoku/>
        <w:wordWrap/>
        <w:overflowPunct/>
        <w:topLinePunct w:val="0"/>
        <w:autoSpaceDE/>
        <w:autoSpaceDN/>
        <w:bidi w:val="0"/>
        <w:adjustRightInd/>
        <w:snapToGrid/>
        <w:spacing w:line="360" w:lineRule="auto"/>
        <w:ind w:left="42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（一）CET考生不正确填写（涂）个人信息，错贴、不贴条形码粘贴条；</w:t>
      </w:r>
    </w:p>
    <w:p>
      <w:pPr>
        <w:keepNext w:val="0"/>
        <w:keepLines w:val="0"/>
        <w:pageBreakBefore w:val="0"/>
        <w:widowControl w:val="0"/>
        <w:kinsoku/>
        <w:wordWrap/>
        <w:overflowPunct/>
        <w:topLinePunct w:val="0"/>
        <w:autoSpaceDE/>
        <w:autoSpaceDN/>
        <w:bidi w:val="0"/>
        <w:adjustRightInd/>
        <w:snapToGrid/>
        <w:spacing w:line="360" w:lineRule="auto"/>
        <w:ind w:left="42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（二）考生未按要求放置提前翻阅试题册；</w:t>
      </w:r>
    </w:p>
    <w:p>
      <w:pPr>
        <w:keepNext w:val="0"/>
        <w:keepLines w:val="0"/>
        <w:pageBreakBefore w:val="0"/>
        <w:widowControl w:val="0"/>
        <w:kinsoku/>
        <w:wordWrap/>
        <w:overflowPunct/>
        <w:topLinePunct w:val="0"/>
        <w:autoSpaceDE/>
        <w:autoSpaceDN/>
        <w:bidi w:val="0"/>
        <w:adjustRightInd/>
        <w:snapToGrid/>
        <w:spacing w:line="360" w:lineRule="auto"/>
        <w:ind w:left="42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（三）考生未按要求用笔作答题目，导致无法评卷；</w:t>
      </w:r>
    </w:p>
    <w:p>
      <w:pPr>
        <w:keepNext w:val="0"/>
        <w:keepLines w:val="0"/>
        <w:pageBreakBefore w:val="0"/>
        <w:widowControl w:val="0"/>
        <w:kinsoku/>
        <w:wordWrap/>
        <w:overflowPunct/>
        <w:topLinePunct w:val="0"/>
        <w:autoSpaceDE/>
        <w:autoSpaceDN/>
        <w:bidi w:val="0"/>
        <w:adjustRightInd/>
        <w:snapToGrid/>
        <w:spacing w:line="360" w:lineRule="auto"/>
        <w:ind w:left="42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（四）考生撕毁、污损试题册或答题卡；</w:t>
      </w:r>
    </w:p>
    <w:p>
      <w:pPr>
        <w:keepNext w:val="0"/>
        <w:keepLines w:val="0"/>
        <w:pageBreakBefore w:val="0"/>
        <w:widowControl w:val="0"/>
        <w:kinsoku/>
        <w:wordWrap/>
        <w:overflowPunct/>
        <w:topLinePunct w:val="0"/>
        <w:autoSpaceDE/>
        <w:autoSpaceDN/>
        <w:bidi w:val="0"/>
        <w:adjustRightInd/>
        <w:snapToGrid/>
        <w:spacing w:line="360" w:lineRule="auto"/>
        <w:ind w:left="42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（五）考试宣布结束后，考生仍然继续作答。</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五、成绩发布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（一）成绩数据公布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1．CET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（1）CET成绩于考试后60个工作日后向社会公布：考生可以在“全国大学英语四、六级考试”网站（http//www．cet．edu．cn/）上查询；考生也可以在开学后直接登录学校综合教务管理系统中校外考试栏目查询。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（2）若考生对成绩有疑义，可直接到CET考试委员会办公室办理成绩核查，具体要求公布在“全国大学英语四、六级考试”网站中“证书/成绩单修改”栏目内，网址为：</w:t>
      </w:r>
      <w:r>
        <w:rPr>
          <w:rFonts w:hint="eastAsia" w:ascii="仿宋_GB2312" w:hAnsi="仿宋_GB2312" w:eastAsia="仿宋_GB2312" w:cs="仿宋_GB2312"/>
          <w:kern w:val="2"/>
          <w:sz w:val="28"/>
          <w:szCs w:val="28"/>
          <w:highlight w:val="none"/>
          <w:lang w:val="en-US" w:eastAsia="zh-CN" w:bidi="ar-SA"/>
        </w:rPr>
        <w:fldChar w:fldCharType="begin"/>
      </w:r>
      <w:r>
        <w:rPr>
          <w:rFonts w:hint="eastAsia" w:ascii="仿宋_GB2312" w:hAnsi="仿宋_GB2312" w:eastAsia="仿宋_GB2312" w:cs="仿宋_GB2312"/>
          <w:kern w:val="2"/>
          <w:sz w:val="28"/>
          <w:szCs w:val="28"/>
          <w:highlight w:val="none"/>
          <w:lang w:val="en-US" w:eastAsia="zh-CN" w:bidi="ar-SA"/>
        </w:rPr>
        <w:instrText xml:space="preserve"> HYPERLINK "http://www.cet.edu.cn/cet_kw1.htm" </w:instrText>
      </w:r>
      <w:r>
        <w:rPr>
          <w:rFonts w:hint="eastAsia" w:ascii="仿宋_GB2312" w:hAnsi="仿宋_GB2312" w:eastAsia="仿宋_GB2312" w:cs="仿宋_GB2312"/>
          <w:kern w:val="2"/>
          <w:sz w:val="28"/>
          <w:szCs w:val="28"/>
          <w:highlight w:val="none"/>
          <w:lang w:val="en-US" w:eastAsia="zh-CN" w:bidi="ar-SA"/>
        </w:rPr>
        <w:fldChar w:fldCharType="separate"/>
      </w:r>
      <w:r>
        <w:rPr>
          <w:rFonts w:hint="eastAsia" w:ascii="仿宋_GB2312" w:hAnsi="仿宋_GB2312" w:eastAsia="仿宋_GB2312" w:cs="仿宋_GB2312"/>
          <w:kern w:val="2"/>
          <w:sz w:val="28"/>
          <w:szCs w:val="28"/>
          <w:highlight w:val="none"/>
          <w:lang w:val="en-US" w:eastAsia="zh-CN" w:bidi="ar-SA"/>
        </w:rPr>
        <w:t>http://www.cet.edu.cn/cet_kw1.htm</w:t>
      </w:r>
      <w:r>
        <w:rPr>
          <w:rFonts w:hint="eastAsia" w:ascii="仿宋_GB2312" w:hAnsi="仿宋_GB2312" w:eastAsia="仿宋_GB2312" w:cs="仿宋_GB2312"/>
          <w:kern w:val="2"/>
          <w:sz w:val="28"/>
          <w:szCs w:val="28"/>
          <w:highlight w:val="none"/>
          <w:lang w:val="en-US" w:eastAsia="zh-CN" w:bidi="ar-SA"/>
        </w:rPr>
        <w:fldChar w:fldCharType="end"/>
      </w:r>
      <w:r>
        <w:rPr>
          <w:rFonts w:hint="eastAsia" w:ascii="仿宋_GB2312" w:hAnsi="仿宋_GB2312" w:eastAsia="仿宋_GB2312" w:cs="仿宋_GB2312"/>
          <w:kern w:val="2"/>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2．PET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PET成绩于考试后30个工作日后向社会公布：考生可以在（http//www．17lai8．cn/）上查询；考生也可以在开学后直接登录学校网站的综合教务管理系统中的校外考试项目中查询。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学生对成绩有异议的，可通过学校教务处向考委会提出复核。</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3．上计考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上计考成绩于考试结束后，考生可以在当学期末直接登录学校网站的教务管理系统中的校外考试项目中查询。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学生对成绩有异议的，可通过学校教务处向考委会提出复核。</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4．普测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普测成绩于考试结束后，考生可以在当年9月份直接登录学校网站的教务管理系统中的校外考试项目中查询。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（二）成绩单发放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1．成绩单一般在考试后90个工作日左右（其中普测的成绩单在每年的9月份）由上级主考部门向学校下发，学校清点后由各二级学院发放到各个学生手中。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2．应该取得成绩单而未领到成绩单的考生应及时向二级学院反映。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（三）成绩单遗失补办程序与成绩单信息错误更正的规定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考生如果有成绩单遗失，或成绩单中个人信息有误的，可以申请补办成绩证明或和更正错误信息。具体办理流程可以参看附件《关于办理高等学校英语应用能力考试、全国大学英语四、六级考试和上海市高等学校计算机等级考试成绩证明（成绩单）及成绩单信息错误更正的规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附件1：CET监考流程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附件2：PET监考流程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附件3：校外考试监考员守则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附件4：校外考试考生守则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附件5：普通话测试工作人员职责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附件6：《国家教育考试违规处理办法》（教育部令第33号）节选</w:t>
      </w:r>
    </w:p>
    <w:p>
      <w:pPr>
        <w:keepNext w:val="0"/>
        <w:keepLines w:val="0"/>
        <w:pageBreakBefore w:val="0"/>
        <w:widowControl w:val="0"/>
        <w:kinsoku/>
        <w:wordWrap/>
        <w:overflowPunct/>
        <w:topLinePunct w:val="0"/>
        <w:autoSpaceDE/>
        <w:autoSpaceDN/>
        <w:bidi w:val="0"/>
        <w:adjustRightInd/>
        <w:snapToGrid/>
        <w:spacing w:line="360" w:lineRule="auto"/>
        <w:ind w:left="1519" w:leftChars="190" w:hanging="1120" w:hangingChars="4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附件7：《关于办理高等学校英语应用能力考试、全国大学英语四、六级考试和上海市高等学校计算机等级考试成绩证明（成绩单）及成绩单信息错误更正的规定》</w:t>
      </w: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sectPr>
          <w:footerReference r:id="rId5" w:type="default"/>
          <w:pgSz w:w="11906" w:h="16838"/>
          <w:pgMar w:top="1440" w:right="1800" w:bottom="1440" w:left="1800" w:header="851" w:footer="992" w:gutter="0"/>
          <w:pgNumType w:fmt="decimal" w:start="1"/>
          <w:cols w:space="425" w:num="1"/>
          <w:docGrid w:type="lines" w:linePitch="312" w:charSpace="0"/>
        </w:sectPr>
      </w:pPr>
    </w:p>
    <w:p>
      <w:pPr>
        <w:pageBreakBefore w:val="0"/>
        <w:topLinePunct w:val="0"/>
        <w:bidi w:val="0"/>
        <w:spacing w:line="400" w:lineRule="exact"/>
        <w:outlineLvl w:val="9"/>
        <w:rPr>
          <w:rFonts w:hint="eastAsia" w:ascii="仿宋" w:hAnsi="仿宋" w:eastAsia="仿宋" w:cs="仿宋"/>
          <w:b/>
          <w:bCs/>
          <w:color w:val="000000"/>
          <w:szCs w:val="21"/>
        </w:rPr>
      </w:pPr>
      <w:r>
        <w:rPr>
          <w:rFonts w:hint="eastAsia" w:ascii="仿宋" w:hAnsi="仿宋" w:eastAsia="仿宋" w:cs="仿宋"/>
          <w:b/>
          <w:bCs/>
          <w:color w:val="000000"/>
          <w:szCs w:val="21"/>
        </w:rPr>
        <w:t>附件1</w:t>
      </w:r>
    </w:p>
    <w:p>
      <w:pPr>
        <w:pageBreakBefore w:val="0"/>
        <w:topLinePunct w:val="0"/>
        <w:bidi w:val="0"/>
        <w:spacing w:line="400" w:lineRule="exact"/>
        <w:jc w:val="center"/>
        <w:outlineLvl w:val="9"/>
        <w:rPr>
          <w:rFonts w:hint="eastAsia" w:ascii="仿宋" w:hAnsi="仿宋" w:eastAsia="仿宋" w:cs="仿宋"/>
          <w:b/>
          <w:bCs/>
          <w:color w:val="000000"/>
          <w:szCs w:val="21"/>
        </w:rPr>
      </w:pPr>
      <w:r>
        <w:rPr>
          <w:rFonts w:hint="eastAsia" w:ascii="仿宋" w:hAnsi="仿宋" w:eastAsia="仿宋" w:cs="仿宋"/>
          <w:b/>
          <w:bCs/>
          <w:color w:val="000000"/>
          <w:szCs w:val="21"/>
        </w:rPr>
        <w:t>CET监考流程</w:t>
      </w:r>
    </w:p>
    <w:tbl>
      <w:tblPr>
        <w:tblStyle w:val="37"/>
        <w:tblW w:w="14616" w:type="dxa"/>
        <w:tblInd w:w="-63" w:type="dxa"/>
        <w:tblLayout w:type="fixed"/>
        <w:tblCellMar>
          <w:top w:w="0" w:type="dxa"/>
          <w:left w:w="108" w:type="dxa"/>
          <w:bottom w:w="0" w:type="dxa"/>
          <w:right w:w="108" w:type="dxa"/>
        </w:tblCellMar>
      </w:tblPr>
      <w:tblGrid>
        <w:gridCol w:w="897"/>
        <w:gridCol w:w="741"/>
        <w:gridCol w:w="1076"/>
        <w:gridCol w:w="5948"/>
        <w:gridCol w:w="3586"/>
        <w:gridCol w:w="2368"/>
      </w:tblGrid>
      <w:tr>
        <w:tblPrEx>
          <w:tblCellMar>
            <w:top w:w="0" w:type="dxa"/>
            <w:left w:w="108" w:type="dxa"/>
            <w:bottom w:w="0" w:type="dxa"/>
            <w:right w:w="108" w:type="dxa"/>
          </w:tblCellMar>
        </w:tblPrEx>
        <w:trPr>
          <w:trHeight w:val="285" w:hRule="atLeast"/>
        </w:trPr>
        <w:tc>
          <w:tcPr>
            <w:tcW w:w="1638"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时间</w:t>
            </w:r>
          </w:p>
        </w:tc>
        <w:tc>
          <w:tcPr>
            <w:tcW w:w="1076"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要点</w:t>
            </w:r>
          </w:p>
        </w:tc>
        <w:tc>
          <w:tcPr>
            <w:tcW w:w="5948"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监考员一工作内容</w:t>
            </w:r>
          </w:p>
        </w:tc>
        <w:tc>
          <w:tcPr>
            <w:tcW w:w="3586"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监考员二工作内容</w:t>
            </w:r>
          </w:p>
        </w:tc>
        <w:tc>
          <w:tcPr>
            <w:tcW w:w="2368"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备注</w:t>
            </w:r>
          </w:p>
        </w:tc>
      </w:tr>
      <w:tr>
        <w:tblPrEx>
          <w:tblCellMar>
            <w:top w:w="0" w:type="dxa"/>
            <w:left w:w="108" w:type="dxa"/>
            <w:bottom w:w="0" w:type="dxa"/>
            <w:right w:w="108" w:type="dxa"/>
          </w:tblCellMar>
        </w:tblPrEx>
        <w:trPr>
          <w:trHeight w:val="285" w:hRule="atLeast"/>
        </w:trPr>
        <w:tc>
          <w:tcPr>
            <w:tcW w:w="897"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CET-4</w:t>
            </w:r>
          </w:p>
        </w:tc>
        <w:tc>
          <w:tcPr>
            <w:tcW w:w="741"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CET-6</w:t>
            </w:r>
          </w:p>
        </w:tc>
        <w:tc>
          <w:tcPr>
            <w:tcW w:w="1076"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94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3586"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2368"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285" w:hRule="atLeast"/>
        </w:trPr>
        <w:tc>
          <w:tcPr>
            <w:tcW w:w="897"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8:15</w:t>
            </w:r>
          </w:p>
        </w:tc>
        <w:tc>
          <w:tcPr>
            <w:tcW w:w="741"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14:15</w:t>
            </w:r>
          </w:p>
        </w:tc>
        <w:tc>
          <w:tcPr>
            <w:tcW w:w="1076"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入场、领卷</w:t>
            </w:r>
          </w:p>
        </w:tc>
        <w:tc>
          <w:tcPr>
            <w:tcW w:w="9534"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·检查座位号、桌贴、门贴是否有异常</w:t>
            </w:r>
          </w:p>
        </w:tc>
        <w:tc>
          <w:tcPr>
            <w:tcW w:w="2368"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285"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9534"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·楼层巡考会到每个考场发放考卷，请监考员接收、检查考卷密封情况并签收</w:t>
            </w:r>
          </w:p>
        </w:tc>
        <w:tc>
          <w:tcPr>
            <w:tcW w:w="2368"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285" w:hRule="atLeast"/>
        </w:trPr>
        <w:tc>
          <w:tcPr>
            <w:tcW w:w="897"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8:30</w:t>
            </w:r>
          </w:p>
        </w:tc>
        <w:tc>
          <w:tcPr>
            <w:tcW w:w="741"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14:30</w:t>
            </w:r>
          </w:p>
        </w:tc>
        <w:tc>
          <w:tcPr>
            <w:tcW w:w="1076"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考前准备</w:t>
            </w:r>
          </w:p>
        </w:tc>
        <w:tc>
          <w:tcPr>
            <w:tcW w:w="9534"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·佩戴好相关证件、准备好有关考务材料</w:t>
            </w:r>
          </w:p>
        </w:tc>
        <w:tc>
          <w:tcPr>
            <w:tcW w:w="236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450" w:hRule="atLeast"/>
        </w:trPr>
        <w:tc>
          <w:tcPr>
            <w:tcW w:w="897"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8:40</w:t>
            </w:r>
          </w:p>
        </w:tc>
        <w:tc>
          <w:tcPr>
            <w:tcW w:w="741"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14:40</w:t>
            </w:r>
          </w:p>
        </w:tc>
        <w:tc>
          <w:tcPr>
            <w:tcW w:w="1076"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打铃、考生准备入考场</w:t>
            </w: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·维持考场秩序，考生入场后不得大声喧哗，迅速找到自己的座位坐下</w:t>
            </w:r>
          </w:p>
        </w:tc>
        <w:tc>
          <w:tcPr>
            <w:tcW w:w="3586"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·在门口逐一检查考生“三证”（准考证、学生证和身份证），证件不齐备者不得放入考场</w:t>
            </w:r>
          </w:p>
        </w:tc>
        <w:tc>
          <w:tcPr>
            <w:tcW w:w="2368"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要求学生将手机关机、拆下电池板后放置在课桌的左上角或包裹内，不得放在身上。考试过程中一旦手机发出声响或震动，均按照违规处理！</w:t>
            </w:r>
          </w:p>
        </w:tc>
      </w:tr>
      <w:tr>
        <w:tblPrEx>
          <w:tblCellMar>
            <w:top w:w="0" w:type="dxa"/>
            <w:left w:w="108" w:type="dxa"/>
            <w:bottom w:w="0" w:type="dxa"/>
            <w:right w:w="108" w:type="dxa"/>
          </w:tblCellMar>
        </w:tblPrEx>
        <w:trPr>
          <w:trHeight w:val="450"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·要求考生将与考试无关的物品统一放置到指定的位置</w:t>
            </w:r>
          </w:p>
        </w:tc>
        <w:tc>
          <w:tcPr>
            <w:tcW w:w="358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2368"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450"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·特别强调不允许把手机带入场；如已经带入，拆下电池后放到课桌左上角</w:t>
            </w:r>
          </w:p>
        </w:tc>
        <w:tc>
          <w:tcPr>
            <w:tcW w:w="358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2368"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rPr>
          <w:trHeight w:val="285"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·注意保护好试卷袋</w:t>
            </w:r>
          </w:p>
        </w:tc>
        <w:tc>
          <w:tcPr>
            <w:tcW w:w="358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2368"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450" w:hRule="atLeast"/>
        </w:trPr>
        <w:tc>
          <w:tcPr>
            <w:tcW w:w="897"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8:50</w:t>
            </w:r>
          </w:p>
        </w:tc>
        <w:tc>
          <w:tcPr>
            <w:tcW w:w="741"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14:50</w:t>
            </w:r>
          </w:p>
        </w:tc>
        <w:tc>
          <w:tcPr>
            <w:tcW w:w="1076"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电台试音</w:t>
            </w: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·提示考生试音频率为：东广AM（中波）792千赫/FM（调频）89．9兆赫</w:t>
            </w:r>
          </w:p>
        </w:tc>
        <w:tc>
          <w:tcPr>
            <w:tcW w:w="3586"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·维持考场秩序</w:t>
            </w:r>
          </w:p>
        </w:tc>
        <w:tc>
          <w:tcPr>
            <w:tcW w:w="2368"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285"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·戴上耳机，收听试音</w:t>
            </w:r>
          </w:p>
        </w:tc>
        <w:tc>
          <w:tcPr>
            <w:tcW w:w="358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2368"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285" w:hRule="atLeast"/>
        </w:trPr>
        <w:tc>
          <w:tcPr>
            <w:tcW w:w="897"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9:00</w:t>
            </w:r>
          </w:p>
        </w:tc>
        <w:tc>
          <w:tcPr>
            <w:tcW w:w="741"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15:00</w:t>
            </w:r>
          </w:p>
        </w:tc>
        <w:tc>
          <w:tcPr>
            <w:tcW w:w="1076"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打铃，考区大门</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关闭考生不得入场</w:t>
            </w:r>
          </w:p>
        </w:tc>
        <w:tc>
          <w:tcPr>
            <w:tcW w:w="9534"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·按照广播中播放的考场指令操作</w:t>
            </w:r>
          </w:p>
        </w:tc>
        <w:tc>
          <w:tcPr>
            <w:tcW w:w="2368"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（1）发放试题册和答题卡1后，指导学生揭下试题背面的条形码，粘贴在答题卡1的条形码粘贴框内，粘贴在其他地方一律按照违规处理。确认学生粘贴完毕后再发答题卡2。</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（2）试题册背面和答题卡需要填写与填涂的地方按照要求进行填写与填涂，否则后果自负。</w:t>
            </w:r>
          </w:p>
        </w:tc>
      </w:tr>
      <w:tr>
        <w:tblPrEx>
          <w:tblCellMar>
            <w:top w:w="0" w:type="dxa"/>
            <w:left w:w="108" w:type="dxa"/>
            <w:bottom w:w="0" w:type="dxa"/>
            <w:right w:w="108" w:type="dxa"/>
          </w:tblCellMar>
        </w:tblPrEx>
        <w:trPr>
          <w:trHeight w:val="285"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9534"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·09:00/15:00，向考生展示试卷袋完好无破损，启封试卷袋</w:t>
            </w:r>
          </w:p>
        </w:tc>
        <w:tc>
          <w:tcPr>
            <w:tcW w:w="2368"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285"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9534"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·09:01/05:01，清点试题册与答题卡1、答题卡2，如有缺失或破损请向巡考报告</w:t>
            </w:r>
          </w:p>
        </w:tc>
        <w:tc>
          <w:tcPr>
            <w:tcW w:w="2368"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697"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·09:02/15:02，发放试题册与答题卡1，请注意：答题卡2暂不发放</w:t>
            </w:r>
          </w:p>
        </w:tc>
        <w:tc>
          <w:tcPr>
            <w:tcW w:w="3586"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·维持考场秩序，指导考生正确的粘贴、填写与填涂方式；</w:t>
            </w:r>
          </w:p>
        </w:tc>
        <w:tc>
          <w:tcPr>
            <w:tcW w:w="2368"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495"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9534"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·09:04/15:04，两位监考员第一次检查学生的条形码粘贴、个人的信息填写和填涂是否完毕和正确，确认完毕后准备发放答题卡2</w:t>
            </w:r>
          </w:p>
        </w:tc>
        <w:tc>
          <w:tcPr>
            <w:tcW w:w="2368"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450"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·09:05/15:05，发答题卡2</w:t>
            </w:r>
          </w:p>
        </w:tc>
        <w:tc>
          <w:tcPr>
            <w:tcW w:w="3586"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·维持考场秩序，指导考生正确的粘贴、填写与填涂方式</w:t>
            </w:r>
          </w:p>
        </w:tc>
        <w:tc>
          <w:tcPr>
            <w:tcW w:w="2368"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294"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c>
          <w:tcPr>
            <w:tcW w:w="3586"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·09:07/15:07，请考生在考生签到表上签到</w:t>
            </w:r>
          </w:p>
        </w:tc>
        <w:tc>
          <w:tcPr>
            <w:tcW w:w="2368"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675" w:hRule="atLeast"/>
        </w:trPr>
        <w:tc>
          <w:tcPr>
            <w:tcW w:w="897" w:type="dxa"/>
            <w:vMerge w:val="restart"/>
            <w:tcBorders>
              <w:top w:val="single" w:color="auto" w:sz="4" w:space="0"/>
              <w:left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9:10</w:t>
            </w:r>
          </w:p>
          <w:p>
            <w:pPr>
              <w:pageBreakBefore w:val="0"/>
              <w:topLinePunct w:val="0"/>
              <w:bidi w:val="0"/>
              <w:spacing w:line="400" w:lineRule="exact"/>
              <w:jc w:val="center"/>
              <w:outlineLvl w:val="9"/>
              <w:rPr>
                <w:rFonts w:hint="eastAsia" w:ascii="仿宋" w:hAnsi="仿宋" w:eastAsia="仿宋" w:cs="仿宋"/>
                <w:color w:val="000000"/>
                <w:kern w:val="0"/>
                <w:szCs w:val="21"/>
              </w:rPr>
            </w:pPr>
          </w:p>
        </w:tc>
        <w:tc>
          <w:tcPr>
            <w:tcW w:w="741" w:type="dxa"/>
            <w:vMerge w:val="restart"/>
            <w:tcBorders>
              <w:top w:val="single" w:color="auto" w:sz="4" w:space="0"/>
              <w:left w:val="nil"/>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15:10</w:t>
            </w:r>
          </w:p>
          <w:p>
            <w:pPr>
              <w:pageBreakBefore w:val="0"/>
              <w:topLinePunct w:val="0"/>
              <w:bidi w:val="0"/>
              <w:spacing w:line="400" w:lineRule="exact"/>
              <w:outlineLvl w:val="9"/>
              <w:rPr>
                <w:rFonts w:hint="eastAsia" w:ascii="仿宋" w:hAnsi="仿宋" w:eastAsia="仿宋" w:cs="仿宋"/>
                <w:color w:val="000000"/>
                <w:kern w:val="0"/>
                <w:szCs w:val="21"/>
              </w:rPr>
            </w:pPr>
          </w:p>
        </w:tc>
        <w:tc>
          <w:tcPr>
            <w:tcW w:w="1076"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考试正式考试</w:t>
            </w:r>
          </w:p>
        </w:tc>
        <w:tc>
          <w:tcPr>
            <w:tcW w:w="5948"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·请监考打开屏蔽仪</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·提示考生做答题卡1的试题第一部分（写作）</w:t>
            </w:r>
          </w:p>
        </w:tc>
        <w:tc>
          <w:tcPr>
            <w:tcW w:w="3586"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·再次逐一检查考生证件</w:t>
            </w:r>
          </w:p>
        </w:tc>
        <w:tc>
          <w:tcPr>
            <w:tcW w:w="2368"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450" w:hRule="atLeast"/>
        </w:trPr>
        <w:tc>
          <w:tcPr>
            <w:tcW w:w="897" w:type="dxa"/>
            <w:vMerge w:val="continue"/>
            <w:tcBorders>
              <w:left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p>
        </w:tc>
        <w:tc>
          <w:tcPr>
            <w:tcW w:w="741" w:type="dxa"/>
            <w:vMerge w:val="continue"/>
            <w:tcBorders>
              <w:left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p>
        </w:tc>
        <w:tc>
          <w:tcPr>
            <w:tcW w:w="1076"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统计缺考情况</w:t>
            </w:r>
          </w:p>
        </w:tc>
        <w:tc>
          <w:tcPr>
            <w:tcW w:w="5948"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·填写（涂）卡1、卡2以及试题册背面姓名和准考证号后两位，条形码无需揭下！</w:t>
            </w:r>
          </w:p>
        </w:tc>
        <w:tc>
          <w:tcPr>
            <w:tcW w:w="3586"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·对监考员一的缺考登记情况进行复查，并与考生签到表核对，检查是否有漏签、错签</w:t>
            </w:r>
          </w:p>
        </w:tc>
        <w:tc>
          <w:tcPr>
            <w:tcW w:w="2368"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450" w:hRule="atLeast"/>
        </w:trPr>
        <w:tc>
          <w:tcPr>
            <w:tcW w:w="897" w:type="dxa"/>
            <w:vMerge w:val="continue"/>
            <w:tcBorders>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·在“上海地区CET考试缺考及违规违纪记录单”上登记考生缺考记录</w:t>
            </w:r>
          </w:p>
        </w:tc>
        <w:tc>
          <w:tcPr>
            <w:tcW w:w="358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2368"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450" w:hRule="atLeast"/>
        </w:trPr>
        <w:tc>
          <w:tcPr>
            <w:tcW w:w="897"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9:20</w:t>
            </w:r>
          </w:p>
        </w:tc>
        <w:tc>
          <w:tcPr>
            <w:tcW w:w="741"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15:20</w:t>
            </w:r>
          </w:p>
        </w:tc>
        <w:tc>
          <w:tcPr>
            <w:tcW w:w="1076"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检查条形码与填涂情况</w:t>
            </w:r>
          </w:p>
        </w:tc>
        <w:tc>
          <w:tcPr>
            <w:tcW w:w="9534"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·两位监考员第二次检查学生的条形码粘贴、个人的信息填写和填涂是否完毕和正确</w:t>
            </w:r>
          </w:p>
        </w:tc>
        <w:tc>
          <w:tcPr>
            <w:tcW w:w="236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450" w:hRule="atLeast"/>
        </w:trPr>
        <w:tc>
          <w:tcPr>
            <w:tcW w:w="897"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9:30</w:t>
            </w:r>
          </w:p>
        </w:tc>
        <w:tc>
          <w:tcPr>
            <w:tcW w:w="741"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15:30</w:t>
            </w:r>
          </w:p>
        </w:tc>
        <w:tc>
          <w:tcPr>
            <w:tcW w:w="1076"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巡考收取考生签到表</w:t>
            </w: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·交考生签到表</w:t>
            </w:r>
          </w:p>
        </w:tc>
        <w:tc>
          <w:tcPr>
            <w:tcW w:w="3586"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·控制考场</w:t>
            </w:r>
          </w:p>
        </w:tc>
        <w:tc>
          <w:tcPr>
            <w:tcW w:w="236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900" w:hRule="atLeast"/>
        </w:trPr>
        <w:tc>
          <w:tcPr>
            <w:tcW w:w="897"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9:35</w:t>
            </w:r>
          </w:p>
        </w:tc>
        <w:tc>
          <w:tcPr>
            <w:tcW w:w="741"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15:35</w:t>
            </w:r>
          </w:p>
        </w:tc>
        <w:tc>
          <w:tcPr>
            <w:tcW w:w="1076"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提醒学生听力时间</w:t>
            </w: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·请监考关闭屏蔽仪</w:t>
            </w:r>
          </w:p>
        </w:tc>
        <w:tc>
          <w:tcPr>
            <w:tcW w:w="3586"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·提醒考生还有5分钟听力正式开始．</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·提醒考生在听力期间，就同步完成听力部分在答题卡中的填涂。听力一结束，就收答题卡1</w:t>
            </w:r>
          </w:p>
        </w:tc>
        <w:tc>
          <w:tcPr>
            <w:tcW w:w="236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450" w:hRule="atLeast"/>
        </w:trPr>
        <w:tc>
          <w:tcPr>
            <w:tcW w:w="897"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9:40</w:t>
            </w:r>
          </w:p>
        </w:tc>
        <w:tc>
          <w:tcPr>
            <w:tcW w:w="741"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15:40</w:t>
            </w:r>
          </w:p>
        </w:tc>
        <w:tc>
          <w:tcPr>
            <w:tcW w:w="1076"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听力开始</w:t>
            </w: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·若学生反应收音机有问题，可将监考员收音机设为放音状态。</w:t>
            </w:r>
          </w:p>
        </w:tc>
        <w:tc>
          <w:tcPr>
            <w:tcW w:w="3586"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·关上教室前后门</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·控制考场</w:t>
            </w:r>
          </w:p>
        </w:tc>
        <w:tc>
          <w:tcPr>
            <w:tcW w:w="236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285" w:hRule="atLeast"/>
        </w:trPr>
        <w:tc>
          <w:tcPr>
            <w:tcW w:w="897"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9534"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·两位监考在考场内一前一后，保持安静</w:t>
            </w:r>
          </w:p>
        </w:tc>
        <w:tc>
          <w:tcPr>
            <w:tcW w:w="236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450" w:hRule="atLeast"/>
        </w:trPr>
        <w:tc>
          <w:tcPr>
            <w:tcW w:w="897"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10:05</w:t>
            </w:r>
          </w:p>
        </w:tc>
        <w:tc>
          <w:tcPr>
            <w:tcW w:w="741"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16:10</w:t>
            </w:r>
          </w:p>
        </w:tc>
        <w:tc>
          <w:tcPr>
            <w:tcW w:w="1076"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打铃、收答题卡一</w:t>
            </w:r>
          </w:p>
        </w:tc>
        <w:tc>
          <w:tcPr>
            <w:tcW w:w="5948"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·请监考打开屏蔽仪</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·收答题卡一，小号在上、大号在下，缺考插在原位。（确切时间请按照东方广播中提示音“听力考试结束”为准）</w:t>
            </w:r>
          </w:p>
        </w:tc>
        <w:tc>
          <w:tcPr>
            <w:tcW w:w="3586"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·宣布听力考试结束，收卷期间任何学生不得答题，否则按违规处理</w:t>
            </w:r>
          </w:p>
        </w:tc>
        <w:tc>
          <w:tcPr>
            <w:tcW w:w="2368"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285"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948"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3586"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·控制考场</w:t>
            </w:r>
          </w:p>
        </w:tc>
        <w:tc>
          <w:tcPr>
            <w:tcW w:w="2368"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rPr>
          <w:trHeight w:val="450" w:hRule="atLeast"/>
        </w:trPr>
        <w:tc>
          <w:tcPr>
            <w:tcW w:w="897"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10:10</w:t>
            </w:r>
          </w:p>
        </w:tc>
        <w:tc>
          <w:tcPr>
            <w:tcW w:w="741"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16:15</w:t>
            </w:r>
          </w:p>
        </w:tc>
        <w:tc>
          <w:tcPr>
            <w:tcW w:w="1076"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清点答题卡一</w:t>
            </w: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·第三次检查学生的条形码粘贴、个人的信息填写和填涂是否完毕和正确</w:t>
            </w:r>
          </w:p>
        </w:tc>
        <w:tc>
          <w:tcPr>
            <w:tcW w:w="3586"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·宣布学生继续作答答题卡2的内容</w:t>
            </w:r>
          </w:p>
        </w:tc>
        <w:tc>
          <w:tcPr>
            <w:tcW w:w="236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285" w:hRule="atLeast"/>
        </w:trPr>
        <w:tc>
          <w:tcPr>
            <w:tcW w:w="897"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·清点答题卡1份数</w:t>
            </w:r>
          </w:p>
        </w:tc>
        <w:tc>
          <w:tcPr>
            <w:tcW w:w="3586"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·复核答题卡1份数</w:t>
            </w:r>
          </w:p>
        </w:tc>
        <w:tc>
          <w:tcPr>
            <w:tcW w:w="236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285" w:hRule="atLeast"/>
        </w:trPr>
        <w:tc>
          <w:tcPr>
            <w:tcW w:w="897"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11:10</w:t>
            </w:r>
          </w:p>
        </w:tc>
        <w:tc>
          <w:tcPr>
            <w:tcW w:w="741"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17:15</w:t>
            </w:r>
          </w:p>
        </w:tc>
        <w:tc>
          <w:tcPr>
            <w:tcW w:w="1076"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·提醒考生离考试结束还有10分钟</w:t>
            </w:r>
          </w:p>
        </w:tc>
        <w:tc>
          <w:tcPr>
            <w:tcW w:w="3586"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·检查考生填涂情况</w:t>
            </w:r>
          </w:p>
        </w:tc>
        <w:tc>
          <w:tcPr>
            <w:tcW w:w="236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465" w:hRule="atLeast"/>
        </w:trPr>
        <w:tc>
          <w:tcPr>
            <w:tcW w:w="897"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11:20</w:t>
            </w:r>
          </w:p>
        </w:tc>
        <w:tc>
          <w:tcPr>
            <w:tcW w:w="741"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17:25</w:t>
            </w:r>
          </w:p>
        </w:tc>
        <w:tc>
          <w:tcPr>
            <w:tcW w:w="1076"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打铃、考试结束</w:t>
            </w:r>
          </w:p>
        </w:tc>
        <w:tc>
          <w:tcPr>
            <w:tcW w:w="5948"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·收试题册</w:t>
            </w:r>
          </w:p>
        </w:tc>
        <w:tc>
          <w:tcPr>
            <w:tcW w:w="3586"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·复核答题卡1、答题卡2和试题册的份数</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·在所有答题卡与试题册未清点完份数之前，控制所有考生不得喧哗、不得离开座位与考场。</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·所有清点结束，且保证没有问题后，方宣布考生可以离场。</w:t>
            </w:r>
          </w:p>
        </w:tc>
        <w:tc>
          <w:tcPr>
            <w:tcW w:w="2368"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465"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·收答题卡2，小号在上、大号在下，缺考插在原位。</w:t>
            </w:r>
          </w:p>
        </w:tc>
        <w:tc>
          <w:tcPr>
            <w:tcW w:w="358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2368"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308"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94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·清点试题册、答题卡1、答题卡2份数。</w:t>
            </w:r>
          </w:p>
        </w:tc>
        <w:tc>
          <w:tcPr>
            <w:tcW w:w="358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2368"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285"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9534"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·填写“上海地区CET考试缺考及违规违纪记录单”，两位监考均需签名</w:t>
            </w:r>
          </w:p>
        </w:tc>
        <w:tc>
          <w:tcPr>
            <w:tcW w:w="236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rPr>
          <w:trHeight w:val="285"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9534"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·填写试卷袋上有关信息，两位监考均需签名</w:t>
            </w:r>
          </w:p>
        </w:tc>
        <w:tc>
          <w:tcPr>
            <w:tcW w:w="236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285" w:hRule="atLeast"/>
        </w:trPr>
        <w:tc>
          <w:tcPr>
            <w:tcW w:w="897"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41"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076"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9534"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·两位监考一起将试题册、答题卡1、答题卡2及考务材料交回考务办</w:t>
            </w:r>
          </w:p>
        </w:tc>
        <w:tc>
          <w:tcPr>
            <w:tcW w:w="2368"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bl>
    <w:p>
      <w:pPr>
        <w:pageBreakBefore w:val="0"/>
        <w:topLinePunct w:val="0"/>
        <w:bidi w:val="0"/>
        <w:spacing w:line="400" w:lineRule="exact"/>
        <w:jc w:val="left"/>
        <w:outlineLvl w:val="9"/>
        <w:rPr>
          <w:rFonts w:hint="eastAsia" w:ascii="仿宋" w:hAnsi="仿宋" w:eastAsia="仿宋" w:cs="仿宋"/>
          <w:color w:val="000000"/>
          <w:szCs w:val="21"/>
        </w:rPr>
      </w:pPr>
    </w:p>
    <w:p>
      <w:pPr>
        <w:pageBreakBefore w:val="0"/>
        <w:topLinePunct w:val="0"/>
        <w:bidi w:val="0"/>
        <w:spacing w:line="400" w:lineRule="exact"/>
        <w:jc w:val="left"/>
        <w:outlineLvl w:val="9"/>
        <w:rPr>
          <w:rFonts w:hint="eastAsia" w:ascii="仿宋" w:hAnsi="仿宋" w:eastAsia="仿宋" w:cs="仿宋"/>
          <w:color w:val="000000"/>
          <w:szCs w:val="21"/>
        </w:rPr>
      </w:pPr>
    </w:p>
    <w:p>
      <w:pPr>
        <w:pageBreakBefore w:val="0"/>
        <w:topLinePunct w:val="0"/>
        <w:bidi w:val="0"/>
        <w:spacing w:line="400" w:lineRule="exact"/>
        <w:jc w:val="left"/>
        <w:outlineLvl w:val="9"/>
        <w:rPr>
          <w:rFonts w:hint="eastAsia" w:ascii="仿宋" w:hAnsi="仿宋" w:eastAsia="仿宋" w:cs="仿宋"/>
          <w:color w:val="000000"/>
          <w:szCs w:val="21"/>
        </w:rPr>
      </w:pPr>
    </w:p>
    <w:p>
      <w:pPr>
        <w:pageBreakBefore w:val="0"/>
        <w:topLinePunct w:val="0"/>
        <w:bidi w:val="0"/>
        <w:spacing w:line="400" w:lineRule="exact"/>
        <w:jc w:val="left"/>
        <w:outlineLvl w:val="9"/>
        <w:rPr>
          <w:rFonts w:hint="eastAsia" w:ascii="仿宋" w:hAnsi="仿宋" w:eastAsia="仿宋" w:cs="仿宋"/>
          <w:color w:val="000000"/>
          <w:szCs w:val="21"/>
        </w:rPr>
      </w:pPr>
    </w:p>
    <w:p>
      <w:pPr>
        <w:pageBreakBefore w:val="0"/>
        <w:topLinePunct w:val="0"/>
        <w:bidi w:val="0"/>
        <w:spacing w:line="400" w:lineRule="exact"/>
        <w:jc w:val="left"/>
        <w:outlineLvl w:val="9"/>
        <w:rPr>
          <w:rFonts w:hint="eastAsia" w:ascii="仿宋" w:hAnsi="仿宋" w:eastAsia="仿宋" w:cs="仿宋"/>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r>
        <w:rPr>
          <w:rFonts w:hint="eastAsia" w:ascii="仿宋" w:hAnsi="仿宋" w:eastAsia="仿宋" w:cs="仿宋"/>
          <w:b/>
          <w:bCs/>
          <w:color w:val="000000"/>
          <w:szCs w:val="21"/>
        </w:rPr>
        <w:t>附件2</w:t>
      </w:r>
    </w:p>
    <w:p>
      <w:pPr>
        <w:pageBreakBefore w:val="0"/>
        <w:topLinePunct w:val="0"/>
        <w:bidi w:val="0"/>
        <w:spacing w:line="400" w:lineRule="exact"/>
        <w:jc w:val="left"/>
        <w:outlineLvl w:val="9"/>
        <w:rPr>
          <w:rFonts w:hint="eastAsia" w:ascii="仿宋" w:hAnsi="仿宋" w:eastAsia="仿宋" w:cs="仿宋"/>
          <w:color w:val="000000"/>
          <w:szCs w:val="21"/>
        </w:rPr>
      </w:pPr>
    </w:p>
    <w:p>
      <w:pPr>
        <w:pageBreakBefore w:val="0"/>
        <w:topLinePunct w:val="0"/>
        <w:bidi w:val="0"/>
        <w:spacing w:line="400" w:lineRule="exact"/>
        <w:jc w:val="center"/>
        <w:outlineLvl w:val="9"/>
        <w:rPr>
          <w:rFonts w:hint="eastAsia" w:ascii="仿宋" w:hAnsi="仿宋" w:eastAsia="仿宋" w:cs="仿宋"/>
          <w:b/>
          <w:bCs/>
          <w:color w:val="000000"/>
          <w:szCs w:val="21"/>
        </w:rPr>
      </w:pPr>
      <w:r>
        <w:rPr>
          <w:rFonts w:hint="eastAsia" w:ascii="仿宋" w:hAnsi="仿宋" w:eastAsia="仿宋" w:cs="仿宋"/>
          <w:b/>
          <w:bCs/>
          <w:color w:val="000000"/>
          <w:szCs w:val="21"/>
        </w:rPr>
        <w:t>PET监考流程</w:t>
      </w:r>
    </w:p>
    <w:p>
      <w:pPr>
        <w:pageBreakBefore w:val="0"/>
        <w:topLinePunct w:val="0"/>
        <w:bidi w:val="0"/>
        <w:spacing w:line="400" w:lineRule="exact"/>
        <w:jc w:val="left"/>
        <w:outlineLvl w:val="9"/>
        <w:rPr>
          <w:rFonts w:hint="eastAsia" w:ascii="仿宋" w:hAnsi="仿宋" w:eastAsia="仿宋" w:cs="仿宋"/>
          <w:color w:val="000000"/>
          <w:szCs w:val="21"/>
        </w:rPr>
      </w:pPr>
    </w:p>
    <w:tbl>
      <w:tblPr>
        <w:tblStyle w:val="37"/>
        <w:tblW w:w="14640" w:type="dxa"/>
        <w:tblInd w:w="93" w:type="dxa"/>
        <w:tblLayout w:type="fixed"/>
        <w:tblCellMar>
          <w:top w:w="0" w:type="dxa"/>
          <w:left w:w="108" w:type="dxa"/>
          <w:bottom w:w="0" w:type="dxa"/>
          <w:right w:w="108" w:type="dxa"/>
        </w:tblCellMar>
      </w:tblPr>
      <w:tblGrid>
        <w:gridCol w:w="760"/>
        <w:gridCol w:w="760"/>
        <w:gridCol w:w="1420"/>
        <w:gridCol w:w="5380"/>
        <w:gridCol w:w="6320"/>
      </w:tblGrid>
      <w:tr>
        <w:tblPrEx>
          <w:tblCellMar>
            <w:top w:w="0" w:type="dxa"/>
            <w:left w:w="108" w:type="dxa"/>
            <w:bottom w:w="0" w:type="dxa"/>
            <w:right w:w="108" w:type="dxa"/>
          </w:tblCellMar>
        </w:tblPrEx>
        <w:trPr>
          <w:trHeight w:val="285" w:hRule="atLeast"/>
        </w:trPr>
        <w:tc>
          <w:tcPr>
            <w:tcW w:w="1520" w:type="dxa"/>
            <w:gridSpan w:val="2"/>
            <w:tcBorders>
              <w:top w:val="single" w:color="auto" w:sz="4" w:space="0"/>
              <w:left w:val="single" w:color="auto" w:sz="4" w:space="0"/>
              <w:bottom w:val="single" w:color="auto" w:sz="4" w:space="0"/>
              <w:right w:val="single" w:color="000000"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时间</w:t>
            </w:r>
          </w:p>
        </w:tc>
        <w:tc>
          <w:tcPr>
            <w:tcW w:w="1420" w:type="dxa"/>
            <w:vMerge w:val="restart"/>
            <w:tcBorders>
              <w:top w:val="single" w:color="auto" w:sz="4" w:space="0"/>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要点</w:t>
            </w:r>
          </w:p>
        </w:tc>
        <w:tc>
          <w:tcPr>
            <w:tcW w:w="5380" w:type="dxa"/>
            <w:vMerge w:val="restart"/>
            <w:tcBorders>
              <w:top w:val="single" w:color="auto" w:sz="4" w:space="0"/>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监考员一工作内容</w:t>
            </w:r>
          </w:p>
        </w:tc>
        <w:tc>
          <w:tcPr>
            <w:tcW w:w="6320" w:type="dxa"/>
            <w:vMerge w:val="restart"/>
            <w:tcBorders>
              <w:top w:val="single" w:color="auto" w:sz="4" w:space="0"/>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b/>
                <w:bCs/>
                <w:color w:val="000000"/>
                <w:kern w:val="0"/>
                <w:szCs w:val="21"/>
              </w:rPr>
            </w:pPr>
            <w:r>
              <w:rPr>
                <w:rFonts w:hint="eastAsia" w:ascii="仿宋" w:hAnsi="仿宋" w:eastAsia="仿宋" w:cs="仿宋"/>
                <w:b/>
                <w:bCs/>
                <w:color w:val="000000"/>
                <w:kern w:val="0"/>
                <w:szCs w:val="21"/>
              </w:rPr>
              <w:t>监考员二工作内容</w:t>
            </w:r>
          </w:p>
        </w:tc>
      </w:tr>
      <w:tr>
        <w:tblPrEx>
          <w:tblCellMar>
            <w:top w:w="0" w:type="dxa"/>
            <w:left w:w="108" w:type="dxa"/>
            <w:bottom w:w="0" w:type="dxa"/>
            <w:right w:w="108" w:type="dxa"/>
          </w:tblCellMar>
        </w:tblPrEx>
        <w:trPr>
          <w:trHeight w:val="270" w:hRule="atLeast"/>
        </w:trPr>
        <w:tc>
          <w:tcPr>
            <w:tcW w:w="760"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PET-A</w:t>
            </w:r>
          </w:p>
        </w:tc>
        <w:tc>
          <w:tcPr>
            <w:tcW w:w="76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PET-B</w:t>
            </w:r>
          </w:p>
        </w:tc>
        <w:tc>
          <w:tcPr>
            <w:tcW w:w="1420" w:type="dxa"/>
            <w:vMerge w:val="continue"/>
            <w:tcBorders>
              <w:top w:val="single" w:color="auto" w:sz="4" w:space="0"/>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b/>
                <w:bCs/>
                <w:color w:val="000000"/>
                <w:kern w:val="0"/>
                <w:szCs w:val="21"/>
              </w:rPr>
            </w:pPr>
          </w:p>
        </w:tc>
        <w:tc>
          <w:tcPr>
            <w:tcW w:w="5380" w:type="dxa"/>
            <w:vMerge w:val="continue"/>
            <w:tcBorders>
              <w:top w:val="single" w:color="auto" w:sz="4" w:space="0"/>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b/>
                <w:bCs/>
                <w:color w:val="000000"/>
                <w:kern w:val="0"/>
                <w:szCs w:val="21"/>
              </w:rPr>
            </w:pPr>
          </w:p>
        </w:tc>
        <w:tc>
          <w:tcPr>
            <w:tcW w:w="6320" w:type="dxa"/>
            <w:vMerge w:val="continue"/>
            <w:tcBorders>
              <w:top w:val="single" w:color="auto" w:sz="4" w:space="0"/>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b/>
                <w:bCs/>
                <w:color w:val="000000"/>
                <w:kern w:val="0"/>
                <w:szCs w:val="21"/>
              </w:rPr>
            </w:pPr>
          </w:p>
        </w:tc>
      </w:tr>
      <w:tr>
        <w:tblPrEx>
          <w:tblCellMar>
            <w:top w:w="0" w:type="dxa"/>
            <w:left w:w="108" w:type="dxa"/>
            <w:bottom w:w="0" w:type="dxa"/>
            <w:right w:w="108" w:type="dxa"/>
          </w:tblCellMar>
        </w:tblPrEx>
        <w:trPr>
          <w:trHeight w:val="270" w:hRule="atLeast"/>
        </w:trPr>
        <w:tc>
          <w:tcPr>
            <w:tcW w:w="760"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8:15</w:t>
            </w:r>
          </w:p>
        </w:tc>
        <w:tc>
          <w:tcPr>
            <w:tcW w:w="760"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14:15</w:t>
            </w:r>
          </w:p>
        </w:tc>
        <w:tc>
          <w:tcPr>
            <w:tcW w:w="1420"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领卷、入场</w:t>
            </w:r>
          </w:p>
        </w:tc>
        <w:tc>
          <w:tcPr>
            <w:tcW w:w="11700"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·检查座位号、桌贴、门贴是否有异常</w:t>
            </w:r>
          </w:p>
        </w:tc>
      </w:tr>
      <w:tr>
        <w:tblPrEx>
          <w:tblCellMar>
            <w:top w:w="0" w:type="dxa"/>
            <w:left w:w="108" w:type="dxa"/>
            <w:bottom w:w="0" w:type="dxa"/>
            <w:right w:w="108" w:type="dxa"/>
          </w:tblCellMar>
        </w:tblPrEx>
        <w:trPr>
          <w:trHeight w:val="270" w:hRule="atLeast"/>
        </w:trPr>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42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1700"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·楼层巡考会到每个考场发放考卷，请监考员接收、检查考卷密封情况并签收</w:t>
            </w:r>
          </w:p>
        </w:tc>
      </w:tr>
      <w:tr>
        <w:tblPrEx>
          <w:tblCellMar>
            <w:top w:w="0" w:type="dxa"/>
            <w:left w:w="108" w:type="dxa"/>
            <w:bottom w:w="0" w:type="dxa"/>
            <w:right w:w="108" w:type="dxa"/>
          </w:tblCellMar>
        </w:tblPrEx>
        <w:trPr>
          <w:trHeight w:val="270" w:hRule="atLeast"/>
        </w:trPr>
        <w:tc>
          <w:tcPr>
            <w:tcW w:w="760"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8:30</w:t>
            </w:r>
          </w:p>
        </w:tc>
        <w:tc>
          <w:tcPr>
            <w:tcW w:w="76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14:30</w:t>
            </w:r>
          </w:p>
        </w:tc>
        <w:tc>
          <w:tcPr>
            <w:tcW w:w="142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考前准备</w:t>
            </w:r>
          </w:p>
        </w:tc>
        <w:tc>
          <w:tcPr>
            <w:tcW w:w="11700"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·佩戴好相关证件、准备好有关考务材料</w:t>
            </w:r>
          </w:p>
        </w:tc>
      </w:tr>
      <w:tr>
        <w:tblPrEx>
          <w:tblCellMar>
            <w:top w:w="0" w:type="dxa"/>
            <w:left w:w="108" w:type="dxa"/>
            <w:bottom w:w="0" w:type="dxa"/>
            <w:right w:w="108" w:type="dxa"/>
          </w:tblCellMar>
        </w:tblPrEx>
        <w:trPr>
          <w:trHeight w:val="450" w:hRule="atLeast"/>
        </w:trPr>
        <w:tc>
          <w:tcPr>
            <w:tcW w:w="760"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8:40</w:t>
            </w:r>
          </w:p>
        </w:tc>
        <w:tc>
          <w:tcPr>
            <w:tcW w:w="760"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14:40</w:t>
            </w:r>
          </w:p>
        </w:tc>
        <w:tc>
          <w:tcPr>
            <w:tcW w:w="1420"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打铃，考生准备入考场</w:t>
            </w:r>
          </w:p>
        </w:tc>
        <w:tc>
          <w:tcPr>
            <w:tcW w:w="538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·维持考场秩序，考生入场后不得大声喧哗，要迅速找到自己的座位坐下</w:t>
            </w:r>
          </w:p>
        </w:tc>
        <w:tc>
          <w:tcPr>
            <w:tcW w:w="6320"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·在门口逐一检查考生“三证”（准考证、学生证、身份证），证件不齐备者不得放入考场</w:t>
            </w:r>
          </w:p>
        </w:tc>
      </w:tr>
      <w:tr>
        <w:tblPrEx>
          <w:tblCellMar>
            <w:top w:w="0" w:type="dxa"/>
            <w:left w:w="108" w:type="dxa"/>
            <w:bottom w:w="0" w:type="dxa"/>
            <w:right w:w="108" w:type="dxa"/>
          </w:tblCellMar>
        </w:tblPrEx>
        <w:trPr>
          <w:trHeight w:val="270" w:hRule="atLeast"/>
        </w:trPr>
        <w:tc>
          <w:tcPr>
            <w:tcW w:w="76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42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38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·要求考生将与考试无关的物品统一放置到指定的位置</w:t>
            </w:r>
          </w:p>
        </w:tc>
        <w:tc>
          <w:tcPr>
            <w:tcW w:w="632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270" w:hRule="atLeast"/>
        </w:trPr>
        <w:tc>
          <w:tcPr>
            <w:tcW w:w="76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42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38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·特别强调手机必须关机，拆下电池后放到课桌左上角</w:t>
            </w:r>
          </w:p>
        </w:tc>
        <w:tc>
          <w:tcPr>
            <w:tcW w:w="632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270" w:hRule="atLeast"/>
        </w:trPr>
        <w:tc>
          <w:tcPr>
            <w:tcW w:w="76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42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38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·注意保护好试卷袋</w:t>
            </w:r>
          </w:p>
        </w:tc>
        <w:tc>
          <w:tcPr>
            <w:tcW w:w="632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270" w:hRule="atLeast"/>
        </w:trPr>
        <w:tc>
          <w:tcPr>
            <w:tcW w:w="760"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8:50</w:t>
            </w:r>
          </w:p>
        </w:tc>
        <w:tc>
          <w:tcPr>
            <w:tcW w:w="760"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14:50</w:t>
            </w:r>
          </w:p>
        </w:tc>
        <w:tc>
          <w:tcPr>
            <w:tcW w:w="1420"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打铃</w:t>
            </w:r>
          </w:p>
        </w:tc>
        <w:tc>
          <w:tcPr>
            <w:tcW w:w="538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·打开教室内广播，收听广播</w:t>
            </w:r>
          </w:p>
        </w:tc>
        <w:tc>
          <w:tcPr>
            <w:tcW w:w="6320"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·请考生用黑色字迹签字笔在考生签到表上签到</w:t>
            </w:r>
          </w:p>
        </w:tc>
      </w:tr>
      <w:tr>
        <w:tblPrEx>
          <w:tblCellMar>
            <w:top w:w="0" w:type="dxa"/>
            <w:left w:w="108" w:type="dxa"/>
            <w:bottom w:w="0" w:type="dxa"/>
            <w:right w:w="108" w:type="dxa"/>
          </w:tblCellMar>
        </w:tblPrEx>
        <w:trPr>
          <w:trHeight w:val="270" w:hRule="atLeast"/>
        </w:trPr>
        <w:tc>
          <w:tcPr>
            <w:tcW w:w="76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42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38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·向考生展示试卷袋完好无破损</w:t>
            </w:r>
          </w:p>
        </w:tc>
        <w:tc>
          <w:tcPr>
            <w:tcW w:w="632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270" w:hRule="atLeast"/>
        </w:trPr>
        <w:tc>
          <w:tcPr>
            <w:tcW w:w="76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42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38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·启封试卷袋</w:t>
            </w:r>
          </w:p>
        </w:tc>
        <w:tc>
          <w:tcPr>
            <w:tcW w:w="632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270" w:hRule="atLeast"/>
        </w:trPr>
        <w:tc>
          <w:tcPr>
            <w:tcW w:w="76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42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1700" w:type="dxa"/>
            <w:gridSpan w:val="2"/>
            <w:tcBorders>
              <w:top w:val="single" w:color="auto" w:sz="4" w:space="0"/>
              <w:left w:val="nil"/>
              <w:bottom w:val="single" w:color="auto" w:sz="4" w:space="0"/>
              <w:right w:val="single" w:color="000000"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·共同清点试题册、答题卡的份数，如有缺失或破损请速向巡考报告</w:t>
            </w:r>
          </w:p>
        </w:tc>
      </w:tr>
      <w:tr>
        <w:tblPrEx>
          <w:tblCellMar>
            <w:top w:w="0" w:type="dxa"/>
            <w:left w:w="108" w:type="dxa"/>
            <w:bottom w:w="0" w:type="dxa"/>
            <w:right w:w="108" w:type="dxa"/>
          </w:tblCellMar>
        </w:tblPrEx>
        <w:trPr>
          <w:trHeight w:val="450" w:hRule="atLeast"/>
        </w:trPr>
        <w:tc>
          <w:tcPr>
            <w:tcW w:w="76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42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38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·发试题册、答题卡，强调不能折叠</w:t>
            </w:r>
          </w:p>
        </w:tc>
        <w:tc>
          <w:tcPr>
            <w:tcW w:w="632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·指导考生正确填涂并检查，要求考生在试题册首页写下自己的名字和准考证号码</w:t>
            </w:r>
          </w:p>
        </w:tc>
      </w:tr>
      <w:tr>
        <w:tblPrEx>
          <w:tblCellMar>
            <w:top w:w="0" w:type="dxa"/>
            <w:left w:w="108" w:type="dxa"/>
            <w:bottom w:w="0" w:type="dxa"/>
            <w:right w:w="108" w:type="dxa"/>
          </w:tblCellMar>
        </w:tblPrEx>
        <w:trPr>
          <w:trHeight w:val="270" w:hRule="atLeast"/>
        </w:trPr>
        <w:tc>
          <w:tcPr>
            <w:tcW w:w="760"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9:00</w:t>
            </w:r>
          </w:p>
        </w:tc>
        <w:tc>
          <w:tcPr>
            <w:tcW w:w="760"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15:00</w:t>
            </w:r>
          </w:p>
        </w:tc>
        <w:tc>
          <w:tcPr>
            <w:tcW w:w="1420"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p>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考区大门关闭、考生不得入场，考试开始</w:t>
            </w:r>
          </w:p>
        </w:tc>
        <w:tc>
          <w:tcPr>
            <w:tcW w:w="11700" w:type="dxa"/>
            <w:gridSpan w:val="2"/>
            <w:tcBorders>
              <w:top w:val="single" w:color="auto" w:sz="4" w:space="0"/>
              <w:left w:val="nil"/>
              <w:bottom w:val="single" w:color="auto" w:sz="4" w:space="0"/>
              <w:right w:val="single" w:color="000000"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·关上教室前后门，迟到学生不得入场。</w:t>
            </w:r>
          </w:p>
        </w:tc>
      </w:tr>
      <w:tr>
        <w:tblPrEx>
          <w:tblCellMar>
            <w:top w:w="0" w:type="dxa"/>
            <w:left w:w="108" w:type="dxa"/>
            <w:bottom w:w="0" w:type="dxa"/>
            <w:right w:w="108" w:type="dxa"/>
          </w:tblCellMar>
        </w:tblPrEx>
        <w:trPr>
          <w:trHeight w:val="270" w:hRule="atLeast"/>
        </w:trPr>
        <w:tc>
          <w:tcPr>
            <w:tcW w:w="76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42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1700"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·两位监考在考场内一前一后，保持安静</w:t>
            </w:r>
          </w:p>
        </w:tc>
      </w:tr>
      <w:tr>
        <w:tblPrEx>
          <w:tblCellMar>
            <w:top w:w="0" w:type="dxa"/>
            <w:left w:w="108" w:type="dxa"/>
            <w:bottom w:w="0" w:type="dxa"/>
            <w:right w:w="108" w:type="dxa"/>
          </w:tblCellMar>
        </w:tblPrEx>
        <w:trPr>
          <w:trHeight w:val="765" w:hRule="atLeast"/>
        </w:trPr>
        <w:tc>
          <w:tcPr>
            <w:tcW w:w="760"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9:15</w:t>
            </w:r>
          </w:p>
        </w:tc>
        <w:tc>
          <w:tcPr>
            <w:tcW w:w="760"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15:15</w:t>
            </w:r>
          </w:p>
        </w:tc>
        <w:tc>
          <w:tcPr>
            <w:tcW w:w="1420"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统计缺考情况</w:t>
            </w:r>
          </w:p>
        </w:tc>
        <w:tc>
          <w:tcPr>
            <w:tcW w:w="538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·在缺考考生答题卡上用黑色水笔填写缺考考生姓名和完整的准考证号，用2B铅笔将缺考考生是否缺考、考试级别、考卷代码和准考证号填涂完整。</w:t>
            </w:r>
          </w:p>
        </w:tc>
        <w:tc>
          <w:tcPr>
            <w:tcW w:w="6320"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·对监考员一的缺考登记情况进行复查，并与考生签到表核对，检查是否有漏签、错签</w:t>
            </w:r>
          </w:p>
        </w:tc>
      </w:tr>
      <w:tr>
        <w:tblPrEx>
          <w:tblCellMar>
            <w:top w:w="0" w:type="dxa"/>
            <w:left w:w="108" w:type="dxa"/>
            <w:bottom w:w="0" w:type="dxa"/>
            <w:right w:w="108" w:type="dxa"/>
          </w:tblCellMar>
        </w:tblPrEx>
        <w:trPr>
          <w:trHeight w:val="450" w:hRule="atLeast"/>
        </w:trPr>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42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38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·在“上海地区PET考试缺考及违规违纪记录单”上登记考生缺考记录</w:t>
            </w:r>
          </w:p>
        </w:tc>
        <w:tc>
          <w:tcPr>
            <w:tcW w:w="632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450" w:hRule="atLeast"/>
        </w:trPr>
        <w:tc>
          <w:tcPr>
            <w:tcW w:w="760"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9:30</w:t>
            </w:r>
          </w:p>
        </w:tc>
        <w:tc>
          <w:tcPr>
            <w:tcW w:w="76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15:30</w:t>
            </w:r>
          </w:p>
        </w:tc>
        <w:tc>
          <w:tcPr>
            <w:tcW w:w="142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巡考前来收取考生签到表</w:t>
            </w:r>
          </w:p>
        </w:tc>
        <w:tc>
          <w:tcPr>
            <w:tcW w:w="538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·交考生签到表</w:t>
            </w:r>
          </w:p>
        </w:tc>
        <w:tc>
          <w:tcPr>
            <w:tcW w:w="632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　</w:t>
            </w:r>
          </w:p>
        </w:tc>
      </w:tr>
      <w:tr>
        <w:tblPrEx>
          <w:tblCellMar>
            <w:top w:w="0" w:type="dxa"/>
            <w:left w:w="108" w:type="dxa"/>
            <w:bottom w:w="0" w:type="dxa"/>
            <w:right w:w="108" w:type="dxa"/>
          </w:tblCellMar>
        </w:tblPrEx>
        <w:trPr>
          <w:trHeight w:val="270" w:hRule="atLeast"/>
        </w:trPr>
        <w:tc>
          <w:tcPr>
            <w:tcW w:w="76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10:50</w:t>
            </w:r>
          </w:p>
        </w:tc>
        <w:tc>
          <w:tcPr>
            <w:tcW w:w="76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16:50</w:t>
            </w:r>
          </w:p>
        </w:tc>
        <w:tc>
          <w:tcPr>
            <w:tcW w:w="142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考试即将结束</w:t>
            </w:r>
          </w:p>
        </w:tc>
        <w:tc>
          <w:tcPr>
            <w:tcW w:w="538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·提醒考生离考试结束还有10分钟</w:t>
            </w:r>
          </w:p>
        </w:tc>
        <w:tc>
          <w:tcPr>
            <w:tcW w:w="632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·提醒考生正确填涂答题卡上“试卷代码”和“考试级别”并检查</w:t>
            </w:r>
          </w:p>
        </w:tc>
      </w:tr>
      <w:tr>
        <w:tblPrEx>
          <w:tblCellMar>
            <w:top w:w="0" w:type="dxa"/>
            <w:left w:w="108" w:type="dxa"/>
            <w:bottom w:w="0" w:type="dxa"/>
            <w:right w:w="108" w:type="dxa"/>
          </w:tblCellMar>
        </w:tblPrEx>
        <w:trPr>
          <w:trHeight w:val="270" w:hRule="atLeast"/>
        </w:trPr>
        <w:tc>
          <w:tcPr>
            <w:tcW w:w="760"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11:00</w:t>
            </w:r>
          </w:p>
        </w:tc>
        <w:tc>
          <w:tcPr>
            <w:tcW w:w="760"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17:00</w:t>
            </w:r>
          </w:p>
        </w:tc>
        <w:tc>
          <w:tcPr>
            <w:tcW w:w="1420"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center"/>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打铃、考试结束</w:t>
            </w:r>
          </w:p>
        </w:tc>
        <w:tc>
          <w:tcPr>
            <w:tcW w:w="538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·收试题册</w:t>
            </w:r>
          </w:p>
        </w:tc>
        <w:tc>
          <w:tcPr>
            <w:tcW w:w="6320"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·控制考场，在未收齐试题册和答题卡，未清点完份数之前考生不得喧哗、不得离开座位</w:t>
            </w:r>
          </w:p>
        </w:tc>
      </w:tr>
      <w:tr>
        <w:tblPrEx>
          <w:tblCellMar>
            <w:top w:w="0" w:type="dxa"/>
            <w:left w:w="108" w:type="dxa"/>
            <w:bottom w:w="0" w:type="dxa"/>
            <w:right w:w="108" w:type="dxa"/>
          </w:tblCellMar>
        </w:tblPrEx>
        <w:trPr>
          <w:trHeight w:val="270" w:hRule="atLeast"/>
        </w:trPr>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42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38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·收答题卡</w:t>
            </w:r>
          </w:p>
        </w:tc>
        <w:tc>
          <w:tcPr>
            <w:tcW w:w="632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270" w:hRule="atLeast"/>
        </w:trPr>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42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5380" w:type="dxa"/>
            <w:tcBorders>
              <w:top w:val="nil"/>
              <w:left w:val="nil"/>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·清点试题册、答题卡份数无缺后，方可允许考生离开座位，离场</w:t>
            </w:r>
          </w:p>
        </w:tc>
        <w:tc>
          <w:tcPr>
            <w:tcW w:w="6320"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r>
      <w:tr>
        <w:tblPrEx>
          <w:tblCellMar>
            <w:top w:w="0" w:type="dxa"/>
            <w:left w:w="108" w:type="dxa"/>
            <w:bottom w:w="0" w:type="dxa"/>
            <w:right w:w="108" w:type="dxa"/>
          </w:tblCellMar>
        </w:tblPrEx>
        <w:trPr>
          <w:trHeight w:val="270" w:hRule="atLeast"/>
        </w:trPr>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42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1700" w:type="dxa"/>
            <w:gridSpan w:val="2"/>
            <w:tcBorders>
              <w:top w:val="single" w:color="auto" w:sz="4" w:space="0"/>
              <w:left w:val="nil"/>
              <w:bottom w:val="single" w:color="auto" w:sz="4" w:space="0"/>
              <w:right w:val="single" w:color="000000" w:sz="4" w:space="0"/>
            </w:tcBorders>
            <w:noWrap w:val="0"/>
            <w:vAlign w:val="center"/>
          </w:tcPr>
          <w:p>
            <w:pPr>
              <w:pageBreakBefore w:val="0"/>
              <w:widowControl/>
              <w:topLinePunct w:val="0"/>
              <w:bidi w:val="0"/>
              <w:spacing w:line="400" w:lineRule="exac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·填写“上海地区PET考试缺考及违规违纪记录单”，两位监考均需签名</w:t>
            </w:r>
          </w:p>
        </w:tc>
      </w:tr>
      <w:tr>
        <w:tblPrEx>
          <w:tblCellMar>
            <w:top w:w="0" w:type="dxa"/>
            <w:left w:w="108" w:type="dxa"/>
            <w:bottom w:w="0" w:type="dxa"/>
            <w:right w:w="108" w:type="dxa"/>
          </w:tblCellMar>
        </w:tblPrEx>
        <w:trPr>
          <w:trHeight w:val="270" w:hRule="atLeast"/>
        </w:trPr>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42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1700" w:type="dxa"/>
            <w:gridSpan w:val="2"/>
            <w:tcBorders>
              <w:top w:val="single" w:color="auto" w:sz="4" w:space="0"/>
              <w:left w:val="nil"/>
              <w:bottom w:val="single" w:color="auto" w:sz="4" w:space="0"/>
              <w:right w:val="single" w:color="000000" w:sz="4" w:space="0"/>
            </w:tcBorders>
            <w:noWrap w:val="0"/>
            <w:vAlign w:val="center"/>
          </w:tcPr>
          <w:p>
            <w:pPr>
              <w:pageBreakBefore w:val="0"/>
              <w:widowControl/>
              <w:topLinePunct w:val="0"/>
              <w:bidi w:val="0"/>
              <w:spacing w:line="400" w:lineRule="exac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·填写试卷袋上有关信息，两位监考均需签名</w:t>
            </w:r>
          </w:p>
        </w:tc>
      </w:tr>
      <w:tr>
        <w:tblPrEx>
          <w:tblCellMar>
            <w:top w:w="0" w:type="dxa"/>
            <w:left w:w="108" w:type="dxa"/>
            <w:bottom w:w="0" w:type="dxa"/>
            <w:right w:w="108" w:type="dxa"/>
          </w:tblCellMar>
        </w:tblPrEx>
        <w:trPr>
          <w:trHeight w:val="270" w:hRule="atLeast"/>
        </w:trPr>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76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420"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spacing w:line="400" w:lineRule="exact"/>
              <w:jc w:val="left"/>
              <w:outlineLvl w:val="9"/>
              <w:rPr>
                <w:rFonts w:hint="eastAsia" w:ascii="仿宋" w:hAnsi="仿宋" w:eastAsia="仿宋" w:cs="仿宋"/>
                <w:color w:val="000000"/>
                <w:kern w:val="0"/>
                <w:szCs w:val="21"/>
              </w:rPr>
            </w:pPr>
          </w:p>
        </w:tc>
        <w:tc>
          <w:tcPr>
            <w:tcW w:w="11700" w:type="dxa"/>
            <w:gridSpan w:val="2"/>
            <w:tcBorders>
              <w:top w:val="single" w:color="auto" w:sz="4" w:space="0"/>
              <w:left w:val="nil"/>
              <w:bottom w:val="single" w:color="auto" w:sz="4" w:space="0"/>
              <w:right w:val="single" w:color="000000" w:sz="4" w:space="0"/>
            </w:tcBorders>
            <w:noWrap w:val="0"/>
            <w:vAlign w:val="center"/>
          </w:tcPr>
          <w:p>
            <w:pPr>
              <w:pageBreakBefore w:val="0"/>
              <w:widowControl/>
              <w:topLinePunct w:val="0"/>
              <w:bidi w:val="0"/>
              <w:spacing w:line="400" w:lineRule="exact"/>
              <w:outlineLvl w:val="9"/>
              <w:rPr>
                <w:rFonts w:hint="eastAsia" w:ascii="仿宋" w:hAnsi="仿宋" w:eastAsia="仿宋" w:cs="仿宋"/>
                <w:color w:val="000000"/>
                <w:kern w:val="0"/>
                <w:szCs w:val="21"/>
              </w:rPr>
            </w:pPr>
            <w:r>
              <w:rPr>
                <w:rFonts w:hint="eastAsia" w:ascii="仿宋" w:hAnsi="仿宋" w:eastAsia="仿宋" w:cs="仿宋"/>
                <w:color w:val="000000"/>
                <w:kern w:val="0"/>
                <w:szCs w:val="21"/>
              </w:rPr>
              <w:t>·两位监考一起将试题册、答题卡及考务材料交回考务办</w:t>
            </w:r>
          </w:p>
        </w:tc>
      </w:tr>
    </w:tbl>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sectPr>
          <w:pgSz w:w="16838" w:h="11906" w:orient="landscape"/>
          <w:pgMar w:top="1134" w:right="1134" w:bottom="1134" w:left="1134" w:header="851" w:footer="992" w:gutter="0"/>
          <w:pgNumType w:fmt="decimal"/>
          <w:cols w:space="425" w:num="1"/>
          <w:docGrid w:type="lines" w:linePitch="312" w:charSpace="0"/>
        </w:sectPr>
      </w:pPr>
    </w:p>
    <w:p>
      <w:pPr>
        <w:pageBreakBefore w:val="0"/>
        <w:topLinePunct w:val="0"/>
        <w:bidi w:val="0"/>
        <w:spacing w:line="400" w:lineRule="exact"/>
        <w:jc w:val="left"/>
        <w:outlineLvl w:val="9"/>
        <w:rPr>
          <w:rFonts w:hint="eastAsia" w:ascii="仿宋" w:hAnsi="仿宋" w:eastAsia="仿宋" w:cs="仿宋"/>
          <w:b/>
          <w:bCs/>
          <w:color w:val="000000"/>
          <w:szCs w:val="21"/>
        </w:rPr>
      </w:pPr>
      <w:r>
        <w:rPr>
          <w:rFonts w:hint="eastAsia" w:ascii="仿宋" w:hAnsi="仿宋" w:eastAsia="仿宋" w:cs="仿宋"/>
          <w:b/>
          <w:bCs/>
          <w:color w:val="000000"/>
          <w:szCs w:val="21"/>
        </w:rPr>
        <w:t>附件3</w:t>
      </w:r>
    </w:p>
    <w:p>
      <w:pPr>
        <w:pageBreakBefore w:val="0"/>
        <w:topLinePunct w:val="0"/>
        <w:bidi w:val="0"/>
        <w:spacing w:line="400" w:lineRule="exact"/>
        <w:jc w:val="center"/>
        <w:outlineLvl w:val="9"/>
        <w:rPr>
          <w:rFonts w:hint="eastAsia" w:ascii="仿宋" w:hAnsi="仿宋" w:eastAsia="仿宋" w:cs="仿宋"/>
          <w:b/>
          <w:bCs/>
          <w:color w:val="000000"/>
          <w:szCs w:val="21"/>
        </w:rPr>
      </w:pPr>
      <w:r>
        <w:rPr>
          <w:rFonts w:hint="eastAsia" w:ascii="仿宋" w:hAnsi="仿宋" w:eastAsia="仿宋" w:cs="仿宋"/>
          <w:b/>
          <w:bCs/>
          <w:color w:val="000000"/>
          <w:szCs w:val="21"/>
        </w:rPr>
        <w:t>校外考试监考员守则</w:t>
      </w:r>
    </w:p>
    <w:p>
      <w:pPr>
        <w:pageBreakBefore w:val="0"/>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1．必须以高度的责任感和熟练的业务技能做好考场的监督、检查工作,严格维护考场纪律、制止违纪作弊行为,确保考试公正、顺利地进行。</w:t>
      </w:r>
    </w:p>
    <w:p>
      <w:pPr>
        <w:pageBreakBefore w:val="0"/>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2．考前必须参加培训,认真学习有关考试的政策、法规,熟悉监考业务。未经培训或培训考核不合格者不得承担监考工作。</w:t>
      </w:r>
    </w:p>
    <w:p>
      <w:pPr>
        <w:pageBreakBefore w:val="0"/>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3．在履行监考职责时必须佩带规定标志,严格遵守考点考试作息制度,不迟到、不早退,不擅离职守,手机必须关机。</w:t>
      </w:r>
    </w:p>
    <w:p>
      <w:pPr>
        <w:pageBreakBefore w:val="0"/>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4．笔试考试考前领取试卷必须严格履行交接手续，认真核对考试级别、语种、密封情况,发现异常情况应立即向考点主考报告；上机考试耐心等待巡考给予的本场考试密码，并在规定时间内把密码公布给学生。</w:t>
      </w:r>
    </w:p>
    <w:p>
      <w:pPr>
        <w:pageBreakBefore w:val="0"/>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5．在考生入场前检查、整理考场。CET与PET考试结束前,未经主考同意,不得擅自离开考场。</w:t>
      </w:r>
    </w:p>
    <w:p>
      <w:pPr>
        <w:pageBreakBefore w:val="0"/>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6. 入场时认真检查每一位考生的准考证和有效身份证件等统一规定的证件是否齐全,证件上的照片与本人是否相符,准考证上的考场号等是否与本考场相符,并要求考生在考场座位表上自己的姓名后签字。考生入场时间开始15分钟后,监考员禁止迟到考生入场，为全体考生宣读考生须知。</w:t>
      </w:r>
    </w:p>
    <w:p>
      <w:pPr>
        <w:pageBreakBefore w:val="0"/>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7．严格遵守考试时间,不得擅自提前或拖延考试开始和结束时间。</w:t>
      </w:r>
    </w:p>
    <w:p>
      <w:pPr>
        <w:pageBreakBefore w:val="0"/>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8．试卷启封后,如发现试卷由差错,笔试试卷遇有漏印、重印、错印的试卷时,应立即通过教务工作人员向考点主考报告,保证考试正常实施。</w:t>
      </w:r>
    </w:p>
    <w:p>
      <w:pPr>
        <w:pageBreakBefore w:val="0"/>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9．考点开始考试的统一信号发出时,向考生宣布考试开始。</w:t>
      </w:r>
    </w:p>
    <w:p>
      <w:pPr>
        <w:pageBreakBefore w:val="0"/>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10．听力部分考试进行时,原则上不得在考场内走动,以免影响考试。</w:t>
      </w:r>
    </w:p>
    <w:p>
      <w:pPr>
        <w:pageBreakBefore w:val="0"/>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11. 不得向考生解释任何有关试题内容的问题,对试卷印刷不清之处所提出的询问,应当众答复,试题有更正时按主考指令应当众板书公布。</w:t>
      </w:r>
    </w:p>
    <w:p>
      <w:pPr>
        <w:pageBreakBefore w:val="0"/>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12．认真监督考生考试,制止考生违反考试纪律的行为,不得隐瞒袒护。必须将违纪考生的情况如实填入考场记录单和违纪舞弊情况记录单交要求考生签字确认,没收的违纪证据,应附在考场记录单后。对扰乱考场秩序者可以直接逐出考场,并报告考点主考及时处理,记入考场记录单。在交试卷袋时一同将考试记录单交考试工作人员。</w:t>
      </w:r>
    </w:p>
    <w:p>
      <w:pPr>
        <w:pageBreakBefore w:val="0"/>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13．对考生既要严格执行纪律,又要耐心热情,不要因执行纪律而影响考场</w:t>
      </w:r>
    </w:p>
    <w:p>
      <w:pPr>
        <w:pageBreakBefore w:val="0"/>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14．有权制止除佩带规定标志以外的任何人进入考场,有权制止未经市自考办允许的任何人在考场内照相、录像。</w:t>
      </w:r>
    </w:p>
    <w:p>
      <w:pPr>
        <w:pageBreakBefore w:val="0"/>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15．在考场内应集中精力,严肃认真,忠于职守,不得做与监考无关的事情（如吸烟、阅读书报、谈笑、睡觉、抄做试题、打游戏、上网等）。</w:t>
      </w:r>
    </w:p>
    <w:p>
      <w:pPr>
        <w:pageBreakBefore w:val="0"/>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16．不得监守自盗,不准暗示、协助或支持考生违规,不得拆封缺考考生和多余的空白试卷,不得以任何理由私留、复制试卷,也不得指使他人进行以上违规行为。监考员违规的,视其情节将按有关规定给予处分,触犯刑律的,移送司法机关处理。</w:t>
      </w:r>
    </w:p>
    <w:p>
      <w:pPr>
        <w:pageBreakBefore w:val="0"/>
        <w:topLinePunct w:val="0"/>
        <w:bidi w:val="0"/>
        <w:spacing w:line="400" w:lineRule="exact"/>
        <w:jc w:val="left"/>
        <w:outlineLvl w:val="9"/>
        <w:rPr>
          <w:rFonts w:hint="eastAsia" w:ascii="仿宋" w:hAnsi="仿宋" w:eastAsia="仿宋" w:cs="仿宋"/>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p>
    <w:p>
      <w:pPr>
        <w:pageBreakBefore w:val="0"/>
        <w:topLinePunct w:val="0"/>
        <w:bidi w:val="0"/>
        <w:spacing w:line="400" w:lineRule="exact"/>
        <w:jc w:val="left"/>
        <w:outlineLvl w:val="9"/>
        <w:rPr>
          <w:rFonts w:hint="eastAsia" w:ascii="仿宋" w:hAnsi="仿宋" w:eastAsia="仿宋" w:cs="仿宋"/>
          <w:b/>
          <w:bCs/>
          <w:color w:val="000000"/>
          <w:szCs w:val="21"/>
        </w:rPr>
      </w:pPr>
      <w:r>
        <w:rPr>
          <w:rFonts w:hint="eastAsia" w:ascii="仿宋" w:hAnsi="仿宋" w:eastAsia="仿宋" w:cs="仿宋"/>
          <w:b/>
          <w:bCs/>
          <w:color w:val="000000"/>
          <w:szCs w:val="21"/>
        </w:rPr>
        <w:t>附件4</w:t>
      </w:r>
    </w:p>
    <w:p>
      <w:pPr>
        <w:pageBreakBefore w:val="0"/>
        <w:topLinePunct w:val="0"/>
        <w:bidi w:val="0"/>
        <w:spacing w:line="400" w:lineRule="exact"/>
        <w:jc w:val="center"/>
        <w:outlineLvl w:val="9"/>
        <w:rPr>
          <w:rFonts w:hint="eastAsia" w:ascii="仿宋" w:hAnsi="仿宋" w:eastAsia="仿宋" w:cs="仿宋"/>
          <w:b/>
          <w:bCs/>
          <w:color w:val="000000"/>
          <w:szCs w:val="21"/>
        </w:rPr>
      </w:pPr>
      <w:r>
        <w:rPr>
          <w:rFonts w:hint="eastAsia" w:ascii="仿宋" w:hAnsi="仿宋" w:eastAsia="仿宋" w:cs="仿宋"/>
          <w:b/>
          <w:bCs/>
          <w:color w:val="000000"/>
          <w:szCs w:val="21"/>
        </w:rPr>
        <w:t>校外考试考生守则</w:t>
      </w:r>
    </w:p>
    <w:p>
      <w:pPr>
        <w:pageBreakBefore w:val="0"/>
        <w:widowControl/>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1．必须按准考证规定的时间入场，入场开始15分钟后迟到考生禁止入场。考生入场时必须主动出示准考证以及有效身份证件，接受考试工作人员核验，并按要求在考场座位表上签名。</w:t>
      </w:r>
    </w:p>
    <w:p>
      <w:pPr>
        <w:pageBreakBefore w:val="0"/>
        <w:widowControl/>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2．只准携带必要的文具入场，如2B铅笔（涂答题卡用）、黑色签字笔、橡皮、直尺。禁止携带任何书籍、笔记、资料、报刊、草稿纸以及各种无线通信工具（如寻呼机、移动电话）、录放音机、电子记事本、U盘等物品。考场内不得擅自相互借用文具。</w:t>
      </w:r>
    </w:p>
    <w:p>
      <w:pPr>
        <w:pageBreakBefore w:val="0"/>
        <w:widowControl/>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3．入场后，要对号入座，将本人准考证以及有效身份证件放在课桌上，以便核验。</w:t>
      </w:r>
    </w:p>
    <w:p>
      <w:pPr>
        <w:pageBreakBefore w:val="0"/>
        <w:widowControl/>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4．笔试答题前应认真填写答题卡中的姓名、准考证号等栏目。凡答题卡中该栏目漏填涂、错填涂或字迹不清、无法辨认的，答题卡一律无效；上机考试则需按照要求在电脑上正确的输入自己准考证号、身份证号码与考场密码才能进入考试系统。</w:t>
      </w:r>
    </w:p>
    <w:p>
      <w:pPr>
        <w:pageBreakBefore w:val="0"/>
        <w:widowControl/>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5．CET与PET考试除有特殊原因，在考试结束前禁止提前退场。</w:t>
      </w:r>
    </w:p>
    <w:p>
      <w:pPr>
        <w:pageBreakBefore w:val="0"/>
        <w:widowControl/>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6．必须严格按要求做答题目。笔试答题的书写部分一律用黑色签字笔做答，填涂信息点时只能用铅笔（2B）涂黑，只能在规定考生做答的位置书写或填涂信息点，不按规定要求填涂和做答的，一律无效；上机考试请仔细阅读题目，根据题目的要求保存正确的格式、大小与地方，因自身原因或不当操作导致做完的题目无法上传或试题遗失者，后果自负。</w:t>
      </w:r>
    </w:p>
    <w:p>
      <w:pPr>
        <w:pageBreakBefore w:val="0"/>
        <w:widowControl/>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7．上机考试中严禁考生在考试间玩游戏与使用可存储的工具，一经查出按照违规处理。</w:t>
      </w:r>
    </w:p>
    <w:p>
      <w:pPr>
        <w:pageBreakBefore w:val="0"/>
        <w:widowControl/>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8．笔试考试遇试卷分发错误或试题字迹不清等情况应及时要求更换；涉及试题内容的疑问，不得向监考员询问。</w:t>
      </w:r>
    </w:p>
    <w:p>
      <w:pPr>
        <w:pageBreakBefore w:val="0"/>
        <w:widowControl/>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9．在考场内必须严格遵守考场纪律，对于违反考场规定和不服从考试工作人员管理者，取消考试成绩并按校纪校规处理。</w:t>
      </w:r>
    </w:p>
    <w:p>
      <w:pPr>
        <w:pageBreakBefore w:val="0"/>
        <w:widowControl/>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10．考试结束铃声响时，要立即停止答题，笔试考试将试卷扣放在桌面上，待监考员允许后方可离开考场，离开考场时必须交卷，不准携带试卷、答题卡离开考场；上机考试必须按照操作要求点击交卷离场，上传文件，屏幕出现规定的画面，并在监考员下达可以离场的通知时，方可离场。</w:t>
      </w:r>
    </w:p>
    <w:p>
      <w:pPr>
        <w:pageBreakBefore w:val="0"/>
        <w:widowControl/>
        <w:topLinePunct w:val="0"/>
        <w:bidi w:val="0"/>
        <w:spacing w:line="400" w:lineRule="exact"/>
        <w:jc w:val="left"/>
        <w:outlineLvl w:val="9"/>
        <w:rPr>
          <w:rFonts w:hint="eastAsia" w:ascii="仿宋" w:hAnsi="仿宋" w:eastAsia="仿宋" w:cs="仿宋"/>
          <w:color w:val="000000"/>
          <w:szCs w:val="21"/>
        </w:rPr>
      </w:pPr>
      <w:r>
        <w:rPr>
          <w:rFonts w:hint="eastAsia" w:ascii="仿宋" w:hAnsi="仿宋" w:eastAsia="仿宋" w:cs="仿宋"/>
          <w:color w:val="000000"/>
          <w:szCs w:val="21"/>
        </w:rPr>
        <w:t>11．自觉服从考试工作人员的管理，不得以任何理由妨碍监考员进行正常工作。监考员有权对考场内发生的问题，按规定作出相应处理。对扰乱考场秩序，恐吓、威胁考试工作人员的考生将移交公安机关追究其责任。</w:t>
      </w:r>
    </w:p>
    <w:p>
      <w:pPr>
        <w:pageBreakBefore w:val="0"/>
        <w:topLinePunct w:val="0"/>
        <w:bidi w:val="0"/>
        <w:spacing w:line="400" w:lineRule="exact"/>
        <w:jc w:val="left"/>
        <w:outlineLvl w:val="9"/>
        <w:rPr>
          <w:rFonts w:hint="eastAsia" w:ascii="仿宋" w:hAnsi="仿宋" w:eastAsia="仿宋" w:cs="仿宋"/>
          <w:color w:val="000000"/>
          <w:szCs w:val="21"/>
        </w:rPr>
      </w:pPr>
    </w:p>
    <w:p>
      <w:pPr>
        <w:pageBreakBefore w:val="0"/>
        <w:topLinePunct w:val="0"/>
        <w:bidi w:val="0"/>
        <w:spacing w:line="400" w:lineRule="exact"/>
        <w:jc w:val="left"/>
        <w:outlineLvl w:val="9"/>
        <w:rPr>
          <w:rFonts w:hint="eastAsia" w:ascii="仿宋" w:hAnsi="仿宋" w:eastAsia="仿宋" w:cs="仿宋"/>
          <w:color w:val="000000"/>
          <w:szCs w:val="21"/>
        </w:rPr>
      </w:pPr>
    </w:p>
    <w:p>
      <w:pPr>
        <w:pageBreakBefore w:val="0"/>
        <w:topLinePunct w:val="0"/>
        <w:bidi w:val="0"/>
        <w:spacing w:line="400" w:lineRule="exact"/>
        <w:outlineLvl w:val="9"/>
        <w:rPr>
          <w:rFonts w:hint="eastAsia" w:ascii="仿宋" w:hAnsi="仿宋" w:eastAsia="仿宋" w:cs="仿宋"/>
          <w:color w:val="000000"/>
          <w:szCs w:val="21"/>
        </w:rPr>
      </w:pPr>
    </w:p>
    <w:p>
      <w:pPr>
        <w:pageBreakBefore w:val="0"/>
        <w:tabs>
          <w:tab w:val="left" w:pos="1630"/>
        </w:tabs>
        <w:topLinePunct w:val="0"/>
        <w:bidi w:val="0"/>
        <w:jc w:val="left"/>
        <w:outlineLvl w:val="9"/>
        <w:rPr>
          <w:rFonts w:hint="eastAsia" w:ascii="仿宋" w:hAnsi="仿宋" w:eastAsia="仿宋" w:cs="仿宋"/>
          <w:color w:val="000000"/>
          <w:szCs w:val="21"/>
        </w:rPr>
      </w:pPr>
      <w:r>
        <w:rPr>
          <w:rFonts w:hint="eastAsia" w:ascii="仿宋" w:hAnsi="仿宋" w:eastAsia="仿宋" w:cs="仿宋"/>
          <w:color w:val="000000"/>
          <w:szCs w:val="21"/>
        </w:rPr>
        <w:tab/>
      </w: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r>
        <w:rPr>
          <w:rFonts w:hint="eastAsia" w:ascii="仿宋" w:hAnsi="仿宋" w:eastAsia="仿宋" w:cs="仿宋"/>
          <w:b/>
          <w:bCs/>
          <w:color w:val="000000"/>
          <w:szCs w:val="21"/>
        </w:rPr>
        <w:t>附件5</w:t>
      </w:r>
    </w:p>
    <w:p>
      <w:pPr>
        <w:pageBreakBefore w:val="0"/>
        <w:topLinePunct w:val="0"/>
        <w:bidi w:val="0"/>
        <w:spacing w:line="440" w:lineRule="exact"/>
        <w:jc w:val="center"/>
        <w:outlineLvl w:val="9"/>
        <w:rPr>
          <w:rFonts w:hint="eastAsia" w:ascii="仿宋" w:hAnsi="仿宋" w:eastAsia="仿宋" w:cs="仿宋"/>
          <w:b/>
          <w:color w:val="000000"/>
          <w:szCs w:val="28"/>
        </w:rPr>
      </w:pPr>
      <w:r>
        <w:rPr>
          <w:rFonts w:hint="eastAsia" w:ascii="仿宋" w:hAnsi="仿宋" w:eastAsia="仿宋" w:cs="仿宋"/>
          <w:b/>
          <w:color w:val="000000"/>
          <w:szCs w:val="28"/>
        </w:rPr>
        <w:t>普通话测试工作人员职责</w:t>
      </w:r>
    </w:p>
    <w:p>
      <w:pPr>
        <w:pageBreakBefore w:val="0"/>
        <w:topLinePunct w:val="0"/>
        <w:bidi w:val="0"/>
        <w:spacing w:line="440" w:lineRule="exact"/>
        <w:jc w:val="center"/>
        <w:outlineLvl w:val="9"/>
        <w:rPr>
          <w:rFonts w:hint="eastAsia" w:ascii="仿宋" w:hAnsi="仿宋" w:eastAsia="仿宋" w:cs="仿宋"/>
          <w:b/>
          <w:color w:val="000000"/>
          <w:szCs w:val="28"/>
        </w:rPr>
      </w:pPr>
    </w:p>
    <w:p>
      <w:pPr>
        <w:pageBreakBefore w:val="0"/>
        <w:topLinePunct w:val="0"/>
        <w:bidi w:val="0"/>
        <w:spacing w:line="440" w:lineRule="exact"/>
        <w:jc w:val="center"/>
        <w:outlineLvl w:val="9"/>
        <w:rPr>
          <w:rFonts w:hint="eastAsia" w:ascii="仿宋" w:hAnsi="仿宋" w:eastAsia="仿宋" w:cs="仿宋"/>
          <w:b/>
          <w:color w:val="000000"/>
          <w:sz w:val="28"/>
          <w:szCs w:val="28"/>
        </w:rPr>
      </w:pPr>
      <w:r>
        <w:rPr>
          <w:rFonts w:hint="eastAsia" w:ascii="仿宋" w:hAnsi="仿宋" w:eastAsia="仿宋" w:cs="仿宋"/>
          <w:b/>
          <w:color w:val="000000"/>
          <w:szCs w:val="28"/>
        </w:rPr>
        <w:t>一、报到室工作人员职责</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1．熟悉计算机辅助测试《应试指南》和《应试注意事项》，能解答应试人关于计算机辅助测试的有关问题，并提醒应试人员仔细阅读。</w:t>
      </w:r>
    </w:p>
    <w:p>
      <w:pPr>
        <w:pageBreakBefore w:val="0"/>
        <w:topLinePunct w:val="0"/>
        <w:bidi w:val="0"/>
        <w:spacing w:line="400" w:lineRule="exact"/>
        <w:outlineLvl w:val="9"/>
        <w:rPr>
          <w:rFonts w:hint="eastAsia" w:ascii="仿宋" w:hAnsi="仿宋" w:eastAsia="仿宋" w:cs="仿宋"/>
          <w:b/>
          <w:color w:val="000000"/>
          <w:szCs w:val="28"/>
        </w:rPr>
      </w:pPr>
      <w:r>
        <w:rPr>
          <w:rFonts w:hint="eastAsia" w:ascii="仿宋" w:hAnsi="仿宋" w:eastAsia="仿宋" w:cs="仿宋"/>
          <w:color w:val="000000"/>
          <w:szCs w:val="28"/>
        </w:rPr>
        <w:t>2．领取器材，熟悉考区。</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3. 收取《准考证》，查验身份证、学生证。</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 xml:space="preserve">    根据应试人报到的先后顺序收取准考证，同时核对身份证、学生证及照片，姓名或身份证号码有误的，在《信息更正单》上做记录。</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4. 编组。（</w:t>
      </w:r>
      <w:r>
        <w:rPr>
          <w:rFonts w:hint="eastAsia" w:ascii="仿宋" w:hAnsi="仿宋" w:eastAsia="仿宋" w:cs="仿宋"/>
          <w:b/>
          <w:color w:val="000000"/>
          <w:szCs w:val="28"/>
        </w:rPr>
        <w:t>全部使用报到系统进行编组</w:t>
      </w:r>
      <w:r>
        <w:rPr>
          <w:rFonts w:hint="eastAsia" w:ascii="仿宋" w:hAnsi="仿宋" w:eastAsia="仿宋" w:cs="仿宋"/>
          <w:color w:val="000000"/>
          <w:szCs w:val="28"/>
        </w:rPr>
        <w:t>）</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 xml:space="preserve">    考生依次在身份证读卡器上刷身份证，满一批后由报到系统生成座位号，工作人员在《准考证》上填写考试批次和机位号，打印每批次座位号，将生成的座位号投影在大屏幕上。</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5. 按机位号列队。</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 xml:space="preserve">    根据分组名单按批次组织应试人排队，并引导应试人进入准备室。</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6. 维持秩序。</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7. 根据实际情况需要对考生作相关提示。</w:t>
      </w:r>
    </w:p>
    <w:p>
      <w:pPr>
        <w:pageBreakBefore w:val="0"/>
        <w:topLinePunct w:val="0"/>
        <w:bidi w:val="0"/>
        <w:spacing w:line="400" w:lineRule="exact"/>
        <w:ind w:firstLine="422" w:firstLineChars="200"/>
        <w:outlineLvl w:val="9"/>
        <w:rPr>
          <w:rFonts w:hint="eastAsia" w:ascii="仿宋" w:hAnsi="仿宋" w:eastAsia="仿宋" w:cs="仿宋"/>
          <w:b/>
          <w:color w:val="000000"/>
          <w:sz w:val="28"/>
          <w:szCs w:val="28"/>
        </w:rPr>
      </w:pPr>
      <w:r>
        <w:rPr>
          <w:rFonts w:hint="eastAsia" w:ascii="仿宋" w:hAnsi="仿宋" w:eastAsia="仿宋" w:cs="仿宋"/>
          <w:b/>
          <w:color w:val="000000"/>
          <w:szCs w:val="28"/>
        </w:rPr>
        <w:t>如提示：</w:t>
      </w:r>
      <w:r>
        <w:rPr>
          <w:rFonts w:hint="eastAsia" w:ascii="仿宋" w:hAnsi="仿宋" w:eastAsia="仿宋" w:cs="仿宋"/>
          <w:color w:val="000000"/>
          <w:szCs w:val="28"/>
        </w:rPr>
        <w:t>进入测试室后，请戴好耳机（麦克风戴在左耳，可作示范），话筒置于口腔前方偏下，点击“下一步”。语速适中，音量正常。输入准考证号最后四位后点击“确认”键，核对个人信息（姓名），信息无误的，点击“进入”，开始进行测试。测试时，不要说同测试内容无关的话。每一部分测试结束，请点击“下一题”进入下一部分的测试。说话项测试时，请注意页面下方的时间滚动条，根据所选话题说满三分钟，这部分是由人工进行评测的。测试结束，需经工作人员确认后，方可离开测试室。《准考证》由工作人员收取。</w:t>
      </w:r>
    </w:p>
    <w:p>
      <w:pPr>
        <w:pageBreakBefore w:val="0"/>
        <w:topLinePunct w:val="0"/>
        <w:bidi w:val="0"/>
        <w:spacing w:line="440" w:lineRule="exact"/>
        <w:jc w:val="center"/>
        <w:outlineLvl w:val="9"/>
        <w:rPr>
          <w:rFonts w:hint="eastAsia" w:ascii="仿宋" w:hAnsi="仿宋" w:eastAsia="仿宋" w:cs="仿宋"/>
          <w:b/>
          <w:color w:val="000000"/>
          <w:szCs w:val="28"/>
        </w:rPr>
      </w:pPr>
    </w:p>
    <w:p>
      <w:pPr>
        <w:pageBreakBefore w:val="0"/>
        <w:topLinePunct w:val="0"/>
        <w:bidi w:val="0"/>
        <w:spacing w:line="440" w:lineRule="exact"/>
        <w:jc w:val="center"/>
        <w:outlineLvl w:val="9"/>
        <w:rPr>
          <w:rFonts w:hint="eastAsia" w:ascii="仿宋" w:hAnsi="仿宋" w:eastAsia="仿宋" w:cs="仿宋"/>
          <w:b/>
          <w:color w:val="000000"/>
          <w:sz w:val="28"/>
          <w:szCs w:val="28"/>
        </w:rPr>
      </w:pPr>
      <w:r>
        <w:rPr>
          <w:rFonts w:hint="eastAsia" w:ascii="仿宋" w:hAnsi="仿宋" w:eastAsia="仿宋" w:cs="仿宋"/>
          <w:b/>
          <w:color w:val="000000"/>
          <w:szCs w:val="28"/>
        </w:rPr>
        <w:t>二、准备室工作人员职责</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1．熟悉计算机辅助测试《应试指南》和《应试注意事项》，能解答应试人关于计算机辅助测试的有关问题。</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2. 领取器材，熟悉考区。</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3. 按顺序放置席卡及试卷，核对试卷编号。</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4. 引导应试人员进入准备室并按顺序就座。</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5. 核对身份证、学生证和照片。</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6. 核对机位号（试卷、《准考证》、席卡）</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7. 相关注意事项告知应试人员：</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 xml:space="preserve">   ①不得翻阅个人携带的资料；请关闭手机。</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 xml:space="preserve">   ②请将《准考证》和身份证（原件）、学生证放在桌上，以便核对。</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 xml:space="preserve">   ③桌上的试卷为本次测试用卷，说话题必须在试卷提供的两个题目中任选一题进行准</w:t>
      </w:r>
    </w:p>
    <w:p>
      <w:pPr>
        <w:pageBreakBefore w:val="0"/>
        <w:topLinePunct w:val="0"/>
        <w:bidi w:val="0"/>
        <w:spacing w:line="400" w:lineRule="exact"/>
        <w:ind w:firstLine="420" w:firstLineChars="200"/>
        <w:outlineLvl w:val="9"/>
        <w:rPr>
          <w:rFonts w:hint="eastAsia" w:ascii="仿宋" w:hAnsi="仿宋" w:eastAsia="仿宋" w:cs="仿宋"/>
          <w:color w:val="000000"/>
          <w:szCs w:val="28"/>
        </w:rPr>
      </w:pPr>
      <w:r>
        <w:rPr>
          <w:rFonts w:hint="eastAsia" w:ascii="仿宋" w:hAnsi="仿宋" w:eastAsia="仿宋" w:cs="仿宋"/>
          <w:color w:val="000000"/>
          <w:szCs w:val="28"/>
        </w:rPr>
        <w:t xml:space="preserve"> 备。不得在试卷上作任何记号。全部准备时间在10分钟左右。</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 xml:space="preserve">   ④进入测试室进行测试时，请将《准考证》放在桌上，以便工作人员核对。</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 xml:space="preserve">   ⑤在准备及测试过程中，不得有任何作弊行为，否则作违反考试纪律处理。</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8. 播放准备室专用录音，如没有播放条件，请口述测试注意事项。</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9. 填写《准备室情况记录单》，并在《考生名单》上记录当天的实测人员。</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10. 准备结束，引导应试人员进入测试室。</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11. 维持秩序。</w:t>
      </w:r>
    </w:p>
    <w:p>
      <w:pPr>
        <w:pageBreakBefore w:val="0"/>
        <w:topLinePunct w:val="0"/>
        <w:bidi w:val="0"/>
        <w:spacing w:line="400" w:lineRule="exact"/>
        <w:outlineLvl w:val="9"/>
        <w:rPr>
          <w:rFonts w:hint="eastAsia" w:ascii="仿宋" w:hAnsi="仿宋" w:eastAsia="仿宋" w:cs="仿宋"/>
          <w:color w:val="000000"/>
          <w:szCs w:val="28"/>
        </w:rPr>
      </w:pPr>
    </w:p>
    <w:p>
      <w:pPr>
        <w:pageBreakBefore w:val="0"/>
        <w:topLinePunct w:val="0"/>
        <w:bidi w:val="0"/>
        <w:spacing w:line="440" w:lineRule="exact"/>
        <w:jc w:val="center"/>
        <w:outlineLvl w:val="9"/>
        <w:rPr>
          <w:rFonts w:hint="eastAsia" w:ascii="仿宋" w:hAnsi="仿宋" w:eastAsia="仿宋" w:cs="仿宋"/>
          <w:b/>
          <w:color w:val="000000"/>
          <w:sz w:val="28"/>
          <w:szCs w:val="28"/>
        </w:rPr>
      </w:pPr>
      <w:r>
        <w:rPr>
          <w:rFonts w:hint="eastAsia" w:ascii="仿宋" w:hAnsi="仿宋" w:eastAsia="仿宋" w:cs="仿宋"/>
          <w:b/>
          <w:color w:val="000000"/>
          <w:szCs w:val="28"/>
        </w:rPr>
        <w:t>三、领考人员职责</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1．熟悉计算机辅助测试《应试指南》和《应试注意事项》，能解答应试人关于计算机辅助测试的有关问题。</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2. 熟悉考区。</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3. 按批次准时到准备室将考生领到测试室。</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4. 提醒应试人前往测试室时不得相互交谈，不得翻阅资料，手机关机。</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5. 引导前一批应试人离开考区。</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6. 测试室内应试人进入第四部分测试时，领考员到准备室引导下一批应试人。</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7. 某批应试人应试时出现异常状况，如试音失败，领考员应安排该考生在楼道等候下一批重新测试，同时应立即通知报到室，下一批次该机位不安排应试人员。</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8. 维持楼道秩序。</w:t>
      </w:r>
    </w:p>
    <w:p>
      <w:pPr>
        <w:pageBreakBefore w:val="0"/>
        <w:topLinePunct w:val="0"/>
        <w:bidi w:val="0"/>
        <w:spacing w:line="440" w:lineRule="exact"/>
        <w:outlineLvl w:val="9"/>
        <w:rPr>
          <w:rFonts w:hint="eastAsia" w:ascii="仿宋" w:hAnsi="仿宋" w:eastAsia="仿宋" w:cs="仿宋"/>
          <w:color w:val="000000"/>
          <w:sz w:val="24"/>
        </w:rPr>
      </w:pPr>
    </w:p>
    <w:p>
      <w:pPr>
        <w:pageBreakBefore w:val="0"/>
        <w:topLinePunct w:val="0"/>
        <w:bidi w:val="0"/>
        <w:spacing w:line="440" w:lineRule="exact"/>
        <w:jc w:val="center"/>
        <w:outlineLvl w:val="9"/>
        <w:rPr>
          <w:rFonts w:hint="eastAsia" w:ascii="仿宋" w:hAnsi="仿宋" w:eastAsia="仿宋" w:cs="仿宋"/>
          <w:color w:val="000000"/>
          <w:sz w:val="24"/>
        </w:rPr>
      </w:pPr>
      <w:r>
        <w:rPr>
          <w:rFonts w:hint="eastAsia" w:ascii="仿宋" w:hAnsi="仿宋" w:eastAsia="仿宋" w:cs="仿宋"/>
          <w:b/>
          <w:color w:val="000000"/>
          <w:szCs w:val="28"/>
        </w:rPr>
        <w:t>四、楼道及出入口管理人员职责</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1. 熟悉计算机辅助测试《应试指南》和《应试注意事项》，能解答应试人关于计算机辅助测试的有关问题。</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2. 熟悉考区。</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3. 引导考生进入或离开相关区域</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4. 维持楼道及出入口秩序。</w:t>
      </w:r>
    </w:p>
    <w:p>
      <w:pPr>
        <w:pageBreakBefore w:val="0"/>
        <w:topLinePunct w:val="0"/>
        <w:bidi w:val="0"/>
        <w:spacing w:line="400" w:lineRule="exact"/>
        <w:outlineLvl w:val="9"/>
        <w:rPr>
          <w:rFonts w:hint="eastAsia" w:ascii="仿宋" w:hAnsi="仿宋" w:eastAsia="仿宋" w:cs="仿宋"/>
          <w:color w:val="000000"/>
          <w:sz w:val="24"/>
        </w:rPr>
      </w:pPr>
      <w:r>
        <w:rPr>
          <w:rFonts w:hint="eastAsia" w:ascii="仿宋" w:hAnsi="仿宋" w:eastAsia="仿宋" w:cs="仿宋"/>
          <w:color w:val="000000"/>
          <w:szCs w:val="28"/>
        </w:rPr>
        <w:t>5. 考区如发生突发事件，及时反馈至主考，并协助处置。</w:t>
      </w:r>
    </w:p>
    <w:p>
      <w:pPr>
        <w:pageBreakBefore w:val="0"/>
        <w:topLinePunct w:val="0"/>
        <w:bidi w:val="0"/>
        <w:spacing w:line="440" w:lineRule="exact"/>
        <w:outlineLvl w:val="9"/>
        <w:rPr>
          <w:rFonts w:hint="eastAsia" w:ascii="仿宋" w:hAnsi="仿宋" w:eastAsia="仿宋" w:cs="仿宋"/>
          <w:color w:val="000000"/>
          <w:sz w:val="24"/>
        </w:rPr>
      </w:pPr>
    </w:p>
    <w:p>
      <w:pPr>
        <w:pageBreakBefore w:val="0"/>
        <w:topLinePunct w:val="0"/>
        <w:bidi w:val="0"/>
        <w:spacing w:line="440" w:lineRule="exact"/>
        <w:jc w:val="center"/>
        <w:outlineLvl w:val="9"/>
        <w:rPr>
          <w:rFonts w:hint="eastAsia" w:ascii="仿宋" w:hAnsi="仿宋" w:eastAsia="仿宋" w:cs="仿宋"/>
          <w:color w:val="000000"/>
          <w:sz w:val="20"/>
        </w:rPr>
      </w:pPr>
      <w:r>
        <w:rPr>
          <w:rFonts w:hint="eastAsia" w:ascii="仿宋" w:hAnsi="仿宋" w:eastAsia="仿宋" w:cs="仿宋"/>
          <w:b/>
          <w:color w:val="000000"/>
          <w:szCs w:val="28"/>
        </w:rPr>
        <w:t>五、测试室工作人员职责</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1. 熟悉计算机辅助测试《应试指南》和《应试注意事项》。掌握国家普通话水平智能评测系统的功能及操作。</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2. 领取器材。</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3. 放置席卡，席卡号与计算机号一致。检查监考机与考试机是否运行正常，测试过程中随时注意各台计算机的外接电源。</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4. 引导应试人员按机位号就座；</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5. 检查准考证上的机位号是否与计算机号一致；</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6. 告知应试人注意事项：</w:t>
      </w:r>
    </w:p>
    <w:p>
      <w:pPr>
        <w:pageBreakBefore w:val="0"/>
        <w:topLinePunct w:val="0"/>
        <w:bidi w:val="0"/>
        <w:spacing w:line="400" w:lineRule="exact"/>
        <w:ind w:firstLine="210" w:firstLineChars="100"/>
        <w:outlineLvl w:val="9"/>
        <w:rPr>
          <w:rFonts w:hint="eastAsia" w:ascii="仿宋" w:hAnsi="仿宋" w:eastAsia="仿宋" w:cs="仿宋"/>
          <w:color w:val="000000"/>
          <w:szCs w:val="28"/>
        </w:rPr>
      </w:pPr>
      <w:r>
        <w:rPr>
          <w:rFonts w:hint="eastAsia" w:ascii="仿宋" w:hAnsi="仿宋" w:eastAsia="仿宋" w:cs="仿宋"/>
          <w:color w:val="000000"/>
          <w:szCs w:val="28"/>
        </w:rPr>
        <w:t>① 请应试人戴好耳机（麦克风戴在左耳），话筒置于口腔前方偏下，点击“下一步”；</w:t>
      </w:r>
    </w:p>
    <w:p>
      <w:pPr>
        <w:pageBreakBefore w:val="0"/>
        <w:topLinePunct w:val="0"/>
        <w:bidi w:val="0"/>
        <w:spacing w:line="400" w:lineRule="exact"/>
        <w:ind w:firstLine="210" w:firstLineChars="100"/>
        <w:outlineLvl w:val="9"/>
        <w:rPr>
          <w:rFonts w:hint="eastAsia" w:ascii="仿宋" w:hAnsi="仿宋" w:eastAsia="仿宋" w:cs="仿宋"/>
          <w:color w:val="000000"/>
          <w:szCs w:val="28"/>
        </w:rPr>
      </w:pPr>
      <w:r>
        <w:rPr>
          <w:rFonts w:hint="eastAsia" w:ascii="仿宋" w:hAnsi="仿宋" w:eastAsia="仿宋" w:cs="仿宋"/>
          <w:color w:val="000000"/>
          <w:szCs w:val="28"/>
        </w:rPr>
        <w:t>② 请输入准考证号最后四位，点击“确认”，核对信息，信息无误的，请点击“进入”，开始考试；</w:t>
      </w:r>
    </w:p>
    <w:p>
      <w:pPr>
        <w:pageBreakBefore w:val="0"/>
        <w:topLinePunct w:val="0"/>
        <w:bidi w:val="0"/>
        <w:spacing w:line="400" w:lineRule="exact"/>
        <w:ind w:firstLine="210" w:firstLineChars="100"/>
        <w:outlineLvl w:val="9"/>
        <w:rPr>
          <w:rFonts w:hint="eastAsia" w:ascii="仿宋" w:hAnsi="仿宋" w:eastAsia="仿宋" w:cs="仿宋"/>
          <w:color w:val="000000"/>
          <w:szCs w:val="28"/>
        </w:rPr>
      </w:pPr>
      <w:r>
        <w:rPr>
          <w:rFonts w:hint="eastAsia" w:ascii="仿宋" w:hAnsi="仿宋" w:eastAsia="仿宋" w:cs="仿宋"/>
          <w:color w:val="000000"/>
          <w:szCs w:val="28"/>
        </w:rPr>
        <w:t>③ 考试过程中，音量、速度适中，各部分请横着念，每一部分测试结束后可点击“下一题”进入下一部分的测试；</w:t>
      </w:r>
    </w:p>
    <w:p>
      <w:pPr>
        <w:pageBreakBefore w:val="0"/>
        <w:topLinePunct w:val="0"/>
        <w:bidi w:val="0"/>
        <w:spacing w:line="400" w:lineRule="exact"/>
        <w:ind w:firstLine="210" w:firstLineChars="100"/>
        <w:outlineLvl w:val="9"/>
        <w:rPr>
          <w:rFonts w:hint="eastAsia" w:ascii="仿宋" w:hAnsi="仿宋" w:eastAsia="仿宋" w:cs="仿宋"/>
          <w:color w:val="000000"/>
          <w:szCs w:val="28"/>
        </w:rPr>
      </w:pPr>
      <w:r>
        <w:rPr>
          <w:rFonts w:hint="eastAsia" w:ascii="仿宋" w:hAnsi="仿宋" w:eastAsia="仿宋" w:cs="仿宋"/>
          <w:color w:val="000000"/>
          <w:szCs w:val="28"/>
        </w:rPr>
        <w:t>④ 有问题可以举手示意；</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7. 测试开始，巡视考场，检查计算机运行是否正常。</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8. 每一批次说话项测试时，认真巡视，严防作弊。</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9. 测试过程中发现有异常情况须马上告知当天主考。</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10. 每批结束，检查数据正常，方可令应试人离开考场。</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 xml:space="preserve">11. 遇到评测失败的数据，则请该应试人留在考场外，同时检查该考生的录音数据，如四部分录音均清晰完整，则可令考生离开考区，如数据有问题，则与主考联系，马上安排该考生重测。 </w:t>
      </w:r>
    </w:p>
    <w:p>
      <w:pPr>
        <w:pageBreakBefore w:val="0"/>
        <w:topLinePunct w:val="0"/>
        <w:bidi w:val="0"/>
        <w:spacing w:line="400" w:lineRule="exact"/>
        <w:outlineLvl w:val="9"/>
        <w:rPr>
          <w:rFonts w:hint="eastAsia" w:ascii="仿宋" w:hAnsi="仿宋" w:eastAsia="仿宋" w:cs="仿宋"/>
          <w:color w:val="000000"/>
          <w:szCs w:val="28"/>
        </w:rPr>
      </w:pPr>
      <w:r>
        <w:rPr>
          <w:rFonts w:hint="eastAsia" w:ascii="仿宋" w:hAnsi="仿宋" w:eastAsia="仿宋" w:cs="仿宋"/>
          <w:color w:val="000000"/>
          <w:szCs w:val="28"/>
        </w:rPr>
        <w:t>12. 当天测试结束，统计测试人数，填写《测试室情况记录单》，测试过程中，任何异常情况均需详细记录。</w:t>
      </w:r>
    </w:p>
    <w:p>
      <w:pPr>
        <w:pageBreakBefore w:val="0"/>
        <w:topLinePunct w:val="0"/>
        <w:bidi w:val="0"/>
        <w:spacing w:line="400" w:lineRule="exact"/>
        <w:outlineLvl w:val="9"/>
        <w:rPr>
          <w:rFonts w:hint="eastAsia" w:ascii="仿宋" w:hAnsi="仿宋" w:eastAsia="仿宋" w:cs="仿宋"/>
          <w:color w:val="000000"/>
          <w:szCs w:val="28"/>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r>
        <w:rPr>
          <w:rFonts w:hint="eastAsia" w:ascii="仿宋" w:hAnsi="仿宋" w:eastAsia="仿宋" w:cs="仿宋"/>
          <w:b/>
          <w:bCs/>
          <w:color w:val="000000"/>
          <w:szCs w:val="21"/>
        </w:rPr>
        <w:t>附件6</w:t>
      </w:r>
    </w:p>
    <w:p>
      <w:pPr>
        <w:pStyle w:val="105"/>
        <w:pageBreakBefore w:val="0"/>
        <w:topLinePunct w:val="0"/>
        <w:bidi w:val="0"/>
        <w:snapToGrid w:val="0"/>
        <w:spacing w:before="0" w:beforeAutospacing="0" w:after="0" w:afterAutospacing="0" w:line="400" w:lineRule="exact"/>
        <w:jc w:val="center"/>
        <w:outlineLvl w:val="9"/>
        <w:rPr>
          <w:rFonts w:hint="eastAsia" w:ascii="仿宋" w:hAnsi="仿宋" w:eastAsia="仿宋" w:cs="仿宋"/>
          <w:b/>
          <w:color w:val="000000"/>
          <w:sz w:val="21"/>
          <w:szCs w:val="21"/>
        </w:rPr>
      </w:pPr>
      <w:bookmarkStart w:id="193" w:name="_Toc199643744"/>
      <w:r>
        <w:rPr>
          <w:rFonts w:hint="eastAsia" w:ascii="仿宋" w:hAnsi="仿宋" w:eastAsia="仿宋" w:cs="仿宋"/>
          <w:b/>
          <w:color w:val="000000"/>
          <w:sz w:val="21"/>
          <w:szCs w:val="21"/>
        </w:rPr>
        <w:t>考试违规认定与处理</w:t>
      </w:r>
      <w:bookmarkEnd w:id="193"/>
    </w:p>
    <w:p>
      <w:pPr>
        <w:pStyle w:val="105"/>
        <w:pageBreakBefore w:val="0"/>
        <w:topLinePunct w:val="0"/>
        <w:bidi w:val="0"/>
        <w:snapToGrid w:val="0"/>
        <w:spacing w:before="0" w:beforeAutospacing="0" w:after="0" w:afterAutospacing="0" w:line="400" w:lineRule="exact"/>
        <w:jc w:val="center"/>
        <w:outlineLvl w:val="9"/>
        <w:rPr>
          <w:rFonts w:hint="eastAsia" w:ascii="仿宋" w:hAnsi="仿宋" w:eastAsia="仿宋" w:cs="仿宋"/>
          <w:b/>
          <w:color w:val="000000"/>
          <w:sz w:val="21"/>
          <w:szCs w:val="21"/>
        </w:rPr>
      </w:pPr>
      <w:r>
        <w:rPr>
          <w:rFonts w:hint="eastAsia" w:ascii="仿宋" w:hAnsi="仿宋" w:eastAsia="仿宋" w:cs="仿宋"/>
          <w:b/>
          <w:color w:val="000000"/>
          <w:sz w:val="21"/>
          <w:szCs w:val="21"/>
        </w:rPr>
        <w:t>国家教育考试违规处理办法（教育部第33号令）节选</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第五条  考生不遵守考场纪律，不服从考试工作人员的安排与要求，有下列行为之一的，应当认定为考试违纪：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（一）携带规定以外的物品进入考场或者未放在指定位置的；</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（二）未在规定的座位参加考试的；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（三）考试开始信号发出前答题或者考试结束信号发出后继续答题的；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（四）在考试过程中旁窥、交头接耳、互打暗号或者手势的；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（五）在考场或者教育考试机构禁止的范围内，喧哗、吸烟或者实施其他影响考场秩序的行为的；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（六）未经考试工作人员同意在考试过程中擅自离开考场的；</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（七）将试卷、答卷（含答题卡、答题纸等，下同）、草稿纸等考试用纸带出考场的；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（八）用规定以外的笔或者纸答题或者在试卷规定以外的地方书写姓名、考号或者以其他方式在答卷上标记信息的；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（九）其他违反考场规则但尚未构成作弊的行为。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第六条 考生违背考试公平、公正原则，在考试过程中有下列行为之一的，应当认定为考试作弊：</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（一）携带与考试内容相关的材料或者存储有与考试内容相关资料的电子设备参加考试的；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（二）抄袭或者协助他人抄袭试题答案或者与考试内容相关的资料的；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（三）胁迫他人为自己抄袭提供方便的；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（四）携带具有发送或者接收信息功能的设备的；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（五）由他人冒名代替参加考试的；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（六）故意销毁试卷、答卷或者考试材料的；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（七）在答卷上填写与本人身份不符的姓名、考号等信息的；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（八）传、接物品或者交换试卷、答卷、草稿纸的；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（九）其他以不正当手段获得或者试图获得试题答案、考试成绩的行为。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第七条  教育考试机构、考试工作人员在考试过程中或者在考试结束后发现下列行为之一的，应当认定相关的考生实施了考试作弊行为：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（一）通过伪造证件、证明、档案及其他材料获得考试资格、加分资格和考试成绩的；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（二）评卷过程中被认定为答案雷同的；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（三）考场纪律混乱、考试秩序失控，出现大面积考试作弊现象的；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（四）考试工作人员协助实施作弊行为，事后查实的；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（五）其他应认定为作弊的行为。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第八条  考生及其他人员应当自觉维护考试工作场所的秩序，服从考试工作人员的管理，不得有下列扰乱考场及考试工作场所秩序的行为：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（一）故意扰乱考点、考场、评卷场所等考试工作场所秩序；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（二）拒绝、妨碍考试工作人员履行管理职责；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（三）威胁、侮辱、诽谤、诬陷或者以其他方式侵害考试工作人员、其他考生合法权益的行为；</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（四）故意损坏考场设施设备；</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（五）其他扰乱考试管理秩序的行为。 </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第九条 考生有第五条所列考试违纪行为之一的，取消该科目的考试成绩。</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考生有第六条、第七条所列考试作弊行为之一的，其所报名参加考试的各科、各阶段成绩无效；参加高等教育自学考试的，当次考试成绩各科成绩无效。</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有下列情形之一的，可以视情节轻重，同时给予暂停参加该项考试1至3年的处理；情节特别严重的，可以同时给予暂停参加各种国家教育考试1至3年的处理：</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（一）组织团伙作弊的；</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（二）向考场外发送、传递试题信息的；</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（三）使用相关设备接收信息实施作弊的；</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（四）伪造、变造身份证、准考证及其他证明材料，由他人代替或者代替考生参加考试的。</w:t>
      </w:r>
    </w:p>
    <w:p>
      <w:pPr>
        <w:pStyle w:val="105"/>
        <w:pageBreakBefore w:val="0"/>
        <w:topLinePunct w:val="0"/>
        <w:bidi w:val="0"/>
        <w:snapToGrid w:val="0"/>
        <w:spacing w:before="0" w:beforeAutospacing="0" w:after="0" w:afterAutospacing="0" w:line="400" w:lineRule="exact"/>
        <w:ind w:firstLine="48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参加高等教育自学考试的考生有前款严重作弊行为的，也可以给予延迟毕业时间1至3年的处理，延迟期间考试成绩无效。</w:t>
      </w:r>
    </w:p>
    <w:p>
      <w:pPr>
        <w:pStyle w:val="104"/>
        <w:pageBreakBefore w:val="0"/>
        <w:topLinePunct w:val="0"/>
        <w:bidi w:val="0"/>
        <w:snapToGrid w:val="0"/>
        <w:spacing w:before="0" w:beforeAutospacing="0" w:after="0" w:afterAutospacing="0" w:line="400" w:lineRule="exact"/>
        <w:ind w:firstLine="420" w:firstLineChars="20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第十条  考生有第八条所列行为之一的，应当终止其继续参加本科目考试，其当次报名参加考试的各科成绩无效；考生及其他人员的行为违反《中华人民共和国治安管理处罚法》的，由公安机关进行处理；构成犯罪的，由司法机关依法处理追究刑事责任。</w:t>
      </w:r>
    </w:p>
    <w:p>
      <w:pPr>
        <w:pStyle w:val="105"/>
        <w:pageBreakBefore w:val="0"/>
        <w:topLinePunct w:val="0"/>
        <w:bidi w:val="0"/>
        <w:snapToGrid w:val="0"/>
        <w:spacing w:before="0" w:beforeAutospacing="0" w:after="0" w:afterAutospacing="0" w:line="400" w:lineRule="exact"/>
        <w:ind w:firstLine="420" w:firstLineChars="20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第十一条  考生以作弊行为获得的考试成绩并由此取得相应的学位证书、学历证书及其他学业证书、资格资质证书或者入学资格的，由证书颁发机关宣布证书无效，责令收回证书或者予以没收；已经被录取或者入学的，由录取学校取消录取资格或者其学籍。 </w:t>
      </w:r>
    </w:p>
    <w:p>
      <w:pPr>
        <w:pStyle w:val="105"/>
        <w:pageBreakBefore w:val="0"/>
        <w:topLinePunct w:val="0"/>
        <w:bidi w:val="0"/>
        <w:snapToGrid w:val="0"/>
        <w:spacing w:before="0" w:beforeAutospacing="0" w:after="0" w:afterAutospacing="0" w:line="400" w:lineRule="exact"/>
        <w:ind w:firstLine="420" w:firstLineChars="20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第十二条 在校学生、在职教师有下列情形之一的，教育考试机构应当通报其所在学校，由学校根据有关规定严肃处理，直至开除学籍或者予以解聘：</w:t>
      </w:r>
    </w:p>
    <w:p>
      <w:pPr>
        <w:pStyle w:val="105"/>
        <w:pageBreakBefore w:val="0"/>
        <w:topLinePunct w:val="0"/>
        <w:bidi w:val="0"/>
        <w:snapToGrid w:val="0"/>
        <w:spacing w:before="0" w:beforeAutospacing="0" w:after="0" w:afterAutospacing="0" w:line="400" w:lineRule="exact"/>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    （一）代替考生或者由他人代替参加考试的；</w:t>
      </w:r>
    </w:p>
    <w:p>
      <w:pPr>
        <w:pStyle w:val="105"/>
        <w:pageBreakBefore w:val="0"/>
        <w:topLinePunct w:val="0"/>
        <w:bidi w:val="0"/>
        <w:snapToGrid w:val="0"/>
        <w:spacing w:before="0" w:beforeAutospacing="0" w:after="0" w:afterAutospacing="0" w:line="400" w:lineRule="exact"/>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    （二）组织团伙作弊的；</w:t>
      </w:r>
    </w:p>
    <w:p>
      <w:pPr>
        <w:pStyle w:val="105"/>
        <w:pageBreakBefore w:val="0"/>
        <w:topLinePunct w:val="0"/>
        <w:bidi w:val="0"/>
        <w:snapToGrid w:val="0"/>
        <w:spacing w:before="0" w:beforeAutospacing="0" w:after="0" w:afterAutospacing="0" w:line="400" w:lineRule="exact"/>
        <w:ind w:firstLine="420" w:firstLineChars="200"/>
        <w:outlineLvl w:val="9"/>
        <w:rPr>
          <w:rFonts w:hint="eastAsia" w:ascii="仿宋" w:hAnsi="仿宋" w:eastAsia="仿宋" w:cs="仿宋"/>
          <w:color w:val="000000"/>
          <w:sz w:val="21"/>
          <w:szCs w:val="21"/>
        </w:rPr>
      </w:pPr>
      <w:r>
        <w:rPr>
          <w:rFonts w:hint="eastAsia" w:ascii="仿宋" w:hAnsi="仿宋" w:eastAsia="仿宋" w:cs="仿宋"/>
          <w:color w:val="000000"/>
          <w:sz w:val="21"/>
          <w:szCs w:val="21"/>
        </w:rPr>
        <w:t xml:space="preserve">（三）为作弊组织者提供试题信息、答案及相应设备等参与团伙作弊行为的。 </w:t>
      </w:r>
    </w:p>
    <w:p>
      <w:pPr>
        <w:pageBreakBefore w:val="0"/>
        <w:topLinePunct w:val="0"/>
        <w:bidi w:val="0"/>
        <w:spacing w:line="400" w:lineRule="exact"/>
        <w:outlineLvl w:val="9"/>
        <w:rPr>
          <w:rFonts w:hint="eastAsia" w:ascii="仿宋" w:hAnsi="仿宋" w:eastAsia="仿宋" w:cs="仿宋"/>
          <w:color w:val="000000"/>
          <w:szCs w:val="21"/>
        </w:rPr>
      </w:pPr>
    </w:p>
    <w:p>
      <w:pPr>
        <w:pageBreakBefore w:val="0"/>
        <w:topLinePunct w:val="0"/>
        <w:bidi w:val="0"/>
        <w:spacing w:line="400" w:lineRule="exact"/>
        <w:outlineLvl w:val="9"/>
        <w:rPr>
          <w:rFonts w:hint="eastAsia" w:ascii="仿宋" w:hAnsi="仿宋" w:eastAsia="仿宋" w:cs="仿宋"/>
          <w:b/>
          <w:bCs/>
          <w:color w:val="000000"/>
          <w:szCs w:val="21"/>
        </w:rPr>
      </w:pPr>
      <w:r>
        <w:rPr>
          <w:rFonts w:hint="eastAsia" w:ascii="仿宋" w:hAnsi="仿宋" w:eastAsia="仿宋" w:cs="仿宋"/>
          <w:b/>
          <w:bCs/>
          <w:color w:val="000000"/>
          <w:szCs w:val="21"/>
        </w:rPr>
        <w:t>附件7</w:t>
      </w:r>
    </w:p>
    <w:p>
      <w:pPr>
        <w:pageBreakBefore w:val="0"/>
        <w:topLinePunct w:val="0"/>
        <w:bidi w:val="0"/>
        <w:spacing w:line="400" w:lineRule="exact"/>
        <w:jc w:val="center"/>
        <w:outlineLvl w:val="9"/>
        <w:rPr>
          <w:rFonts w:hint="eastAsia" w:ascii="仿宋" w:hAnsi="仿宋" w:eastAsia="仿宋" w:cs="仿宋"/>
          <w:b/>
          <w:color w:val="000000"/>
          <w:szCs w:val="21"/>
        </w:rPr>
      </w:pPr>
      <w:r>
        <w:rPr>
          <w:rFonts w:hint="eastAsia" w:ascii="仿宋" w:hAnsi="仿宋" w:eastAsia="仿宋" w:cs="仿宋"/>
          <w:b/>
          <w:color w:val="000000"/>
          <w:szCs w:val="21"/>
        </w:rPr>
        <w:t>关于办理高等学校英语应用能力考试、全国大学英语四、六级考试和上海市高等学校计算机等级考试成绩证明（成绩单）及成绩单信息错误更正的规定</w:t>
      </w:r>
    </w:p>
    <w:p>
      <w:pPr>
        <w:pageBreakBefore w:val="0"/>
        <w:topLinePunct w:val="0"/>
        <w:bidi w:val="0"/>
        <w:spacing w:line="400" w:lineRule="exact"/>
        <w:jc w:val="center"/>
        <w:outlineLvl w:val="9"/>
        <w:rPr>
          <w:rFonts w:hint="eastAsia" w:ascii="仿宋" w:hAnsi="仿宋" w:eastAsia="仿宋" w:cs="仿宋"/>
          <w:b/>
          <w:color w:val="000000"/>
          <w:szCs w:val="21"/>
        </w:rPr>
      </w:pP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为了维护考生利益，完善各类校外考试管理工作，根据高等学校英语应用能力考试委员会、全国大学英语四、六级考试委员会和上海市教育考试院的有关规定，结合我院实际情况，对高等学校英语应用能力考试（以下简称“PET”）、全国大学英语四、六级考试（以下简称“CET”）和上海市高等学校计算机等级考试（以下简称“上计考”）的成绩证明（成绩单）及成绩单信息错误更正等有关工作作如下规定：</w:t>
      </w:r>
    </w:p>
    <w:p>
      <w:pPr>
        <w:pageBreakBefore w:val="0"/>
        <w:widowControl/>
        <w:topLinePunct w:val="0"/>
        <w:bidi w:val="0"/>
        <w:spacing w:line="400" w:lineRule="exact"/>
        <w:ind w:firstLine="422" w:firstLineChars="200"/>
        <w:jc w:val="left"/>
        <w:outlineLvl w:val="9"/>
        <w:rPr>
          <w:rFonts w:hint="eastAsia" w:ascii="仿宋" w:hAnsi="仿宋" w:eastAsia="仿宋" w:cs="仿宋"/>
          <w:b/>
          <w:bCs/>
          <w:color w:val="000000"/>
          <w:szCs w:val="21"/>
        </w:rPr>
      </w:pPr>
      <w:r>
        <w:rPr>
          <w:rFonts w:hint="eastAsia" w:ascii="仿宋" w:hAnsi="仿宋" w:eastAsia="仿宋" w:cs="仿宋"/>
          <w:b/>
          <w:bCs/>
          <w:color w:val="000000"/>
          <w:szCs w:val="21"/>
        </w:rPr>
        <w:t xml:space="preserve"> 一、 关于办理成绩证明的规定</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 xml:space="preserve"> CET、PET 及上计考的成绩单遗失后可以办理成绩证明（成绩单），考生需按照不同受理机构的要求操作。教务处受理各类院校成绩证明办理时间为：每周一早上 08：00-11：00，下午 12：00-15：00。</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 xml:space="preserve"> 具体各类成绩证明的办理方式如下：</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（一）关于办理 CET 考试成绩证明的规定</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1．CET 成绩单遗失不予补发原件。但如需要可以申请补发 CET 考试成绩证明。</w:t>
      </w:r>
    </w:p>
    <w:p>
      <w:pPr>
        <w:pageBreakBefore w:val="0"/>
        <w:topLinePunct w:val="0"/>
        <w:bidi w:val="0"/>
        <w:spacing w:line="440" w:lineRule="exact"/>
        <w:ind w:firstLine="420" w:firstLineChars="200"/>
        <w:outlineLvl w:val="9"/>
        <w:rPr>
          <w:rFonts w:hint="eastAsia" w:ascii="仿宋" w:hAnsi="仿宋" w:eastAsia="仿宋" w:cs="仿宋"/>
          <w:color w:val="000000"/>
          <w:szCs w:val="21"/>
        </w:rPr>
      </w:pPr>
      <w:r>
        <w:rPr>
          <w:rFonts w:hint="eastAsia" w:ascii="仿宋" w:hAnsi="仿宋" w:eastAsia="仿宋" w:cs="仿宋"/>
          <w:color w:val="000000"/>
          <w:szCs w:val="21"/>
        </w:rPr>
        <w:t>2．</w:t>
      </w:r>
      <w:r>
        <w:rPr>
          <w:rFonts w:hint="eastAsia" w:ascii="仿宋" w:hAnsi="仿宋" w:eastAsia="仿宋" w:cs="仿宋"/>
          <w:color w:val="000000"/>
          <w:lang w:val="zh-CN"/>
        </w:rPr>
        <w:t>请考生登录中国教育考试网</w:t>
      </w:r>
      <w:r>
        <w:rPr>
          <w:rFonts w:hint="eastAsia" w:ascii="仿宋" w:hAnsi="仿宋" w:eastAsia="仿宋" w:cs="仿宋"/>
          <w:color w:val="000000"/>
        </w:rPr>
        <w:t>（http://bbcjzm.neea.edu.cn/）</w:t>
      </w:r>
      <w:r>
        <w:rPr>
          <w:rFonts w:hint="eastAsia" w:ascii="仿宋" w:hAnsi="仿宋" w:eastAsia="仿宋" w:cs="仿宋"/>
          <w:color w:val="000000"/>
          <w:lang w:val="zh-CN"/>
        </w:rPr>
        <w:t>进行网上办理。</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（二）关于补办 PET 考试成绩单的规定</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1．PET 成绩单遗失可以补办，需要补办的考生本人或委托他人前往学院教务处办理院校成绩证明。</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2．成绩单领取方式：考生凭学院教务处开具的院校成绩证明和本人有效身份证件前往高等学校英语应用能力考试委员会办理。</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3．考委会地址：上海市徐汇区华山路 1954 号上海交通大学浩然高科技大厦1312 室，联系电话：021-62933238。</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（三）关于办理上计考成绩证明的规定</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1．上计考成绩单遗失可以补办成绩证明，需要办理的考生本人或委托他人前往学院教务处办理“成绩证明申请表”。</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2．成绩证明领取方式：考生需持“成绩证明申请表”和身份证原件、复印件前往上海招生考试咨询服务部办理成绩证明补办手续。</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3．上海招生考试咨询服务部受理时间为每周三下午 13：00-16：00。</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4．上海招生考试咨询服务部的地址为：上海市杨浦区民星路465号</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5．办理成绩证明需要五个工作日完成，凭领取单在下周三下午 13：00-16：00 到上海招生考试咨询服务部领取。</w:t>
      </w:r>
    </w:p>
    <w:p>
      <w:pPr>
        <w:pageBreakBefore w:val="0"/>
        <w:widowControl/>
        <w:topLinePunct w:val="0"/>
        <w:bidi w:val="0"/>
        <w:spacing w:line="400" w:lineRule="exact"/>
        <w:ind w:firstLine="422" w:firstLineChars="200"/>
        <w:jc w:val="left"/>
        <w:outlineLvl w:val="9"/>
        <w:rPr>
          <w:rFonts w:hint="eastAsia" w:ascii="仿宋" w:hAnsi="仿宋" w:eastAsia="仿宋" w:cs="仿宋"/>
          <w:b/>
          <w:bCs/>
          <w:color w:val="000000"/>
          <w:szCs w:val="21"/>
        </w:rPr>
      </w:pPr>
      <w:r>
        <w:rPr>
          <w:rFonts w:hint="eastAsia" w:ascii="仿宋" w:hAnsi="仿宋" w:eastAsia="仿宋" w:cs="仿宋"/>
          <w:b/>
          <w:bCs/>
          <w:color w:val="000000"/>
          <w:szCs w:val="21"/>
        </w:rPr>
        <w:t>二、 关于成绩单信息错误更正的规定</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考生在报名时均已核对过相关个人信息并签字确认，若因此造成的成绩单有误不予更正；如有特殊情况请考生本人前往教务处办理成绩单更正手续。</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办理时间：上半年考试在10月底之前，下半年考试在次年4月底之前</w:t>
      </w:r>
    </w:p>
    <w:p>
      <w:pPr>
        <w:pageBreakBefore w:val="0"/>
        <w:widowControl/>
        <w:topLinePunct w:val="0"/>
        <w:bidi w:val="0"/>
        <w:spacing w:line="400" w:lineRule="exact"/>
        <w:ind w:firstLine="420" w:firstLineChars="200"/>
        <w:jc w:val="left"/>
        <w:outlineLvl w:val="9"/>
        <w:rPr>
          <w:rFonts w:hint="eastAsia" w:ascii="仿宋" w:hAnsi="仿宋" w:eastAsia="仿宋" w:cs="仿宋"/>
          <w:color w:val="000000"/>
          <w:szCs w:val="21"/>
        </w:rPr>
      </w:pPr>
      <w:r>
        <w:rPr>
          <w:rFonts w:hint="eastAsia" w:ascii="仿宋" w:hAnsi="仿宋" w:eastAsia="仿宋" w:cs="仿宋"/>
          <w:color w:val="000000"/>
          <w:szCs w:val="21"/>
        </w:rPr>
        <w:t>领取方式：更正好的成绩单会及时下发到二级学院，请考生与所在二级学院的教学秘书联系领取。办理所需时间：约 60 个工作日。</w:t>
      </w:r>
    </w:p>
    <w:p>
      <w:pPr>
        <w:pageBreakBefore w:val="0"/>
        <w:topLinePunct w:val="0"/>
        <w:bidi w:val="0"/>
        <w:spacing w:line="400" w:lineRule="exact"/>
        <w:jc w:val="left"/>
        <w:outlineLvl w:val="9"/>
        <w:rPr>
          <w:rFonts w:hint="eastAsia" w:ascii="仿宋" w:hAnsi="仿宋" w:eastAsia="仿宋" w:cs="仿宋"/>
          <w:b/>
          <w:bCs/>
          <w:color w:val="000000"/>
          <w:sz w:val="32"/>
          <w:szCs w:val="32"/>
        </w:rPr>
      </w:pPr>
    </w:p>
    <w:p>
      <w:pPr>
        <w:pageBreakBefore w:val="0"/>
        <w:topLinePunct w:val="0"/>
        <w:bidi w:val="0"/>
        <w:jc w:val="center"/>
        <w:outlineLvl w:val="9"/>
        <w:rPr>
          <w:color w:val="FF0000"/>
          <w:sz w:val="24"/>
        </w:rPr>
      </w:pPr>
      <w:bookmarkStart w:id="194" w:name="_Toc23973"/>
      <w:bookmarkStart w:id="195" w:name="_Toc12024"/>
      <w:bookmarkStart w:id="196" w:name="_Toc19754"/>
      <w:bookmarkStart w:id="197" w:name="_Toc2494"/>
      <w:bookmarkStart w:id="198" w:name="_Toc14468"/>
      <w:bookmarkStart w:id="199" w:name="_Toc10761"/>
      <w:bookmarkStart w:id="200" w:name="_Toc29677"/>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ascii="华文中宋" w:hAnsi="华文中宋" w:eastAsia="华文中宋"/>
          <w:b/>
          <w:color w:val="FF0000"/>
          <w:spacing w:val="266"/>
          <w:w w:val="72"/>
          <w:kern w:val="0"/>
          <w:sz w:val="72"/>
          <w:szCs w:val="72"/>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jc w:val="both"/>
        <w:outlineLvl w:val="9"/>
        <w:rPr>
          <w:sz w:val="24"/>
        </w:rPr>
      </w:pPr>
    </w:p>
    <w:p>
      <w:pPr>
        <w:pageBreakBefore w:val="0"/>
        <w:topLinePunct w:val="0"/>
        <w:bidi w:val="0"/>
        <w:spacing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8〕1</w:t>
      </w:r>
      <w:r>
        <w:rPr>
          <w:rFonts w:hint="eastAsia" w:ascii="仿宋_GB2312" w:eastAsia="仿宋_GB2312"/>
          <w:color w:val="000000"/>
          <w:kern w:val="0"/>
          <w:sz w:val="32"/>
          <w:szCs w:val="28"/>
          <w:lang w:val="en-US" w:eastAsia="zh-CN"/>
        </w:rPr>
        <w:t>29</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napToGrid w:val="0"/>
        <w:spacing w:beforeLines="100" w:line="5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pStyle w:val="98"/>
        <w:pageBreakBefore w:val="0"/>
        <w:shd w:val="clear" w:color="auto" w:fill="FFFFFF"/>
        <w:topLinePunct w:val="0"/>
        <w:bidi w:val="0"/>
        <w:spacing w:before="0" w:beforeAutospacing="0" w:after="0" w:afterAutospacing="0" w:line="560" w:lineRule="exact"/>
        <w:jc w:val="center"/>
        <w:outlineLvl w:val="9"/>
        <w:rPr>
          <w:rFonts w:hint="eastAsia" w:ascii="黑体" w:hAnsi="黑体" w:eastAsia="黑体" w:cs="黑体"/>
          <w:b/>
          <w:kern w:val="0"/>
          <w:sz w:val="36"/>
          <w:szCs w:val="24"/>
        </w:rPr>
      </w:pPr>
    </w:p>
    <w:p>
      <w:pPr>
        <w:keepNext w:val="0"/>
        <w:keepLines w:val="0"/>
        <w:pageBreakBefore w:val="0"/>
        <w:widowControl w:val="0"/>
        <w:tabs>
          <w:tab w:val="left" w:pos="426"/>
        </w:tabs>
        <w:kinsoku/>
        <w:wordWrap/>
        <w:overflowPunct/>
        <w:topLinePunct w:val="0"/>
        <w:autoSpaceDE/>
        <w:autoSpaceDN/>
        <w:bidi w:val="0"/>
        <w:adjustRightInd/>
        <w:snapToGrid/>
        <w:spacing w:after="312" w:afterLines="100" w:line="560" w:lineRule="exact"/>
        <w:jc w:val="center"/>
        <w:textAlignment w:val="auto"/>
        <w:outlineLvl w:val="0"/>
        <w:rPr>
          <w:rFonts w:hint="eastAsia" w:ascii="黑体" w:hAnsi="黑体" w:eastAsia="黑体" w:cs="黑体"/>
          <w:b/>
          <w:color w:val="000000"/>
          <w:sz w:val="36"/>
          <w:szCs w:val="36"/>
        </w:rPr>
      </w:pPr>
      <w:bookmarkStart w:id="201" w:name="_Toc8301"/>
      <w:r>
        <w:rPr>
          <w:rFonts w:hint="eastAsia" w:ascii="黑体" w:hAnsi="黑体" w:eastAsia="黑体" w:cs="黑体"/>
          <w:b/>
          <w:kern w:val="0"/>
          <w:sz w:val="36"/>
          <w:szCs w:val="24"/>
        </w:rPr>
        <w:t>关于</w:t>
      </w:r>
      <w:r>
        <w:rPr>
          <w:rFonts w:hint="eastAsia" w:ascii="黑体" w:hAnsi="黑体" w:eastAsia="黑体" w:cs="黑体"/>
          <w:b/>
          <w:bCs w:val="0"/>
          <w:kern w:val="0"/>
          <w:sz w:val="36"/>
          <w:szCs w:val="36"/>
        </w:rPr>
        <w:t>印发</w:t>
      </w:r>
      <w:r>
        <w:rPr>
          <w:rFonts w:hint="eastAsia" w:ascii="黑体" w:hAnsi="黑体" w:eastAsia="黑体" w:cs="黑体"/>
          <w:b/>
          <w:bCs w:val="0"/>
          <w:sz w:val="36"/>
          <w:szCs w:val="36"/>
        </w:rPr>
        <w:t>《上海电子信息职业技术学院</w:t>
      </w:r>
      <w:r>
        <w:rPr>
          <w:rFonts w:hint="eastAsia" w:ascii="黑体" w:hAnsi="黑体" w:eastAsia="黑体" w:cs="黑体"/>
          <w:b/>
          <w:bCs w:val="0"/>
          <w:sz w:val="36"/>
          <w:szCs w:val="36"/>
          <w:lang w:eastAsia="zh-CN"/>
        </w:rPr>
        <w:t>学生注册管理办法</w:t>
      </w:r>
      <w:r>
        <w:rPr>
          <w:rFonts w:hint="eastAsia" w:ascii="黑体" w:hAnsi="黑体" w:eastAsia="黑体" w:cs="黑体"/>
          <w:b/>
          <w:bCs w:val="0"/>
          <w:sz w:val="36"/>
          <w:szCs w:val="36"/>
        </w:rPr>
        <w:t>》的通知</w:t>
      </w:r>
      <w:bookmarkEnd w:id="201"/>
    </w:p>
    <w:p>
      <w:pPr>
        <w:pageBreakBefore w:val="0"/>
        <w:tabs>
          <w:tab w:val="left" w:pos="426"/>
        </w:tabs>
        <w:topLinePunct w:val="0"/>
        <w:bidi w:val="0"/>
        <w:spacing w:after="312" w:afterLines="100" w:line="400" w:lineRule="exact"/>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abs>
          <w:tab w:val="left" w:pos="426"/>
        </w:tabs>
        <w:topLinePunct w:val="0"/>
        <w:bidi w:val="0"/>
        <w:spacing w:after="312" w:afterLines="100" w:line="400" w:lineRule="exact"/>
        <w:ind w:firstLine="560" w:firstLineChars="200"/>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现将《上海电子信息职业技术学院学生注册管理办法》印发给你们，请结合本部门工作实际，认真研究执行。</w:t>
      </w:r>
      <w:r>
        <w:rPr>
          <w:rFonts w:hint="eastAsia" w:ascii="仿宋_GB2312" w:hAnsi="仿宋_GB2312" w:eastAsia="仿宋_GB2312" w:cs="仿宋_GB2312"/>
          <w:kern w:val="2"/>
          <w:sz w:val="28"/>
          <w:szCs w:val="28"/>
          <w:highlight w:val="none"/>
          <w:lang w:val="en-US" w:eastAsia="zh-CN" w:bidi="ar-SA"/>
        </w:rPr>
        <w:tab/>
      </w:r>
    </w:p>
    <w:p>
      <w:pPr>
        <w:pageBreakBefore w:val="0"/>
        <w:tabs>
          <w:tab w:val="left" w:pos="426"/>
        </w:tabs>
        <w:topLinePunct w:val="0"/>
        <w:bidi w:val="0"/>
        <w:spacing w:after="312" w:afterLines="100" w:line="400" w:lineRule="exact"/>
        <w:ind w:firstLine="560" w:firstLineChars="200"/>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附件：上海电子信息职业技术学院学生注册管理办法</w:t>
      </w:r>
    </w:p>
    <w:p>
      <w:pPr>
        <w:pageBreakBefore w:val="0"/>
        <w:topLinePunct w:val="0"/>
        <w:bidi w:val="0"/>
        <w:spacing w:line="360" w:lineRule="auto"/>
        <w:ind w:left="1478" w:leftChars="304" w:hanging="840" w:hangingChars="300"/>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left="1470" w:leftChars="300"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firstLine="3220" w:firstLineChars="11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00" w:lineRule="exact"/>
        <w:ind w:right="48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2018年7月10日</w:t>
      </w:r>
    </w:p>
    <w:p>
      <w:pPr>
        <w:pageBreakBefore w:val="0"/>
        <w:topLinePunct w:val="0"/>
        <w:bidi w:val="0"/>
        <w:spacing w:line="360" w:lineRule="auto"/>
        <w:jc w:val="center"/>
        <w:outlineLvl w:val="9"/>
        <w:rPr>
          <w:rFonts w:hint="eastAsia" w:ascii="黑体" w:hAnsi="Times New Roman" w:eastAsia="黑体"/>
          <w:sz w:val="30"/>
          <w:szCs w:val="30"/>
        </w:rPr>
      </w:pPr>
    </w:p>
    <w:p>
      <w:pPr>
        <w:pageBreakBefore w:val="0"/>
        <w:topLinePunct w:val="0"/>
        <w:bidi w:val="0"/>
        <w:spacing w:line="360" w:lineRule="auto"/>
        <w:jc w:val="center"/>
        <w:outlineLvl w:val="9"/>
        <w:rPr>
          <w:rFonts w:hint="eastAsia" w:ascii="黑体" w:hAnsi="Times New Roman" w:eastAsia="黑体"/>
          <w:sz w:val="30"/>
          <w:szCs w:val="30"/>
        </w:rPr>
      </w:pPr>
    </w:p>
    <w:p>
      <w:pPr>
        <w:pageBreakBefore w:val="0"/>
        <w:tabs>
          <w:tab w:val="left" w:pos="426"/>
        </w:tabs>
        <w:topLinePunct w:val="0"/>
        <w:bidi w:val="0"/>
        <w:spacing w:after="312" w:afterLines="100" w:line="400" w:lineRule="exact"/>
        <w:jc w:val="center"/>
        <w:outlineLvl w:val="9"/>
        <w:rPr>
          <w:rFonts w:hint="eastAsia" w:ascii="仿宋" w:hAnsi="仿宋" w:eastAsia="仿宋" w:cs="仿宋"/>
          <w:b/>
          <w:color w:val="000000"/>
          <w:sz w:val="32"/>
          <w:szCs w:val="28"/>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学生注册管理办法</w:t>
      </w:r>
      <w:bookmarkEnd w:id="194"/>
      <w:bookmarkEnd w:id="195"/>
      <w:bookmarkEnd w:id="196"/>
      <w:bookmarkEnd w:id="197"/>
      <w:bookmarkEnd w:id="198"/>
      <w:bookmarkEnd w:id="199"/>
      <w:bookmarkEnd w:id="200"/>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479" w:leftChars="228"/>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一、总 则</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57" w:firstLineChars="199"/>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（一）为加强学校教育教学管理，维护学校正常的办学秩序，适应学校教学管理改革的需要，依据教育部《普通高等学校学生管理规定》以及《上海电子信息职业技术学院学生学籍管理规定》，特制订本办法。</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57" w:firstLineChars="199"/>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（二）注册是学校对学生在校学习资格的认定，是对学生学籍有效性的认可。</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注册分为入学注册和学期注册。入学注册是按国家招生规定录取的新生持录取通知书，按学院有关要求，在规定的期限内办理入学报到、注册、取得学籍的一种手续；具体按照学院《学生学籍管理规定》执行。学期注册是取得学籍的学生按学院有关要求，在规定的期限内进行学期登记、取得新学期学习资格的一种手续。</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二、学期注册</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xml:space="preserve">    （一）学生必须在每学期开学3周内办理学期注册手续。已办理暂缓注册手续的，以经核准的允许延期注册的截止时间为准。</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（二）学生办理学期注册手续，应当同时具备下列条件：</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840" w:firstLineChars="30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 拥有上海电子信息职业技术学院学籍；</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840" w:firstLineChars="30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 在学校规定的最长学习年限内；</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840" w:firstLineChars="30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 按规定缴清学费。</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（三）学生凭学生证到所在二级学院办理注册手续，加盖学生证注册章。未加盖注册章的学生证，不能作有效证件使用。</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（四）已办理国家助学贷款或者减免学费手续的学生，缴清剩余费用后，经学生处和财务处确认，可以注册。</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（五）学生在休学和保留学籍期间不需办理注册手续；期满按规定办理复学手续之后，再按本办法办理注册手续。</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三、暂缓注册</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（一）不能如期注册的学生，符合以下条件之一者，应在每学期开学3周内向所在二级学院申请暂缓注册。</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xml:space="preserve"> 1. 家庭经济困难的学生，正在按照国家政策办理国家助学贷款或者减免学费等手续；</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95"/>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 因事、生病请假或其它特殊情况不能如期报到注册者；</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95"/>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 未按学校规定缴清学费者；</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xml:space="preserve"> 4. 学校认可的其它原因。</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（二）暂缓注册时间一般不得超过半年。</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（三）学生申请暂缓注册，应填写《暂缓注册申请表》，交所在二级学院审批，教务处核准。</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四）办理了暂缓注册手续的学生，在暂缓注册期间可以参加课程的学习和考核，但暂缓注册期内的考试成绩和学分不计入成绩单，学习记录不能查询，待注册后予以确认；暂缓注册期内不能参加选课、学校组织的社会考试及毕业实习答辩等教育教学活动。</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 xml:space="preserve">    （五）已经办理暂缓注册手续的学生，应当在被允许延期注册的截止时间之前，填写《学期注册申请表》，交所在二级学院审批，经教务处核准后，办妥补注册手续，恢复在暂缓注册期内已取得的成绩和学分。若在被允许延期注册的截止时间之前未能按规定办理注册手续的，按未注册学生处理。</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（六）由暂缓注册转为注册的学生，从注册生效之日起恢复正常的教育教学活动；对于未注册以前的教学处理，除了考试成绩和学分予以追加确认外，其他事项不再补确认。</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四、对未注册学生的处理</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超过学校规定期限未注册又无正当事由的学生，按照学校《学生学籍管理规定》第44条第6款规定，按退学处理。</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48" w:firstLineChars="196"/>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五、注册管理相关工作</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（一）各二级学院在开学3周内将学生《暂缓注册申请表》上报教务处，教务处核准后将结果反馈给相关的二级学院。</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（二）各二级学院在开学第4周将《学生注册情况汇总表》上报教务处，教务处将全院学生注册情况反馈给有关职能部门。</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479" w:leftChars="228"/>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六、附 则</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本办法适用于在我校接受学历教育的各类全日制高职学生，解释权归于教务处。</w:t>
      </w: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outlineLvl w:val="9"/>
        <w:rPr>
          <w:rFonts w:hint="eastAsia" w:ascii="仿宋_GB2312" w:hAnsi="仿宋_GB2312" w:eastAsia="仿宋_GB2312" w:cs="仿宋_GB2312"/>
          <w:color w:val="auto"/>
          <w:kern w:val="2"/>
          <w:sz w:val="28"/>
          <w:szCs w:val="28"/>
          <w:highlight w:val="none"/>
          <w:lang w:val="en-US" w:eastAsia="zh-CN" w:bidi="ar-SA"/>
        </w:rPr>
      </w:pP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479" w:leftChars="228"/>
        <w:textAlignment w:val="auto"/>
        <w:outlineLvl w:val="9"/>
        <w:rPr>
          <w:rFonts w:hint="eastAsia" w:ascii="仿宋_GB2312" w:hAnsi="仿宋_GB2312" w:eastAsia="仿宋_GB2312" w:cs="仿宋_GB2312"/>
          <w:color w:val="auto"/>
          <w:kern w:val="2"/>
          <w:sz w:val="28"/>
          <w:szCs w:val="28"/>
          <w:highlight w:val="none"/>
          <w:lang w:val="en-US" w:eastAsia="zh-CN" w:bidi="ar-SA"/>
        </w:rPr>
      </w:pPr>
    </w:p>
    <w:p>
      <w:pPr>
        <w:pStyle w:val="34"/>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479" w:leftChars="228"/>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附件：注册流程示意图</w:t>
      </w:r>
    </w:p>
    <w:p>
      <w:pPr>
        <w:pStyle w:val="34"/>
        <w:pageBreakBefore w:val="0"/>
        <w:topLinePunct w:val="0"/>
        <w:bidi w:val="0"/>
        <w:spacing w:line="400" w:lineRule="exact"/>
        <w:outlineLvl w:val="9"/>
        <w:rPr>
          <w:rFonts w:hint="eastAsia" w:ascii="仿宋" w:hAnsi="仿宋" w:eastAsia="仿宋" w:cs="仿宋"/>
          <w:bCs/>
        </w:rPr>
      </w:pPr>
      <w:r>
        <w:rPr>
          <w:rFonts w:hint="eastAsia" w:ascii="仿宋" w:hAnsi="仿宋" w:eastAsia="仿宋" w:cs="仿宋"/>
          <w:b/>
          <w:bCs/>
          <w:sz w:val="21"/>
        </w:rPr>
        <w:t>附件：</w:t>
      </w:r>
    </w:p>
    <w:p>
      <w:pPr>
        <w:pStyle w:val="34"/>
        <w:pageBreakBefore w:val="0"/>
        <w:topLinePunct w:val="0"/>
        <w:bidi w:val="0"/>
        <w:spacing w:line="400" w:lineRule="exact"/>
        <w:outlineLvl w:val="9"/>
        <w:rPr>
          <w:rFonts w:hint="eastAsia" w:ascii="仿宋" w:hAnsi="仿宋" w:eastAsia="仿宋" w:cs="仿宋"/>
          <w:bCs/>
        </w:rPr>
      </w:pPr>
      <w:r>
        <w:rPr>
          <w:rFonts w:hint="eastAsia" w:ascii="仿宋" w:hAnsi="仿宋" w:eastAsia="仿宋" w:cs="仿宋"/>
        </w:rPr>
        <w:pict>
          <v:shape id="_x0000_s1040" o:spid="_x0000_s1040" o:spt="202" type="#_x0000_t202" style="position:absolute;left:0pt;margin-top:0pt;height:366pt;width:275.35pt;mso-position-horizontal:center;mso-wrap-style:none;z-index:251683840;mso-width-relative:page;mso-height-relative:page;" fillcolor="#FFFFFF" filled="t" stroked="f" coordsize="21600,21600" o:gfxdata="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e3zi1QAAAAUBAAAPAAAAAAAAAAEAIAAAACIAAABkcnMvZG93bnJldi54bWxQSwECFAAUAAAA&#10;CACHTuJAwAbZ7yoCAAA/BAAADgAAAAAAAAABACAAAAAkAQAAZHJzL2Uyb0RvYy54bWxQSwUGAAAA&#10;AAYABgBZAQAAwAUAAAAA&#10;">
            <v:path/>
            <v:fill on="t" focussize="0,0"/>
            <v:stroke on="f"/>
            <v:imagedata o:title=""/>
            <o:lock v:ext="edit" aspectratio="f"/>
            <v:textbox style="mso-fit-shape-to-text:t;">
              <w:txbxContent>
                <w:p>
                  <w:pPr>
                    <w:jc w:val="center"/>
                  </w:pPr>
                </w:p>
                <w:p>
                  <w:pPr>
                    <w:jc w:val="center"/>
                  </w:pPr>
                  <w:r>
                    <w:pict>
                      <v:shape id="_x0000_i1026" o:spt="75" type="#_x0000_t75" style="height:354.75pt;width:261pt;" filled="f" o:preferrelative="t" stroked="f" coordsize="21600,21600">
                        <v:path/>
                        <v:fill on="f" focussize="0,0"/>
                        <v:stroke on="f"/>
                        <v:imagedata r:id="rId11" o:title=""/>
                        <o:lock v:ext="edit" aspectratio="t"/>
                        <w10:wrap type="none"/>
                        <w10:anchorlock/>
                      </v:shape>
                    </w:pict>
                  </w:r>
                </w:p>
              </w:txbxContent>
            </v:textbox>
          </v:shape>
        </w:pict>
      </w:r>
    </w:p>
    <w:p>
      <w:pPr>
        <w:pStyle w:val="34"/>
        <w:pageBreakBefore w:val="0"/>
        <w:topLinePunct w:val="0"/>
        <w:bidi w:val="0"/>
        <w:spacing w:line="400" w:lineRule="exact"/>
        <w:ind w:left="479" w:leftChars="228"/>
        <w:outlineLvl w:val="9"/>
        <w:rPr>
          <w:rFonts w:hint="eastAsia" w:ascii="仿宋" w:hAnsi="仿宋" w:eastAsia="仿宋" w:cs="仿宋"/>
          <w:bCs/>
        </w:rPr>
      </w:pPr>
    </w:p>
    <w:p>
      <w:pPr>
        <w:pageBreakBefore w:val="0"/>
        <w:topLinePunct w:val="0"/>
        <w:bidi w:val="0"/>
        <w:spacing w:line="400" w:lineRule="exact"/>
        <w:jc w:val="left"/>
        <w:outlineLvl w:val="9"/>
        <w:rPr>
          <w:rFonts w:hint="eastAsia" w:ascii="仿宋" w:hAnsi="仿宋" w:eastAsia="仿宋" w:cs="仿宋"/>
          <w:color w:val="000000"/>
          <w:sz w:val="24"/>
        </w:rPr>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jc w:val="center"/>
        <w:outlineLvl w:val="9"/>
        <w:rPr>
          <w:color w:val="FF0000"/>
          <w:sz w:val="24"/>
        </w:rPr>
      </w:pPr>
      <w:r>
        <w:rPr>
          <w:rFonts w:hint="eastAsia" w:ascii="仿宋_GB2312" w:eastAsia="仿宋_GB2312"/>
          <w:sz w:val="30"/>
          <w:szCs w:val="30"/>
        </w:rPr>
        <w:br w:type="page"/>
      </w:r>
      <w:bookmarkStart w:id="202" w:name="_Toc31124"/>
      <w:bookmarkStart w:id="203" w:name="_Toc21609"/>
      <w:bookmarkStart w:id="204" w:name="_Toc14539"/>
      <w:bookmarkStart w:id="205" w:name="_Toc12254"/>
      <w:bookmarkStart w:id="206" w:name="_Toc25113"/>
      <w:bookmarkStart w:id="207" w:name="_Toc24328"/>
      <w:bookmarkStart w:id="208" w:name="_Toc25892"/>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spacing w:before="312" w:beforeLines="100"/>
        <w:ind w:right="-57" w:rightChars="-27"/>
        <w:jc w:val="center"/>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jc w:val="both"/>
        <w:outlineLvl w:val="9"/>
        <w:rPr>
          <w:sz w:val="24"/>
        </w:rPr>
      </w:pPr>
    </w:p>
    <w:p>
      <w:pPr>
        <w:pageBreakBefore w:val="0"/>
        <w:topLinePunct w:val="0"/>
        <w:bidi w:val="0"/>
        <w:spacing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w:t>
      </w:r>
      <w:r>
        <w:rPr>
          <w:rFonts w:hint="eastAsia" w:ascii="仿宋_GB2312" w:eastAsia="仿宋_GB2312"/>
          <w:color w:val="000000"/>
          <w:kern w:val="0"/>
          <w:sz w:val="32"/>
          <w:szCs w:val="28"/>
          <w:lang w:val="en-US" w:eastAsia="zh-CN"/>
        </w:rPr>
        <w:t>132</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napToGrid w:val="0"/>
        <w:spacing w:beforeLines="100" w:line="5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pStyle w:val="98"/>
        <w:pageBreakBefore w:val="0"/>
        <w:shd w:val="clear" w:color="auto" w:fill="FFFFFF"/>
        <w:topLinePunct w:val="0"/>
        <w:bidi w:val="0"/>
        <w:spacing w:before="0" w:beforeAutospacing="0" w:after="0" w:afterAutospacing="0" w:line="560" w:lineRule="exact"/>
        <w:jc w:val="center"/>
        <w:outlineLvl w:val="9"/>
        <w:rPr>
          <w:rFonts w:hint="eastAsia" w:ascii="宋体" w:hAnsi="宋体" w:eastAsia="华文中宋" w:cs="宋体"/>
          <w:b/>
          <w:kern w:val="0"/>
          <w:sz w:val="36"/>
          <w:szCs w:val="24"/>
        </w:rPr>
      </w:pPr>
    </w:p>
    <w:p>
      <w:pPr>
        <w:keepNext w:val="0"/>
        <w:keepLines w:val="0"/>
        <w:pageBreakBefore w:val="0"/>
        <w:widowControl w:val="0"/>
        <w:tabs>
          <w:tab w:val="left" w:pos="426"/>
        </w:tabs>
        <w:kinsoku/>
        <w:wordWrap/>
        <w:overflowPunct/>
        <w:topLinePunct w:val="0"/>
        <w:autoSpaceDE/>
        <w:autoSpaceDN/>
        <w:bidi w:val="0"/>
        <w:adjustRightInd/>
        <w:snapToGrid/>
        <w:spacing w:after="312" w:afterLines="100" w:line="560" w:lineRule="exact"/>
        <w:jc w:val="center"/>
        <w:textAlignment w:val="auto"/>
        <w:outlineLvl w:val="0"/>
        <w:rPr>
          <w:rFonts w:hint="eastAsia" w:ascii="黑体" w:hAnsi="黑体" w:eastAsia="黑体" w:cs="黑体"/>
          <w:b/>
          <w:color w:val="000000"/>
          <w:sz w:val="36"/>
          <w:szCs w:val="36"/>
        </w:rPr>
      </w:pPr>
      <w:bookmarkStart w:id="209" w:name="_Toc16493"/>
      <w:r>
        <w:rPr>
          <w:rFonts w:hint="eastAsia" w:ascii="黑体" w:hAnsi="黑体" w:eastAsia="黑体" w:cs="黑体"/>
          <w:b/>
          <w:kern w:val="0"/>
          <w:sz w:val="36"/>
          <w:szCs w:val="24"/>
        </w:rPr>
        <w:t>关于</w:t>
      </w:r>
      <w:r>
        <w:rPr>
          <w:rFonts w:hint="eastAsia" w:ascii="黑体" w:hAnsi="黑体" w:eastAsia="黑体" w:cs="黑体"/>
          <w:b/>
          <w:bCs w:val="0"/>
          <w:kern w:val="0"/>
          <w:sz w:val="36"/>
          <w:szCs w:val="36"/>
        </w:rPr>
        <w:t>印发</w:t>
      </w:r>
      <w:r>
        <w:rPr>
          <w:rFonts w:hint="eastAsia" w:ascii="黑体" w:hAnsi="黑体" w:eastAsia="黑体" w:cs="黑体"/>
          <w:b/>
          <w:bCs w:val="0"/>
          <w:sz w:val="36"/>
          <w:szCs w:val="36"/>
        </w:rPr>
        <w:t>《上海电子信息职业技术学院关于教学秩序检查的规定》的通知</w:t>
      </w:r>
      <w:bookmarkEnd w:id="209"/>
    </w:p>
    <w:p>
      <w:pPr>
        <w:pageBreakBefore w:val="0"/>
        <w:tabs>
          <w:tab w:val="left" w:pos="426"/>
        </w:tabs>
        <w:topLinePunct w:val="0"/>
        <w:bidi w:val="0"/>
        <w:spacing w:after="312" w:afterLines="100" w:line="400" w:lineRule="exact"/>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abs>
          <w:tab w:val="left" w:pos="426"/>
        </w:tabs>
        <w:topLinePunct w:val="0"/>
        <w:bidi w:val="0"/>
        <w:spacing w:after="312" w:afterLines="100" w:line="400" w:lineRule="exact"/>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abs>
          <w:tab w:val="left" w:pos="426"/>
        </w:tabs>
        <w:topLinePunct w:val="0"/>
        <w:bidi w:val="0"/>
        <w:spacing w:after="312" w:afterLines="100" w:line="400" w:lineRule="exact"/>
        <w:ind w:firstLine="560" w:firstLineChars="200"/>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现将《上海电子信息职业技术学院关于教学秩序检查的规定》印发给你们，请结合本部门工作实际，认真研究执行。</w:t>
      </w:r>
      <w:r>
        <w:rPr>
          <w:rFonts w:hint="eastAsia" w:ascii="仿宋_GB2312" w:hAnsi="仿宋_GB2312" w:eastAsia="仿宋_GB2312" w:cs="仿宋_GB2312"/>
          <w:kern w:val="2"/>
          <w:sz w:val="28"/>
          <w:szCs w:val="28"/>
          <w:highlight w:val="none"/>
          <w:lang w:val="en-US" w:eastAsia="zh-CN" w:bidi="ar-SA"/>
        </w:rPr>
        <w:tab/>
      </w:r>
    </w:p>
    <w:p>
      <w:pPr>
        <w:pageBreakBefore w:val="0"/>
        <w:tabs>
          <w:tab w:val="left" w:pos="426"/>
        </w:tabs>
        <w:topLinePunct w:val="0"/>
        <w:bidi w:val="0"/>
        <w:spacing w:after="312" w:afterLines="100" w:line="400" w:lineRule="exact"/>
        <w:ind w:left="1478" w:leftChars="304" w:hanging="840" w:hangingChars="300"/>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abs>
          <w:tab w:val="left" w:pos="426"/>
        </w:tabs>
        <w:topLinePunct w:val="0"/>
        <w:bidi w:val="0"/>
        <w:spacing w:after="312" w:afterLines="100" w:line="400" w:lineRule="exact"/>
        <w:ind w:left="1478" w:leftChars="304" w:hanging="840" w:hangingChars="300"/>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abs>
          <w:tab w:val="left" w:pos="426"/>
        </w:tabs>
        <w:topLinePunct w:val="0"/>
        <w:bidi w:val="0"/>
        <w:spacing w:after="312" w:afterLines="100" w:line="400" w:lineRule="exact"/>
        <w:ind w:firstLine="560" w:firstLineChars="200"/>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附件：上海电子信息职业技术学院关于教学秩序检查的规定</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firstLine="3220" w:firstLineChars="11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00" w:lineRule="exact"/>
        <w:ind w:right="48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2018年7月10日</w:t>
      </w:r>
      <w:bookmarkEnd w:id="202"/>
      <w:bookmarkEnd w:id="203"/>
      <w:bookmarkEnd w:id="204"/>
      <w:bookmarkEnd w:id="205"/>
      <w:bookmarkEnd w:id="206"/>
      <w:bookmarkEnd w:id="207"/>
      <w:bookmarkEnd w:id="208"/>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jc w:val="center"/>
        <w:outlineLvl w:val="9"/>
        <w:rPr>
          <w:rFonts w:hint="eastAsia" w:ascii="仿宋_GB2312" w:eastAsia="仿宋_GB2312"/>
          <w:sz w:val="30"/>
          <w:szCs w:val="30"/>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关于教学秩序检查的规定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为了保证教学质量，强化教学过程管理，稳定教学秩序，学校决定采用院校二级管理的模式进行教学秩序检查。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bookmarkStart w:id="210" w:name="_Toc295991880"/>
      <w:r>
        <w:rPr>
          <w:rFonts w:hint="eastAsia" w:ascii="仿宋_GB2312" w:hAnsi="仿宋_GB2312" w:eastAsia="仿宋_GB2312" w:cs="仿宋_GB2312"/>
          <w:kern w:val="2"/>
          <w:sz w:val="28"/>
          <w:szCs w:val="28"/>
          <w:highlight w:val="none"/>
          <w:lang w:val="en-US" w:eastAsia="zh-CN" w:bidi="ar-SA"/>
        </w:rPr>
        <w:t>一、教师应做好的三个方面工作</w:t>
      </w:r>
      <w:bookmarkEnd w:id="21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（一）教师授课前应充分做好教学准备，预备铃响时必须在教室就位，上课时间到必须开始进行教学。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1．凡需要使用教具的课程，教师应通知课代表，在课前协助携带与安放到位。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2．凡使用多媒体课件进行教学的课程，教师应在课前将设备调试完毕。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3．实验教学应按进度的安排及时与实验室联系，协调有关教学准备工作，在课前完成器材准备与学生的安排。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实训教学应自接到教学任务起即与实训室联系，商定教学实施方案，做好实训安排与实训器材准备；其中，专业实训应自接到教学任务起进行选题与试做，在实训开始前一周须检查准备情况，发现问题及时解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（二）教师授课时应认真填写教学日志，课后交教学部门备查。教师应在教学日志上记录授课进度、内容提要、教学完成情况、学生出缺勤情况与班级秩序状况。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（三）在教学过程中，教师发现异常情况时应及时请班长或课代表与有关教学部门取得联系，共同处理，同时将异常情况如实地记录在教学日志上，并报二级学院负责人与有关教学部门及时处理。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bookmarkStart w:id="211" w:name="_Toc295991881"/>
      <w:r>
        <w:rPr>
          <w:rFonts w:hint="eastAsia" w:ascii="仿宋_GB2312" w:hAnsi="仿宋_GB2312" w:eastAsia="仿宋_GB2312" w:cs="仿宋_GB2312"/>
          <w:kern w:val="2"/>
          <w:sz w:val="28"/>
          <w:szCs w:val="28"/>
          <w:highlight w:val="none"/>
          <w:lang w:val="en-US" w:eastAsia="zh-CN" w:bidi="ar-SA"/>
        </w:rPr>
        <w:t>二、二级学院检查</w:t>
      </w:r>
      <w:bookmarkEnd w:id="21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各二级学院根据各校区的实际情况，每天安排专职与轮值教学人员检查教学秩序并做好记录。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（一）检查范围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凡是学校学期教学计划所安排的教学活动，均属二级学院教学检查人员进行教学秩序检查的范围。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（二）检查内容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1．教学工作人员是否有异常情况：如迟到、早退、缺教等情况，是否擅自调换教师、上课时间和上课地点等。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2．学生有无异常情况。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3．教学场所、教学设施、教学环境有无异常情况。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（三）处理办法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1．二级学院教学检查人员发现异常情况后，应立即向二级学院负责人汇报，及时与有关部门联系，配合部门负责人，进行调查，判定教学事故。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2．如发现教学工作人员出现异常情况，二级学院教学检查人员须当面向教学工作人员指出，作好事实记录。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3．二级学院教学检查人员须每日填写《日常教学检查记录表》。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4．二级学院在教学异常情况发生后的第二天，将事故责任通知单发给责任人相关部门，责任人所在的部门按《教学事故认定及处理办法》进行处理。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bookmarkStart w:id="212" w:name="_Toc295991882"/>
      <w:r>
        <w:rPr>
          <w:rFonts w:hint="eastAsia" w:ascii="仿宋_GB2312" w:hAnsi="仿宋_GB2312" w:eastAsia="仿宋_GB2312" w:cs="仿宋_GB2312"/>
          <w:kern w:val="2"/>
          <w:sz w:val="28"/>
          <w:szCs w:val="28"/>
          <w:highlight w:val="none"/>
          <w:lang w:val="en-US" w:eastAsia="zh-CN" w:bidi="ar-SA"/>
        </w:rPr>
        <w:t>三、教务处抽查</w:t>
      </w:r>
      <w:bookmarkEnd w:id="21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教务处根据各校区的情况分别采用专职与轮值教学人员不定期地抽查全校教学秩序。发现问题，及时与相关部门联系，并做出相应的处理。</w:t>
      </w:r>
    </w:p>
    <w:p>
      <w:pPr>
        <w:pageBreakBefore w:val="0"/>
        <w:topLinePunct w:val="0"/>
        <w:bidi w:val="0"/>
        <w:spacing w:line="400" w:lineRule="exact"/>
        <w:jc w:val="left"/>
        <w:outlineLvl w:val="9"/>
        <w:rPr>
          <w:rFonts w:hint="eastAsia" w:ascii="仿宋" w:hAnsi="仿宋" w:eastAsia="仿宋" w:cs="仿宋"/>
          <w:b/>
          <w:bCs/>
          <w:color w:val="000000"/>
          <w:sz w:val="32"/>
          <w:szCs w:val="32"/>
        </w:rPr>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jc w:val="center"/>
        <w:outlineLvl w:val="9"/>
        <w:rPr>
          <w:color w:val="FF0000"/>
          <w:sz w:val="24"/>
        </w:rPr>
      </w:pPr>
      <w:bookmarkStart w:id="213" w:name="_Toc16406"/>
      <w:bookmarkStart w:id="214" w:name="_Toc29841"/>
      <w:bookmarkStart w:id="215" w:name="_Toc121"/>
      <w:bookmarkStart w:id="216" w:name="_Toc29796"/>
      <w:bookmarkStart w:id="217" w:name="_Toc6784"/>
      <w:bookmarkStart w:id="218" w:name="_Toc12485"/>
      <w:bookmarkStart w:id="219" w:name="_Toc10472"/>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ascii="华文中宋" w:hAnsi="华文中宋" w:eastAsia="华文中宋"/>
          <w:b/>
          <w:color w:val="FF0000"/>
          <w:spacing w:val="266"/>
          <w:w w:val="72"/>
          <w:kern w:val="0"/>
          <w:sz w:val="72"/>
          <w:szCs w:val="72"/>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8〕133</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napToGrid w:val="0"/>
        <w:spacing w:before="312" w:beforeLines="100" w:line="5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pStyle w:val="98"/>
        <w:pageBreakBefore w:val="0"/>
        <w:shd w:val="clear" w:color="auto" w:fill="FFFFFF"/>
        <w:topLinePunct w:val="0"/>
        <w:bidi w:val="0"/>
        <w:spacing w:before="0" w:beforeAutospacing="0" w:after="0" w:afterAutospacing="0" w:line="640" w:lineRule="exact"/>
        <w:jc w:val="center"/>
        <w:outlineLvl w:val="9"/>
        <w:rPr>
          <w:rFonts w:ascii="华文中宋" w:hAnsi="华文中宋" w:eastAsia="华文中宋" w:cs="华文中宋"/>
          <w:b/>
          <w:sz w:val="36"/>
          <w:szCs w:val="36"/>
        </w:rPr>
      </w:pPr>
    </w:p>
    <w:p>
      <w:pPr>
        <w:keepNext w:val="0"/>
        <w:keepLines w:val="0"/>
        <w:pageBreakBefore w:val="0"/>
        <w:widowControl w:val="0"/>
        <w:kinsoku/>
        <w:wordWrap/>
        <w:overflowPunct/>
        <w:topLinePunct w:val="0"/>
        <w:autoSpaceDE w:val="0"/>
        <w:autoSpaceDN w:val="0"/>
        <w:bidi w:val="0"/>
        <w:adjustRightInd w:val="0"/>
        <w:snapToGrid/>
        <w:spacing w:after="312" w:afterLines="100" w:line="640" w:lineRule="exact"/>
        <w:jc w:val="center"/>
        <w:textAlignment w:val="auto"/>
        <w:outlineLvl w:val="0"/>
        <w:rPr>
          <w:rFonts w:hint="eastAsia" w:ascii="黑体" w:hAnsi="黑体" w:eastAsia="黑体" w:cs="黑体"/>
          <w:b/>
          <w:color w:val="000000"/>
          <w:kern w:val="0"/>
          <w:sz w:val="36"/>
          <w:szCs w:val="36"/>
        </w:rPr>
      </w:pPr>
      <w:bookmarkStart w:id="220" w:name="_Toc11811"/>
      <w:r>
        <w:rPr>
          <w:rFonts w:hint="eastAsia" w:ascii="黑体" w:hAnsi="黑体" w:eastAsia="黑体" w:cs="黑体"/>
          <w:b/>
          <w:kern w:val="0"/>
          <w:sz w:val="36"/>
          <w:szCs w:val="36"/>
        </w:rPr>
        <w:t>关于印</w:t>
      </w:r>
      <w:r>
        <w:rPr>
          <w:rFonts w:hint="eastAsia" w:ascii="黑体" w:hAnsi="黑体" w:eastAsia="黑体" w:cs="黑体"/>
          <w:b/>
          <w:color w:val="000000"/>
          <w:kern w:val="0"/>
          <w:sz w:val="36"/>
          <w:szCs w:val="36"/>
        </w:rPr>
        <w:t>发《上海电子信息职业技术学院订单教育教学管理有关规定》的通知</w:t>
      </w:r>
      <w:bookmarkEnd w:id="220"/>
    </w:p>
    <w:p>
      <w:pPr>
        <w:pageBreakBefore w:val="0"/>
        <w:topLinePunct w:val="0"/>
        <w:bidi w:val="0"/>
        <w:spacing w:line="52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52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现将《上海电子信息职业技术学院订单教育教学管理有关规定》印发给你们，请结合本部门工作实际，认真研究执行。</w:t>
      </w:r>
    </w:p>
    <w:p>
      <w:pPr>
        <w:pageBreakBefore w:val="0"/>
        <w:topLinePunct w:val="0"/>
        <w:bidi w:val="0"/>
        <w:spacing w:line="52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附件：上海电子信息职业技术学院订单教育教学管理有关规定</w:t>
      </w:r>
    </w:p>
    <w:p>
      <w:pPr>
        <w:pageBreakBefore w:val="0"/>
        <w:topLinePunct w:val="0"/>
        <w:bidi w:val="0"/>
        <w:spacing w:line="52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ind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ind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ind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20" w:lineRule="exact"/>
        <w:ind w:right="48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2018年7月10日</w:t>
      </w:r>
    </w:p>
    <w:p>
      <w:pPr>
        <w:pageBreakBefore w:val="0"/>
        <w:topLinePunct w:val="0"/>
        <w:autoSpaceDE w:val="0"/>
        <w:autoSpaceDN w:val="0"/>
        <w:bidi w:val="0"/>
        <w:adjustRightInd w:val="0"/>
        <w:spacing w:after="312" w:afterLines="100" w:line="400" w:lineRule="exact"/>
        <w:jc w:val="center"/>
        <w:outlineLvl w:val="9"/>
        <w:rPr>
          <w:rFonts w:ascii="仿宋" w:hAnsi="仿宋" w:eastAsia="仿宋" w:cs="仿宋"/>
          <w:b/>
          <w:color w:val="000000"/>
          <w:kern w:val="0"/>
          <w:sz w:val="32"/>
          <w:szCs w:val="32"/>
        </w:rPr>
      </w:pPr>
    </w:p>
    <w:p>
      <w:pPr>
        <w:pageBreakBefore w:val="0"/>
        <w:topLinePunct w:val="0"/>
        <w:autoSpaceDE w:val="0"/>
        <w:autoSpaceDN w:val="0"/>
        <w:bidi w:val="0"/>
        <w:adjustRightInd w:val="0"/>
        <w:spacing w:after="312" w:afterLines="100" w:line="400" w:lineRule="exact"/>
        <w:jc w:val="both"/>
        <w:outlineLvl w:val="9"/>
        <w:rPr>
          <w:rFonts w:ascii="仿宋" w:hAnsi="仿宋" w:eastAsia="仿宋" w:cs="仿宋"/>
          <w:b/>
          <w:color w:val="000000"/>
          <w:kern w:val="0"/>
          <w:sz w:val="32"/>
          <w:szCs w:val="32"/>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订单教育教学管理有关规定</w:t>
      </w:r>
      <w:bookmarkEnd w:id="213"/>
      <w:bookmarkEnd w:id="214"/>
      <w:bookmarkEnd w:id="215"/>
      <w:bookmarkEnd w:id="216"/>
      <w:bookmarkEnd w:id="217"/>
      <w:bookmarkEnd w:id="218"/>
      <w:bookmarkEnd w:id="219"/>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订单教育是我校进行高职教育办学模式改革创新的重要举措，它对于我校教育教学改革、不断提高教学质量、解决学生就业问题等都具有十分重要的意义，为了进一步规范办学行为、促进订单教育健康发展，结合我校实际情况，特制订本规定。</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bookmarkStart w:id="221" w:name="_Toc295991944"/>
      <w:r>
        <w:rPr>
          <w:rFonts w:hint="eastAsia" w:ascii="仿宋_GB2312" w:hAnsi="仿宋_GB2312" w:eastAsia="仿宋_GB2312" w:cs="仿宋_GB2312"/>
          <w:kern w:val="2"/>
          <w:sz w:val="28"/>
          <w:szCs w:val="28"/>
          <w:highlight w:val="none"/>
          <w:lang w:val="zh-CN" w:eastAsia="zh-CN" w:bidi="ar-SA"/>
        </w:rPr>
        <w:t>一、订单教育的基本规定</w:t>
      </w:r>
      <w:bookmarkEnd w:id="221"/>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（一）订单教育概念界定</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订单教育是人才培养的一种模式，该模式中与企业合作举办订单教育可以采取多种形式。学生以订单生的身份从原有班级中选拔出来组成订单班，进行有职业针对性的教育，学校与企业对其进行合作培养。在订单培养期间学生每月可以享受企业支付的学习津贴，并以“准员工”的身份进入企业进行顶岗实习。</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zh-CN" w:eastAsia="zh-CN" w:bidi="ar-SA"/>
        </w:rPr>
        <w:t>（二）组班形式</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订单教育可以是学校与一个企业、也可以是学校与几个相关企业签订订单教育协议，组班进行产学合作教育。</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（三）组班时间及教学安排</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订单教育办学的时间由校企双方协商确定，按订单教育的教学计划组织教学，其中理论教学以在校学习为主，实习由企业安排在相关岗位上进行顶岗实习。</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（四）订单教育办学基本原则</w:t>
      </w:r>
    </w:p>
    <w:p>
      <w:pPr>
        <w:keepNext w:val="0"/>
        <w:keepLines w:val="0"/>
        <w:pageBreakBefore w:val="0"/>
        <w:widowControl w:val="0"/>
        <w:tabs>
          <w:tab w:val="left" w:pos="720"/>
          <w:tab w:val="left" w:pos="1080"/>
        </w:tabs>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zh-CN" w:eastAsia="zh-CN" w:bidi="ar-SA"/>
        </w:rPr>
        <w:t>1</w:t>
      </w:r>
      <w:r>
        <w:rPr>
          <w:rFonts w:hint="eastAsia" w:ascii="仿宋_GB2312" w:hAnsi="仿宋_GB2312" w:eastAsia="仿宋_GB2312" w:cs="仿宋_GB2312"/>
          <w:kern w:val="2"/>
          <w:sz w:val="28"/>
          <w:szCs w:val="28"/>
          <w:highlight w:val="none"/>
          <w:lang w:val="en-US" w:eastAsia="zh-CN" w:bidi="ar-SA"/>
        </w:rPr>
        <w:t>．双赢原则——</w:t>
      </w:r>
      <w:r>
        <w:rPr>
          <w:rFonts w:hint="eastAsia" w:ascii="仿宋_GB2312" w:hAnsi="仿宋_GB2312" w:eastAsia="仿宋_GB2312" w:cs="仿宋_GB2312"/>
          <w:kern w:val="2"/>
          <w:sz w:val="28"/>
          <w:szCs w:val="28"/>
          <w:highlight w:val="none"/>
          <w:lang w:val="zh-CN" w:eastAsia="zh-CN" w:bidi="ar-SA"/>
        </w:rPr>
        <w:t>订单教育合作双方</w:t>
      </w:r>
      <w:r>
        <w:rPr>
          <w:rFonts w:hint="eastAsia" w:ascii="仿宋_GB2312" w:hAnsi="仿宋_GB2312" w:eastAsia="仿宋_GB2312" w:cs="仿宋_GB2312"/>
          <w:kern w:val="2"/>
          <w:sz w:val="28"/>
          <w:szCs w:val="28"/>
          <w:highlight w:val="none"/>
          <w:lang w:val="en-US" w:eastAsia="zh-CN" w:bidi="ar-SA"/>
        </w:rPr>
        <w:t>相互关心对方利益的最大化，力求使对方困难或损失最小化；做到平等、自愿、互惠、利益共享、风险共担。</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zh-CN" w:eastAsia="zh-CN" w:bidi="ar-SA"/>
        </w:rPr>
        <w:t>2</w:t>
      </w:r>
      <w:r>
        <w:rPr>
          <w:rFonts w:hint="eastAsia" w:ascii="仿宋_GB2312" w:hAnsi="仿宋_GB2312" w:eastAsia="仿宋_GB2312" w:cs="仿宋_GB2312"/>
          <w:kern w:val="2"/>
          <w:sz w:val="28"/>
          <w:szCs w:val="28"/>
          <w:highlight w:val="none"/>
          <w:lang w:val="en-US" w:eastAsia="zh-CN" w:bidi="ar-SA"/>
        </w:rPr>
        <w:t>．协调性原则——在</w:t>
      </w:r>
      <w:r>
        <w:rPr>
          <w:rFonts w:hint="eastAsia" w:ascii="仿宋_GB2312" w:hAnsi="仿宋_GB2312" w:eastAsia="仿宋_GB2312" w:cs="仿宋_GB2312"/>
          <w:kern w:val="2"/>
          <w:sz w:val="28"/>
          <w:szCs w:val="28"/>
          <w:highlight w:val="none"/>
          <w:lang w:val="zh-CN" w:eastAsia="zh-CN" w:bidi="ar-SA"/>
        </w:rPr>
        <w:t>订单教育</w:t>
      </w:r>
      <w:r>
        <w:rPr>
          <w:rFonts w:hint="eastAsia" w:ascii="仿宋_GB2312" w:hAnsi="仿宋_GB2312" w:eastAsia="仿宋_GB2312" w:cs="仿宋_GB2312"/>
          <w:kern w:val="2"/>
          <w:sz w:val="28"/>
          <w:szCs w:val="28"/>
          <w:highlight w:val="none"/>
          <w:lang w:val="en-US" w:eastAsia="zh-CN" w:bidi="ar-SA"/>
        </w:rPr>
        <w:t>中，</w:t>
      </w:r>
      <w:r>
        <w:rPr>
          <w:rFonts w:hint="eastAsia" w:ascii="仿宋_GB2312" w:hAnsi="仿宋_GB2312" w:eastAsia="仿宋_GB2312" w:cs="仿宋_GB2312"/>
          <w:kern w:val="2"/>
          <w:sz w:val="28"/>
          <w:szCs w:val="28"/>
          <w:highlight w:val="none"/>
          <w:lang w:val="zh-CN" w:eastAsia="zh-CN" w:bidi="ar-SA"/>
        </w:rPr>
        <w:t>合作双方</w:t>
      </w:r>
      <w:r>
        <w:rPr>
          <w:rFonts w:hint="eastAsia" w:ascii="仿宋_GB2312" w:hAnsi="仿宋_GB2312" w:eastAsia="仿宋_GB2312" w:cs="仿宋_GB2312"/>
          <w:kern w:val="2"/>
          <w:sz w:val="28"/>
          <w:szCs w:val="28"/>
          <w:highlight w:val="none"/>
          <w:lang w:val="en-US" w:eastAsia="zh-CN" w:bidi="ar-SA"/>
        </w:rPr>
        <w:t>共同找到最佳的结合点；结合点是目标统一、内容明确、权利分明，各方受益；如果确属不能同等受益，一方应主动对另一方提供补偿。</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zh-CN" w:eastAsia="zh-CN" w:bidi="ar-SA"/>
        </w:rPr>
        <w:t>3</w:t>
      </w:r>
      <w:r>
        <w:rPr>
          <w:rFonts w:hint="eastAsia" w:ascii="仿宋_GB2312" w:hAnsi="仿宋_GB2312" w:eastAsia="仿宋_GB2312" w:cs="仿宋_GB2312"/>
          <w:kern w:val="2"/>
          <w:sz w:val="28"/>
          <w:szCs w:val="28"/>
          <w:highlight w:val="none"/>
          <w:lang w:val="en-US" w:eastAsia="zh-CN" w:bidi="ar-SA"/>
        </w:rPr>
        <w:t>．教育性原则——不论采取何种方式，在校内（校外）实训实习基地参加生产劳动或者在企业进行</w:t>
      </w:r>
      <w:r>
        <w:rPr>
          <w:rFonts w:hint="eastAsia" w:ascii="仿宋_GB2312" w:hAnsi="仿宋_GB2312" w:eastAsia="仿宋_GB2312" w:cs="仿宋_GB2312"/>
          <w:kern w:val="2"/>
          <w:sz w:val="28"/>
          <w:szCs w:val="28"/>
          <w:highlight w:val="none"/>
          <w:lang w:val="zh-CN" w:eastAsia="zh-CN" w:bidi="ar-SA"/>
        </w:rPr>
        <w:t>顶岗实习</w:t>
      </w:r>
      <w:r>
        <w:rPr>
          <w:rFonts w:hint="eastAsia" w:ascii="仿宋_GB2312" w:hAnsi="仿宋_GB2312" w:eastAsia="仿宋_GB2312" w:cs="仿宋_GB2312"/>
          <w:kern w:val="2"/>
          <w:sz w:val="28"/>
          <w:szCs w:val="28"/>
          <w:highlight w:val="none"/>
          <w:lang w:val="en-US" w:eastAsia="zh-CN" w:bidi="ar-SA"/>
        </w:rPr>
        <w:t>，都要坚持既能通过生产实践使理论与实践结合，学会生产知识技能，又能提高学生的职业道德。</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bookmarkStart w:id="222" w:name="_Toc295991945"/>
      <w:r>
        <w:rPr>
          <w:rFonts w:hint="eastAsia" w:ascii="仿宋_GB2312" w:hAnsi="仿宋_GB2312" w:eastAsia="仿宋_GB2312" w:cs="仿宋_GB2312"/>
          <w:kern w:val="2"/>
          <w:sz w:val="28"/>
          <w:szCs w:val="28"/>
          <w:highlight w:val="none"/>
          <w:lang w:val="zh-CN" w:eastAsia="zh-CN" w:bidi="ar-SA"/>
        </w:rPr>
        <w:t>二、订单教育的运行机制（职能部门及其工作职责）</w:t>
      </w:r>
      <w:bookmarkEnd w:id="222"/>
    </w:p>
    <w:p>
      <w:pPr>
        <w:keepNext w:val="0"/>
        <w:keepLines w:val="0"/>
        <w:pageBreakBefore w:val="0"/>
        <w:widowControl w:val="0"/>
        <w:tabs>
          <w:tab w:val="left" w:pos="1080"/>
        </w:tabs>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（一）</w:t>
      </w:r>
      <w:r>
        <w:rPr>
          <w:rFonts w:hint="eastAsia" w:ascii="仿宋_GB2312" w:hAnsi="仿宋_GB2312" w:eastAsia="仿宋_GB2312" w:cs="仿宋_GB2312"/>
          <w:kern w:val="2"/>
          <w:sz w:val="28"/>
          <w:szCs w:val="28"/>
          <w:highlight w:val="none"/>
          <w:lang w:val="zh-CN" w:eastAsia="zh-CN" w:bidi="ar-SA"/>
        </w:rPr>
        <w:t>校企合作办公室</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汇总整理来自企事业单位的订单需求信息，开发</w:t>
      </w:r>
      <w:r>
        <w:rPr>
          <w:rFonts w:hint="eastAsia" w:ascii="仿宋_GB2312" w:hAnsi="仿宋_GB2312" w:eastAsia="仿宋_GB2312" w:cs="仿宋_GB2312"/>
          <w:kern w:val="2"/>
          <w:sz w:val="28"/>
          <w:szCs w:val="28"/>
          <w:highlight w:val="none"/>
          <w:lang w:val="zh-CN" w:eastAsia="zh-CN" w:bidi="ar-SA"/>
        </w:rPr>
        <w:t>订单教育办学项目，签订订单教育办学协议，负责订单教育毕业生跟踪调查。</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（二）教务处</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负责牵头，协调各方教育资源进行教学质量过程监控、实地督导，确保订单教育的有效实施，统一修订订单教育运行文本样式、管理流程。</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（三）各二级学院</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协助开发</w:t>
      </w:r>
      <w:r>
        <w:rPr>
          <w:rFonts w:hint="eastAsia" w:ascii="仿宋_GB2312" w:hAnsi="仿宋_GB2312" w:eastAsia="仿宋_GB2312" w:cs="仿宋_GB2312"/>
          <w:kern w:val="2"/>
          <w:sz w:val="28"/>
          <w:szCs w:val="28"/>
          <w:highlight w:val="none"/>
          <w:lang w:val="zh-CN" w:eastAsia="zh-CN" w:bidi="ar-SA"/>
        </w:rPr>
        <w:t>订单教育办学项目；按要求进行订单教育教学计划、课程标准的修订；动员、组织学生参加面试；承担订单教育教学任务；做好本学院订单教育学生的学籍管理工作。</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（四）学生处</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加强订单班学生管理，落实订单教育教学班专（兼）职辅导员，研究划分行政班辅导员与订单班辅导员的工作界面，拟订订单班辅导员的管理规程。学生管理也可适当吸收相关企业的管理办法，欢迎订单单位参与管理，逐步形成订单班的管理特色。</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bookmarkStart w:id="223" w:name="_Toc295991946"/>
      <w:r>
        <w:rPr>
          <w:rFonts w:hint="eastAsia" w:ascii="仿宋_GB2312" w:hAnsi="仿宋_GB2312" w:eastAsia="仿宋_GB2312" w:cs="仿宋_GB2312"/>
          <w:kern w:val="2"/>
          <w:sz w:val="28"/>
          <w:szCs w:val="28"/>
          <w:highlight w:val="none"/>
          <w:lang w:val="zh-CN" w:eastAsia="zh-CN" w:bidi="ar-SA"/>
        </w:rPr>
        <w:t>三、订单教育的运行过程</w:t>
      </w:r>
      <w:bookmarkEnd w:id="223"/>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（一）订单教育需求信息汇总分析</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校企合作办公室和各二级学院通过订单教育意向调研表等形式收集、分析订单教育需求信息，提出订单组班建议。</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（二）订单教育合作办学协议的签订</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按学校合同流程，学校与用人单位签订合作办学协议。</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（三）</w:t>
      </w:r>
      <w:r>
        <w:rPr>
          <w:rFonts w:hint="eastAsia" w:ascii="仿宋_GB2312" w:hAnsi="仿宋_GB2312" w:eastAsia="仿宋_GB2312" w:cs="仿宋_GB2312"/>
          <w:kern w:val="2"/>
          <w:sz w:val="28"/>
          <w:szCs w:val="28"/>
          <w:highlight w:val="none"/>
          <w:lang w:val="zh-CN" w:eastAsia="zh-CN" w:bidi="ar-SA"/>
        </w:rPr>
        <w:t>培养方案的制订</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订单教育的培养方案由学校相关二级学院与合作单位的技术专家共同协商制订，由办学各方联合进行课程开发，主要课程、训练科目和内容完全根据岗位群的需要来设置。经用人单位认可和学校审批后，报教务处备案。</w:t>
      </w:r>
    </w:p>
    <w:p>
      <w:pPr>
        <w:keepNext w:val="0"/>
        <w:keepLines w:val="0"/>
        <w:pageBreakBefore w:val="0"/>
        <w:widowControl w:val="0"/>
        <w:kinsoku/>
        <w:wordWrap/>
        <w:overflowPunct/>
        <w:topLinePunct w:val="0"/>
        <w:bidi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w:t>
      </w:r>
      <w:r>
        <w:rPr>
          <w:rFonts w:hint="eastAsia" w:ascii="仿宋_GB2312" w:hAnsi="仿宋_GB2312" w:eastAsia="仿宋_GB2312" w:cs="仿宋_GB2312"/>
          <w:kern w:val="2"/>
          <w:sz w:val="28"/>
          <w:szCs w:val="28"/>
          <w:highlight w:val="none"/>
          <w:lang w:val="zh-CN" w:eastAsia="zh-CN" w:bidi="ar-SA"/>
        </w:rPr>
        <w:t>四）订单班学生选拔条件</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1．选拔原则是“专业相近，综合考核，择优选拔”。</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2．选拔对象为在校生，以本专业学生为主，不足时优先在同批次相近专业中选拔。</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3．学生此前所学课程原则上必须全部合格（允许经补考后全部合格）。</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4．学生在校期间无违纪行为。</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（五）订单教育的组班程序</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1．在学校与合作单位达成订单教育协议的基础上，由校企合作办公室或二级学院负责会同合作单位进行宣传动员。</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2．各相关二级学院负责组织学生自主选择、自愿报名，并进行评审和选拔，并将符合条件的名单分报教务处、学生处和财务处。</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3．教务处、学生处和财务处分别审核学生的学习成绩、德育表现及学费交纳情况，并将审核结果报校企合作办公室及二级学院。</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4．校企合作办公室或二级学院汇总后，会同相关系部组织符合条件的学生参加用人单位的面试，并将考核结果及组班的有关要求及时书面通知相关学院、教务处及学生处。</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5．校企合作办公室和订单班所在二级学院负责班级的组建工作。</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6．校企合作办公室负责会同合作单位与录取学生签订订单教育三方协议书。</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（六）订单教育教学实施环节</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1．相关二级学院负责安排落实订单教育的教学任务，协调使用教学资源，选派熟悉相应职业技术的、具有双师素质的教师担任订单班的教学任务，同时充分利用企业的人力资源与物质资源，聘请用人单位安排技术人员作为兼职教师，承担有关课程的教学。</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2．由订单单位安排学生进行顶岗实习，订单学生所在二级学院指派专人负责校企联络。</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（七）教学过程管理与监控</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1．教务处根据学校教学管理的有关规定，结合订单教育的实际情况，实施教学过程管理。</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2．各二级学院与相关职能部门应定期或不定期地召开订单班学生、任课教师、辅导员座谈会，征求学生、教师对订单班教育教学及管理方面的意见，及时总结经验，查找不足，研究确定解决问题的办法，保证订单教育正常开展。</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bookmarkStart w:id="224" w:name="_Toc295991947"/>
      <w:r>
        <w:rPr>
          <w:rFonts w:hint="eastAsia" w:ascii="仿宋_GB2312" w:hAnsi="仿宋_GB2312" w:eastAsia="仿宋_GB2312" w:cs="仿宋_GB2312"/>
          <w:kern w:val="2"/>
          <w:sz w:val="28"/>
          <w:szCs w:val="28"/>
          <w:highlight w:val="none"/>
          <w:lang w:val="zh-CN" w:eastAsia="zh-CN" w:bidi="ar-SA"/>
        </w:rPr>
        <w:t>四、订单教育管理运行流程图</w:t>
      </w:r>
      <w:bookmarkEnd w:id="224"/>
    </w:p>
    <w:p>
      <w:pPr>
        <w:pageBreakBefore w:val="0"/>
        <w:topLinePunct w:val="0"/>
        <w:autoSpaceDE w:val="0"/>
        <w:autoSpaceDN w:val="0"/>
        <w:bidi w:val="0"/>
        <w:adjustRightInd w:val="0"/>
        <w:spacing w:line="400" w:lineRule="exact"/>
        <w:outlineLvl w:val="9"/>
        <w:rPr>
          <w:rFonts w:ascii="仿宋" w:hAnsi="仿宋" w:eastAsia="仿宋" w:cs="仿宋"/>
          <w:bCs/>
          <w:color w:val="000000"/>
          <w:szCs w:val="21"/>
          <w:lang w:val="zh-CN"/>
        </w:rPr>
      </w:pPr>
      <w:r>
        <w:rPr>
          <w:rFonts w:hint="eastAsia" w:ascii="仿宋" w:hAnsi="仿宋" w:eastAsia="仿宋" w:cs="仿宋"/>
          <w:b/>
          <w:bCs/>
          <w:color w:val="000000"/>
          <w:szCs w:val="21"/>
          <w:lang w:val="zh-CN"/>
        </w:rPr>
        <w:br w:type="page"/>
      </w:r>
    </w:p>
    <w:p>
      <w:pPr>
        <w:pageBreakBefore w:val="0"/>
        <w:topLinePunct w:val="0"/>
        <w:autoSpaceDE w:val="0"/>
        <w:autoSpaceDN w:val="0"/>
        <w:bidi w:val="0"/>
        <w:adjustRightInd w:val="0"/>
        <w:ind w:firstLine="802" w:firstLineChars="333"/>
        <w:outlineLvl w:val="9"/>
        <w:rPr>
          <w:rFonts w:ascii="仿宋" w:hAnsi="仿宋" w:eastAsia="仿宋" w:cs="仿宋"/>
          <w:b/>
          <w:bCs/>
          <w:color w:val="000000"/>
          <w:sz w:val="24"/>
          <w:lang w:val="zh-CN"/>
        </w:rPr>
      </w:pPr>
      <w:r>
        <w:rPr>
          <w:rFonts w:hint="eastAsia" w:ascii="仿宋" w:hAnsi="仿宋" w:eastAsia="仿宋" w:cs="仿宋"/>
          <w:b/>
          <w:bCs/>
          <w:color w:val="000000"/>
          <w:sz w:val="24"/>
          <w:lang w:val="zh-CN"/>
        </w:rPr>
        <w:t xml:space="preserve">         项目内容            责任部门            文本样式      </w: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color w:val="000000"/>
        </w:rPr>
        <w:pict>
          <v:shape id="文本框 65" o:spid="_x0000_s1041" o:spt="202" type="#_x0000_t202" style="position:absolute;left:0pt;margin-left:333.5pt;margin-top:8.2pt;height:54.6pt;width:81pt;z-index:251686912;mso-width-relative:page;mso-height-relative:page;" fillcolor="#FFFFFF" filled="t" stroked="t" coordsize="21600,21600" o:gfxdata="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j2k5+2AAAAAoBAAAPAAAAAAAAAAEAIAAAACIA&#10;AABkcnMvZG93bnJldi54bWxQSwECFAAUAAAACACHTuJABWFOVkICAACJBAAADgAAAAAAAAABACAA&#10;AAAnAQAAZHJzL2Uyb0RvYy54bWxQSwUGAAAAAAYABgBZAQAA2wUAAAAA&#10;">
            <v:path/>
            <v:fill on="t" focussize="0,0"/>
            <v:stroke joinstyle="miter"/>
            <v:imagedata o:title=""/>
            <o:lock v:ext="edit" aspectratio="f"/>
            <v:textbox>
              <w:txbxContent>
                <w:p>
                  <w:r>
                    <w:rPr>
                      <w:rFonts w:hint="eastAsia"/>
                      <w:b/>
                      <w:bCs/>
                      <w:sz w:val="24"/>
                      <w:lang w:val="zh-CN"/>
                    </w:rPr>
                    <w:t>订单教育意向调研</w:t>
                  </w:r>
                </w:p>
                <w:p/>
              </w:txbxContent>
            </v:textbox>
          </v:shape>
        </w:pict>
      </w:r>
      <w:r>
        <w:rPr>
          <w:rFonts w:hint="eastAsia" w:ascii="仿宋" w:hAnsi="仿宋" w:eastAsia="仿宋" w:cs="仿宋"/>
          <w:color w:val="000000"/>
        </w:rPr>
        <w:pict>
          <v:shape id="文本框 64" o:spid="_x0000_s1042" o:spt="202" type="#_x0000_t202" style="position:absolute;left:0pt;margin-left:198pt;margin-top:6.6pt;height:55.4pt;width:99pt;z-index:251685888;mso-width-relative:page;mso-height-relative:page;" fillcolor="#FFFFFF" filled="t" stroked="t" coordsize="21600,21600" o:gfxdata="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N5oczXAAAACgEAAA8AAAAAAAAAAQAgAAAAIgAA&#10;AGRycy9kb3ducmV2LnhtbFBLAQIUABQAAAAIAIdO4kA+evpkQgIAAIkEAAAOAAAAAAAAAAEAIAAA&#10;ACYBAABkcnMvZTJvRG9jLnhtbFBLBQYAAAAABgAGAFkBAADaBQAAAAA=&#10;">
            <v:path/>
            <v:fill on="t" focussize="0,0"/>
            <v:stroke joinstyle="miter"/>
            <v:imagedata o:title=""/>
            <o:lock v:ext="edit" aspectratio="f"/>
            <v:textbox>
              <w:txbxContent>
                <w:p>
                  <w:pPr>
                    <w:rPr>
                      <w:b/>
                      <w:sz w:val="24"/>
                      <w:lang w:val="zh-CN"/>
                    </w:rPr>
                  </w:pPr>
                  <w:r>
                    <w:rPr>
                      <w:rFonts w:hint="eastAsia"/>
                      <w:b/>
                      <w:sz w:val="24"/>
                      <w:lang w:val="zh-CN"/>
                    </w:rPr>
                    <w:t>校企合作办公室和各二级学院</w:t>
                  </w:r>
                </w:p>
              </w:txbxContent>
            </v:textbox>
          </v:shape>
        </w:pict>
      </w:r>
      <w:r>
        <w:rPr>
          <w:rFonts w:hint="eastAsia" w:ascii="仿宋" w:hAnsi="仿宋" w:eastAsia="仿宋" w:cs="仿宋"/>
          <w:color w:val="000000"/>
        </w:rPr>
        <w:pict>
          <v:shape id="文本框 63" o:spid="_x0000_s1043" o:spt="202" type="#_x0000_t202" style="position:absolute;left:0pt;margin-left:90pt;margin-top:6.6pt;height:54.6pt;width:72pt;z-index:251684864;mso-width-relative:page;mso-height-relative:page;" fillcolor="#FFFFFF" filled="t" stroked="t" coordsize="21600,21600" o:gfxdata="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S2zMtYAAAAKAQAADwAAAAAAAAABACAAAAAiAAAAZHJz&#10;L2Rvd25yZXYueG1sUEsBAhQAFAAAAAgAh07iQIjA5NY/AgAAiAQAAA4AAAAAAAAAAQAgAAAAJQEA&#10;AGRycy9lMm9Eb2MueG1sUEsFBgAAAAAGAAYAWQEAANYFAAAAAA==&#10;">
            <v:path/>
            <v:fill on="t" focussize="0,0"/>
            <v:stroke joinstyle="miter"/>
            <v:imagedata o:title=""/>
            <o:lock v:ext="edit" aspectratio="f"/>
            <v:textbox>
              <w:txbxContent>
                <w:p>
                  <w:r>
                    <w:rPr>
                      <w:rFonts w:hint="eastAsia"/>
                      <w:b/>
                      <w:bCs/>
                      <w:sz w:val="24"/>
                      <w:lang w:val="zh-CN"/>
                    </w:rPr>
                    <w:t>订单教育意向调研</w:t>
                  </w:r>
                </w:p>
              </w:txbxContent>
            </v:textbox>
          </v:shape>
        </w:pict>
      </w:r>
      <w:r>
        <w:rPr>
          <w:rFonts w:hint="eastAsia" w:ascii="仿宋" w:hAnsi="仿宋" w:eastAsia="仿宋" w:cs="仿宋"/>
          <w:color w:val="000000"/>
        </w:rPr>
        <w:pict>
          <v:group id="组合 59" o:spid="_x0000_s1044" o:spt="203" style="position:absolute;left:0pt;margin-left:27pt;margin-top:14pt;height:578.25pt;width:55.35pt;z-index:251702272;mso-width-relative:page;mso-height-relative:page;" coordsize="1107,11565" o:gfxdata="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i4kUAdoAAAAKAQAADwAAAAAAAAABACAAAAAiAAAAZHJzL2Rvd25yZXYueG1sUEsBAhQA&#10;FAAAAAgAh07iQIOX/TebAgAAdAgAAA4AAAAAAAAAAQAgAAAAKQEAAGRycy9lMm9Eb2MueG1sUEsF&#10;BgAAAAAGAAYAWQEAADYGAAAAAA==&#10;">
            <o:lock v:ext="edit" aspectratio="f"/>
            <v:line id="Line 20" o:spid="_x0000_s1045" o:spt="20" style="position:absolute;left:27;top:11565;flip:x;height:0;width:1080;" filled="f" stroked="t" coordsize="21600,21600" o:gfxdata="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Kd8hm2AAAA2wAAAA8A&#10;AAAAAAAAAQAgAAAAIgAAAGRycy9kb3ducmV2LnhtbFBLAQIUABQAAAAIAIdO4kAzLwWeOwAAADkA&#10;AAAQAAAAAAAAAAEAIAAAAAUBAABkcnMvc2hhcGV4bWwueG1sUEsFBgAAAAAGAAYAWwEAAK8DAAAA&#10;AA==&#10;">
              <v:path arrowok="t"/>
              <v:fill on="f" focussize="0,0"/>
              <v:stroke weight="3pt" linestyle="thinThin" joinstyle="round" endarrow="classic" endarrowwidth="wide" endarrowlength="long"/>
              <v:imagedata o:title=""/>
              <o:lock v:ext="edit" aspectratio="f"/>
            </v:line>
            <v:line id="Line 21" o:spid="_x0000_s1046" o:spt="20" style="position:absolute;left:0;top:0;flip:y;height:11544;width:0;" filled="f" stroked="t" coordsize="21600,21600" o:gfxdata="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0VeCugAAANsA&#10;AAAPAAAAAAAAAAEAIAAAACIAAABkcnMvZG93bnJldi54bWxQSwECFAAUAAAACACHTuJAMy8FnjsA&#10;AAA5AAAAEAAAAAAAAAABACAAAAAJAQAAZHJzL3NoYXBleG1sLnhtbFBLBQYAAAAABgAGAFsBAACz&#10;AwAAAAA=&#10;">
              <v:path arrowok="t"/>
              <v:fill on="f" focussize="0,0"/>
              <v:stroke weight="3pt" linestyle="thinThin" joinstyle="round" endarrow="classic" endarrowwidth="wide" endarrowlength="long"/>
              <v:imagedata o:title=""/>
              <o:lock v:ext="edit" aspectratio="f"/>
            </v:line>
            <v:line id="Line 22" o:spid="_x0000_s1047" o:spt="20" style="position:absolute;left:0;top:0;height:0;width:1080;" filled="f" stroked="t" coordsize="21600,21600" o:gfxdata="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DUbC5AAAA2wAA&#10;AA8AAAAAAAAAAQAgAAAAIgAAAGRycy9kb3ducmV2LnhtbFBLAQIUABQAAAAIAIdO4kAzLwWeOwAA&#10;ADkAAAAQAAAAAAAAAAEAIAAAAAgBAABkcnMvc2hhcGV4bWwueG1sUEsFBgAAAAAGAAYAWwEAALID&#10;AAAAAA==&#10;">
              <v:path arrowok="t"/>
              <v:fill on="f" focussize="0,0"/>
              <v:stroke weight="3pt" linestyle="thinThin" joinstyle="round" endarrow="classic" endarrowwidth="wide" endarrowlength="long"/>
              <v:imagedata o:title=""/>
              <o:lock v:ext="edit" aspectratio="f"/>
            </v:line>
          </v:group>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color w:val="000000"/>
        </w:rPr>
        <w:pict>
          <v:group id="组合 56" o:spid="_x0000_s1048" o:spt="203" style="position:absolute;left:0pt;margin-left:163.35pt;margin-top:7.05pt;height:23.35pt;width:171pt;z-index:251724800;mso-width-relative:page;mso-height-relative:page;" coordsize="2974,407" o:gfxdata="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GsenYzZAAAACQEAAA8AAAAAAAAAAQAgAAAA&#10;IgAAAGRycy9kb3ducmV2LnhtbFBLAQIUABQAAAAIAIdO4kDv7moH7gIAABYJAAAOAAAAAAAAAAEA&#10;IAAAACgBAABkcnMvZTJvRG9jLnhtbFBLBQYAAAAABgAGAFkBAACIBgAAAAA=&#10;">
            <o:lock v:ext="edit" aspectratio="f"/>
            <v:shape id="AutoShape 65" o:spid="_x0000_s1049" o:spt="66" type="#_x0000_t66" style="position:absolute;left:0;top:0;height:407;width:626;" fillcolor="#FFFFFF" filled="t" stroked="t" coordsize="21600,21600" o:gfxdata="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t0RC8AAAA&#10;2wAAAA8AAAAAAAAAAQAgAAAAIgAAAGRycy9kb3ducmV2LnhtbFBLAQIUABQAAAAIAIdO4kAzLwWe&#10;OwAAADkAAAAQAAAAAAAAAAEAIAAAAAsBAABkcnMvc2hhcGV4bWwueG1sUEsFBgAAAAAGAAYAWwEA&#10;ALUDAAAAAA==&#10;" adj="3600,4856">
              <v:path/>
              <v:fill on="t" focussize="0,0"/>
              <v:stroke joinstyle="miter" dashstyle="longDashDotDot"/>
              <v:imagedata o:title=""/>
              <o:lock v:ext="edit" aspectratio="f"/>
            </v:shape>
            <v:shape id="AutoShape 66" o:spid="_x0000_s1050" o:spt="66" type="#_x0000_t66" style="position:absolute;left:2348;top:0;height:407;width:626;" fillcolor="#FFFFFF" filled="t" stroked="t" coordsize="21600,21600" o:gfxdata="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skViugAAANsA&#10;AAAPAAAAAAAAAAEAIAAAACIAAABkcnMvZG93bnJldi54bWxQSwECFAAUAAAACACHTuJAMy8FnjsA&#10;AAA5AAAAEAAAAAAAAAABACAAAAAJAQAAZHJzL3NoYXBleG1sLnhtbFBLBQYAAAAABgAGAFsBAACz&#10;AwAAAAA=&#10;" adj="3600,4856">
              <v:path/>
              <v:fill on="t" focussize="0,0"/>
              <v:stroke joinstyle="miter" dashstyle="longDashDotDot"/>
              <v:imagedata o:title=""/>
              <o:lock v:ext="edit" aspectratio="f"/>
            </v:shape>
          </v:group>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color w:val="000000"/>
        </w:rPr>
        <w:pict>
          <v:shape id="下箭头 55" o:spid="_x0000_s1051" o:spt="67" type="#_x0000_t67" style="position:absolute;left:0pt;margin-left:117pt;margin-top:14pt;height:23.4pt;width:18pt;z-index:251687936;mso-width-relative:page;mso-height-relative:page;" fillcolor="#FFFFFF" filled="t" stroked="t" coordsize="21600,21600" o:gfxdata="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qAiwNYA&#10;AAAJAQAADwAAAAAAAAABACAAAAAiAAAAZHJzL2Rvd25yZXYueG1sUEsBAhQAFAAAAAgAh07iQM7P&#10;mUZaAgAAywQAAA4AAAAAAAAAAQAgAAAAJQEAAGRycy9lMm9Eb2MueG1sUEsFBgAAAAAGAAYAWQEA&#10;APEFAAAAAA==&#10;" adj="16200,5400">
            <v:path/>
            <v:fill on="t" focussize="0,0"/>
            <v:stroke joinstyle="miter"/>
            <v:imagedata o:title=""/>
            <o:lock v:ext="edit" aspectratio="f"/>
            <v:textbox style="layout-flow:vertical-ideographic;"/>
          </v:shape>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color w:val="000000"/>
        </w:rPr>
        <w:pict>
          <v:shape id="文本框 54" o:spid="_x0000_s1052" o:spt="202" type="#_x0000_t202" style="position:absolute;left:0pt;margin-left:202pt;margin-top:2.05pt;height:46.75pt;width:94.45pt;z-index:251710464;mso-width-relative:page;mso-height-relative:page;" fillcolor="#FFFFFF" filled="t" stroked="t" coordsize="21600,21600" o:gfxdata="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HldetgAAAAIAQAADwAAAAAAAAABACAAAAAiAAAA&#10;ZHJzL2Rvd25yZXYueG1sUEsBAhQAFAAAAAgAh07iQG3NDDtAAgAAiQQAAA4AAAAAAAAAAQAgAAAA&#10;JwEAAGRycy9lMm9Eb2MueG1sUEsFBgAAAAAGAAYAWQEAANkFAAAAAA==&#10;">
            <v:path/>
            <v:fill on="t" focussize="0,0"/>
            <v:stroke joinstyle="miter"/>
            <v:imagedata o:title=""/>
            <o:lock v:ext="edit" aspectratio="f"/>
            <v:textbox>
              <w:txbxContent>
                <w:p>
                  <w:pPr>
                    <w:rPr>
                      <w:b/>
                    </w:rPr>
                  </w:pPr>
                  <w:r>
                    <w:rPr>
                      <w:rFonts w:hint="eastAsia"/>
                      <w:b/>
                      <w:sz w:val="24"/>
                      <w:lang w:val="zh-CN"/>
                    </w:rPr>
                    <w:t>校企合作办公室</w:t>
                  </w:r>
                </w:p>
                <w:p/>
              </w:txbxContent>
            </v:textbox>
          </v:shape>
        </w:pict>
      </w:r>
      <w:r>
        <w:rPr>
          <w:rFonts w:hint="eastAsia" w:ascii="仿宋" w:hAnsi="仿宋" w:eastAsia="仿宋" w:cs="仿宋"/>
          <w:color w:val="000000"/>
        </w:rPr>
        <w:pict>
          <v:shape id="文本框 53" o:spid="_x0000_s1053" o:spt="202" type="#_x0000_t202" style="position:absolute;left:0pt;margin-left:333.5pt;margin-top:2.9pt;height:45.6pt;width:81pt;z-index:251711488;mso-width-relative:page;mso-height-relative:page;" fillcolor="#FFFFFF" filled="t" stroked="t" coordsize="21600,21600" o:gfxdata="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5/4iHXAAAACAEAAA8AAAAAAAAAAQAgAAAAIgAA&#10;AGRycy9kb3ducmV2LnhtbFBLAQIUABQAAAAIAIdO4kBCvis9QgIAAIkEAAAOAAAAAAAAAAEAIAAA&#10;ACYBAABkcnMvZTJvRG9jLnhtbFBLBQYAAAAABgAGAFkBAADaBQAAAAA=&#10;">
            <v:path/>
            <v:fill on="t" focussize="0,0"/>
            <v:stroke joinstyle="miter"/>
            <v:imagedata o:title=""/>
            <o:lock v:ext="edit" aspectratio="f"/>
            <v:textbox>
              <w:txbxContent>
                <w:p>
                  <w:r>
                    <w:rPr>
                      <w:rFonts w:hint="eastAsia"/>
                      <w:b/>
                      <w:bCs/>
                      <w:sz w:val="24"/>
                      <w:lang w:val="zh-CN"/>
                    </w:rPr>
                    <w:t>校企合作办学协议</w:t>
                  </w:r>
                </w:p>
              </w:txbxContent>
            </v:textbox>
          </v:shape>
        </w:pict>
      </w:r>
      <w:r>
        <w:rPr>
          <w:rFonts w:hint="eastAsia" w:ascii="仿宋" w:hAnsi="仿宋" w:eastAsia="仿宋" w:cs="仿宋"/>
          <w:color w:val="000000"/>
        </w:rPr>
        <w:pict>
          <v:shape id="文本框 52" o:spid="_x0000_s1054" o:spt="202" type="#_x0000_t202" style="position:absolute;left:0pt;margin-left:90pt;margin-top:4.2pt;height:39pt;width:72pt;z-index:251688960;mso-width-relative:page;mso-height-relative:page;" fillcolor="#FFFFFF" filled="t" stroked="t" coordsize="21600,21600" o:gfxdata="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NR9L9UAAAAIAQAADwAAAAAAAAABACAAAAAiAAAAZHJzL2Rv&#10;d25yZXYueG1sUEsBAhQAFAAAAAgAh07iQDP5N4c9AgAAiAQAAA4AAAAAAAAAAQAgAAAAJAEAAGRy&#10;cy9lMm9Eb2MueG1sUEsFBgAAAAAGAAYAWQEAANMFAAAAAA==&#10;">
            <v:path/>
            <v:fill on="t" focussize="0,0"/>
            <v:stroke joinstyle="miter"/>
            <v:imagedata o:title=""/>
            <o:lock v:ext="edit" aspectratio="f"/>
            <v:textbox>
              <w:txbxContent>
                <w:p>
                  <w:r>
                    <w:rPr>
                      <w:rFonts w:hint="eastAsia"/>
                      <w:b/>
                      <w:bCs/>
                      <w:sz w:val="24"/>
                      <w:lang w:val="zh-CN"/>
                    </w:rPr>
                    <w:t>合作办学协议签订</w:t>
                  </w:r>
                </w:p>
              </w:txbxContent>
            </v:textbox>
          </v:shape>
        </w:pict>
      </w:r>
      <w:r>
        <w:rPr>
          <w:rFonts w:hint="eastAsia" w:ascii="仿宋" w:hAnsi="仿宋" w:eastAsia="仿宋" w:cs="仿宋"/>
          <w:color w:val="000000"/>
        </w:rPr>
        <w:pict>
          <v:group id="组合 49" o:spid="_x0000_s1055" o:spt="203" style="position:absolute;left:0pt;margin-left:163.35pt;margin-top:12.05pt;height:23.35pt;width:171pt;z-index:251703296;mso-width-relative:page;mso-height-relative:page;" coordsize="2974,407" o:gfxdata="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JKdr17aAAAACQEAAA8AAAAAAAAAAQAg&#10;AAAAIgAAAGRycy9kb3ducmV2LnhtbFBLAQIUABQAAAAIAIdO4kC5sbWC8AIAABYJAAAOAAAAAAAA&#10;AAEAIAAAACkBAABkcnMvZTJvRG9jLnhtbFBLBQYAAAAABgAGAFkBAACLBgAAAAA=&#10;">
            <o:lock v:ext="edit" aspectratio="f"/>
            <v:shape id="AutoShape 24" o:spid="_x0000_s1056" o:spt="66" type="#_x0000_t66" style="position:absolute;left:0;top:0;height:407;width:626;" fillcolor="#FFFFFF" filled="t" stroked="t" coordsize="21600,21600" o:gfxdata="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xElkugAAANsA&#10;AAAPAAAAAAAAAAEAIAAAACIAAABkcnMvZG93bnJldi54bWxQSwECFAAUAAAACACHTuJAMy8FnjsA&#10;AAA5AAAAEAAAAAAAAAABACAAAAAJAQAAZHJzL3NoYXBleG1sLnhtbFBLBQYAAAAABgAGAFsBAACz&#10;AwAAAAA=&#10;" adj="3600,4856">
              <v:path/>
              <v:fill on="t" focussize="0,0"/>
              <v:stroke joinstyle="miter" dashstyle="longDashDotDot"/>
              <v:imagedata o:title=""/>
              <o:lock v:ext="edit" aspectratio="f"/>
            </v:shape>
            <v:shape id="AutoShape 25" o:spid="_x0000_s1057" o:spt="66" type="#_x0000_t66" style="position:absolute;left:2348;top:0;height:407;width:626;" fillcolor="#FFFFFF" filled="t" stroked="t" coordsize="21600,21600" o:gfxdata="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I7P+8AAAA&#10;2wAAAA8AAAAAAAAAAQAgAAAAIgAAAGRycy9kb3ducmV2LnhtbFBLAQIUABQAAAAIAIdO4kAzLwWe&#10;OwAAADkAAAAQAAAAAAAAAAEAIAAAAAsBAABkcnMvc2hhcGV4bWwueG1sUEsFBgAAAAAGAAYAWwEA&#10;ALUDAAAAAA==&#10;" adj="3600,4856">
              <v:path/>
              <v:fill on="t" focussize="0,0"/>
              <v:stroke joinstyle="miter" dashstyle="longDashDotDot"/>
              <v:imagedata o:title=""/>
              <o:lock v:ext="edit" aspectratio="f"/>
            </v:shape>
          </v:group>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color w:val="000000"/>
        </w:rPr>
        <w:pict>
          <v:shape id="下箭头 48" o:spid="_x0000_s1058" o:spt="67" type="#_x0000_t67" style="position:absolute;left:0pt;margin-left:117pt;margin-top:11.2pt;height:31.2pt;width:18pt;z-index:251689984;mso-width-relative:page;mso-height-relative:page;" fillcolor="#FFFFFF" filled="t" stroked="t" coordsize="21600,21600" o:gfxdata="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Bpo&#10;ztgAAAAJAQAADwAAAAAAAAABACAAAAAiAAAAZHJzL2Rvd25yZXYueG1sUEsBAhQAFAAAAAgAh07i&#10;QGlVg+VbAgAAywQAAA4AAAAAAAAAAQAgAAAAJwEAAGRycy9lMm9Eb2MueG1sUEsFBgAAAAAGAAYA&#10;WQEAAPQFAAAAAA==&#10;" adj="16201,5400">
            <v:path/>
            <v:fill on="t" focussize="0,0"/>
            <v:stroke joinstyle="miter"/>
            <v:imagedata o:title=""/>
            <o:lock v:ext="edit" aspectratio="f"/>
            <v:textbox style="layout-flow:vertical-ideographic;"/>
          </v:shape>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rPr>
        <w:pict>
          <v:shape id="文本框 32" o:spid="_x0000_s1059" o:spt="202" type="#_x0000_t202" style="position:absolute;left:0pt;margin-left:200.1pt;margin-top:9.55pt;height:55.25pt;width:98.95pt;z-index:251712512;mso-width-relative:page;mso-height-relative:page;" fillcolor="#FFFFFF" filled="t" stroked="t" coordsize="21600,21600" o:gfxdata="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nFlFHZAAAACgEAAA8AAAAAAAAA&#10;AQAgAAAAIgAAAGRycy9kb3ducmV2LnhtbFBLAQIUABQAAAAIAIdO4kBrr+fASQIAAJcEAAAOAAAA&#10;AAAAAAEAIAAAACgBAABkcnMvZTJvRG9jLnhtbFBLBQYAAAAABgAGAFkBAADjBQAAAAA=&#10;">
            <v:path/>
            <v:fill on="t" focussize="0,0"/>
            <v:stroke joinstyle="miter"/>
            <v:imagedata o:title=""/>
            <o:lock v:ext="edit" aspectratio="f"/>
            <v:textbox>
              <w:txbxContent>
                <w:p>
                  <w:pPr>
                    <w:rPr>
                      <w:b/>
                      <w:sz w:val="24"/>
                      <w:lang w:val="zh-CN"/>
                    </w:rPr>
                  </w:pPr>
                  <w:r>
                    <w:rPr>
                      <w:rFonts w:hint="eastAsia"/>
                      <w:b/>
                      <w:sz w:val="24"/>
                      <w:lang w:val="zh-CN"/>
                    </w:rPr>
                    <w:t>教务处</w:t>
                  </w:r>
                </w:p>
                <w:p>
                  <w:pPr>
                    <w:rPr>
                      <w:b/>
                      <w:sz w:val="24"/>
                      <w:lang w:val="zh-CN"/>
                    </w:rPr>
                  </w:pPr>
                  <w:r>
                    <w:rPr>
                      <w:rFonts w:hint="eastAsia"/>
                      <w:b/>
                      <w:sz w:val="24"/>
                      <w:lang w:val="zh-CN"/>
                    </w:rPr>
                    <w:t>各二级学院</w:t>
                  </w:r>
                </w:p>
                <w:p>
                  <w:r>
                    <w:rPr>
                      <w:rFonts w:hint="eastAsia"/>
                      <w:b/>
                      <w:sz w:val="24"/>
                      <w:lang w:val="zh-CN"/>
                    </w:rPr>
                    <w:t>订单单位</w:t>
                  </w:r>
                </w:p>
              </w:txbxContent>
            </v:textbox>
          </v:shape>
        </w:pict>
      </w:r>
      <w:r>
        <w:rPr>
          <w:rFonts w:hint="eastAsia" w:ascii="仿宋" w:hAnsi="仿宋" w:eastAsia="仿宋" w:cs="仿宋"/>
          <w:color w:val="000000"/>
        </w:rPr>
        <w:pict>
          <v:shape id="文本框 44" o:spid="_x0000_s1060" o:spt="202" type="#_x0000_t202" style="position:absolute;left:0pt;margin-left:90pt;margin-top:10.4pt;height:54.6pt;width:72pt;z-index:251691008;mso-width-relative:page;mso-height-relative:page;" fillcolor="#FFFFFF" filled="t" stroked="t" coordsize="21600,21600" o:gfxdata="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&#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BMixbXAAAACgEAAA8AAAAAAAAAAQAgAAAAIgAAAGRy&#10;cy9kb3ducmV2LnhtbFBLAQIUABQAAAAIAIdO4kByqUTBPwIAAIgEAAAOAAAAAAAAAAEAIAAAACYB&#10;AABkcnMvZTJvRG9jLnhtbFBLBQYAAAAABgAGAFkBAADXBQAAAAA=&#10;">
            <v:path/>
            <v:fill on="t" focussize="0,0"/>
            <v:stroke joinstyle="miter"/>
            <v:imagedata o:title=""/>
            <o:lock v:ext="edit" aspectratio="f"/>
            <v:textbox>
              <w:txbxContent>
                <w:p>
                  <w:r>
                    <w:rPr>
                      <w:rFonts w:hint="eastAsia"/>
                      <w:b/>
                      <w:bCs/>
                      <w:sz w:val="24"/>
                      <w:szCs w:val="28"/>
                    </w:rPr>
                    <w:t>培养方案课程标准的修</w:t>
                  </w:r>
                  <w:r>
                    <w:rPr>
                      <w:rFonts w:hint="eastAsia"/>
                      <w:b/>
                      <w:bCs/>
                      <w:sz w:val="24"/>
                      <w:lang w:val="zh-CN"/>
                    </w:rPr>
                    <w:t>订</w:t>
                  </w:r>
                </w:p>
              </w:txbxContent>
            </v:textbox>
          </v:shape>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rPr>
        <w:pict>
          <v:shape id="文本框 31" o:spid="_x0000_s1061" o:spt="202" type="#_x0000_t202" style="position:absolute;left:0pt;margin-left:335.05pt;margin-top:0.45pt;height:51.9pt;width:80.95pt;z-index:251713536;mso-width-relative:page;mso-height-relative:page;" fillcolor="#FFFFFF" filled="t" stroked="t" coordsize="21600,21600" o:gfxdata="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4ZfxP2AAAAAgBAAAPAAAAAAAA&#10;AAEAIAAAACIAAABkcnMvZG93bnJldi54bWxQSwECFAAUAAAACACHTuJA9nk5gUsCAACXBAAADgAA&#10;AAAAAAABACAAAAAnAQAAZHJzL2Uyb0RvYy54bWxQSwUGAAAAAAYABgBZAQAA5AUAAAAA&#10;">
            <v:path/>
            <v:fill on="t" focussize="0,0"/>
            <v:stroke joinstyle="miter"/>
            <v:imagedata o:title=""/>
            <o:lock v:ext="edit" aspectratio="f"/>
            <v:textbox>
              <w:txbxContent>
                <w:p>
                  <w:pPr>
                    <w:rPr>
                      <w:b/>
                      <w:bCs/>
                      <w:sz w:val="24"/>
                      <w:szCs w:val="28"/>
                    </w:rPr>
                  </w:pPr>
                  <w:r>
                    <w:rPr>
                      <w:rFonts w:hint="eastAsia"/>
                      <w:b/>
                      <w:bCs/>
                      <w:sz w:val="24"/>
                      <w:szCs w:val="28"/>
                    </w:rPr>
                    <w:t>培养方案</w:t>
                  </w:r>
                </w:p>
                <w:p>
                  <w:pPr>
                    <w:rPr>
                      <w:b/>
                      <w:bCs/>
                      <w:sz w:val="24"/>
                      <w:szCs w:val="28"/>
                    </w:rPr>
                  </w:pPr>
                  <w:r>
                    <w:rPr>
                      <w:rFonts w:hint="eastAsia"/>
                      <w:b/>
                      <w:bCs/>
                      <w:sz w:val="24"/>
                      <w:szCs w:val="28"/>
                    </w:rPr>
                    <w:t>课程标准</w:t>
                  </w:r>
                </w:p>
                <w:p>
                  <w:pPr>
                    <w:rPr>
                      <w:b/>
                      <w:bCs/>
                      <w:sz w:val="24"/>
                      <w:szCs w:val="28"/>
                    </w:rPr>
                  </w:pPr>
                  <w:r>
                    <w:rPr>
                      <w:rFonts w:hint="eastAsia"/>
                      <w:b/>
                      <w:bCs/>
                      <w:sz w:val="24"/>
                      <w:szCs w:val="28"/>
                    </w:rPr>
                    <w:t>（范例）</w:t>
                  </w:r>
                </w:p>
                <w:p/>
              </w:txbxContent>
            </v:textbox>
          </v:shape>
        </w:pict>
      </w:r>
      <w:r>
        <w:rPr>
          <w:rFonts w:hint="eastAsia" w:ascii="仿宋" w:hAnsi="仿宋" w:eastAsia="仿宋" w:cs="仿宋"/>
          <w:color w:val="000000"/>
        </w:rPr>
        <w:pict>
          <v:group id="组合 41" o:spid="_x0000_s1062" o:spt="203" style="position:absolute;left:0pt;margin-left:162pt;margin-top:10pt;height:23.35pt;width:171pt;z-index:251704320;mso-width-relative:page;mso-height-relative:page;" coordsize="2974,407" o:gfxdata="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6sipbdcAAAAJAQAADwAAAAAAAAABACAAAAAiAAAA&#10;ZHJzL2Rvd25yZXYueG1sUEsBAhQAFAAAAAgAh07iQDLy/AnsAgAAFgkAAA4AAAAAAAAAAQAgAAAA&#10;JgEAAGRycy9lMm9Eb2MueG1sUEsFBgAAAAAGAAYAWQEAAIQGAAAAAA==&#10;">
            <o:lock v:ext="edit" aspectratio="f"/>
            <v:shape id="AutoShape 27" o:spid="_x0000_s1063" o:spt="66" type="#_x0000_t66" style="position:absolute;left:0;top:0;height:407;width:626;" fillcolor="#FFFFFF" filled="t" stroked="t" coordsize="21600,21600" o:gfxdata="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D5FW8AAAA&#10;2wAAAA8AAAAAAAAAAQAgAAAAIgAAAGRycy9kb3ducmV2LnhtbFBLAQIUABQAAAAIAIdO4kAzLwWe&#10;OwAAADkAAAAQAAAAAAAAAAEAIAAAAAsBAABkcnMvc2hhcGV4bWwueG1sUEsFBgAAAAAGAAYAWwEA&#10;ALUDAAAAAA==&#10;" adj="3600,4856">
              <v:path/>
              <v:fill on="t" focussize="0,0"/>
              <v:stroke joinstyle="miter" dashstyle="longDashDotDot"/>
              <v:imagedata o:title=""/>
              <o:lock v:ext="edit" aspectratio="f"/>
            </v:shape>
            <v:shape id="AutoShape 28" o:spid="_x0000_s1064" o:spt="66" type="#_x0000_t66" style="position:absolute;left:2348;top:0;height:407;width:626;" fillcolor="#FFFFFF" filled="t" stroked="t" coordsize="21600,21600" o:gfxdata="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z0HOvQAA&#10;ANsAAAAPAAAAAAAAAAEAIAAAACIAAABkcnMvZG93bnJldi54bWxQSwECFAAUAAAACACHTuJAMy8F&#10;njsAAAA5AAAAEAAAAAAAAAABACAAAAAMAQAAZHJzL3NoYXBleG1sLnhtbFBLBQYAAAAABgAGAFsB&#10;AAC2AwAAAAA=&#10;" adj="3600,4856">
              <v:path/>
              <v:fill on="t" focussize="0,0"/>
              <v:stroke joinstyle="miter" dashstyle="longDashDotDot"/>
              <v:imagedata o:title=""/>
              <o:lock v:ext="edit" aspectratio="f"/>
            </v:shape>
          </v:group>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color w:val="000000"/>
        </w:rPr>
        <w:pict>
          <v:shape id="下箭头 40" o:spid="_x0000_s1065" o:spt="67" type="#_x0000_t67" style="position:absolute;left:0pt;margin-left:117pt;margin-top:1pt;height:31.2pt;width:18pt;z-index:251692032;mso-width-relative:page;mso-height-relative:page;" fillcolor="#FFFFFF" filled="t" stroked="t" coordsize="21600,21600" o:gfxdata="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ua6KtcA&#10;AAAIAQAADwAAAAAAAAABACAAAAAiAAAAZHJzL2Rvd25yZXYueG1sUEsBAhQAFAAAAAgAh07iQATi&#10;ECdZAgAAywQAAA4AAAAAAAAAAQAgAAAAJgEAAGRycy9lMm9Eb2MueG1sUEsFBgAAAAAGAAYAWQEA&#10;APEFAAAAAA==&#10;" adj="16201,5400">
            <v:path/>
            <v:fill on="t" focussize="0,0"/>
            <v:stroke joinstyle="miter"/>
            <v:imagedata o:title=""/>
            <o:lock v:ext="edit" aspectratio="f"/>
            <v:textbox style="layout-flow:vertical-ideographic;"/>
          </v:shape>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rPr>
        <w:pict>
          <v:shape id="文本框 30" o:spid="_x0000_s1066" o:spt="202" type="#_x0000_t202" style="position:absolute;left:0pt;margin-left:198pt;margin-top:1.6pt;height:53.2pt;width:99pt;z-index:251714560;mso-width-relative:page;mso-height-relative:page;" fillcolor="#FFFFFF" filled="t" stroked="t" coordsize="21600,21600" o:gfxdata="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SBOL2AAAAAkBAAAPAAAAAAAAAAEA&#10;IAAAACIAAABkcnMvZG93bnJldi54bWxQSwECFAAUAAAACACHTuJAetSQH0gCAACXBAAADgAAAAAA&#10;AAABACAAAAAnAQAAZHJzL2Uyb0RvYy54bWxQSwUGAAAAAAYABgBZAQAA4QUAAAAA&#10;">
            <v:path/>
            <v:fill on="t" focussize="0,0"/>
            <v:stroke joinstyle="miter"/>
            <v:imagedata o:title=""/>
            <o:lock v:ext="edit" aspectratio="f"/>
            <v:textbox>
              <w:txbxContent>
                <w:p>
                  <w:r>
                    <w:rPr>
                      <w:rFonts w:hint="eastAsia"/>
                      <w:b/>
                      <w:sz w:val="24"/>
                      <w:lang w:val="zh-CN"/>
                    </w:rPr>
                    <w:t>校企合作办公室</w:t>
                  </w:r>
                </w:p>
                <w:p>
                  <w:pPr>
                    <w:rPr>
                      <w:b/>
                      <w:sz w:val="24"/>
                      <w:lang w:val="zh-CN"/>
                    </w:rPr>
                  </w:pPr>
                  <w:r>
                    <w:rPr>
                      <w:rFonts w:hint="eastAsia"/>
                      <w:b/>
                      <w:sz w:val="24"/>
                      <w:lang w:val="zh-CN"/>
                    </w:rPr>
                    <w:t>各二级学院</w:t>
                  </w:r>
                </w:p>
                <w:p>
                  <w:pPr>
                    <w:rPr>
                      <w:b/>
                      <w:sz w:val="24"/>
                      <w:lang w:val="zh-CN"/>
                    </w:rPr>
                  </w:pPr>
                </w:p>
              </w:txbxContent>
            </v:textbox>
          </v:shape>
        </w:pict>
      </w:r>
      <w:r>
        <w:rPr>
          <w:rFonts w:hint="eastAsia" w:ascii="仿宋" w:hAnsi="仿宋" w:eastAsia="仿宋" w:cs="仿宋"/>
        </w:rPr>
        <w:pict>
          <v:shape id="文本框 23" o:spid="_x0000_s1067" o:spt="202" type="#_x0000_t202" style="position:absolute;left:0pt;margin-left:333pt;margin-top:1.75pt;height:46.45pt;width:81pt;z-index:251715584;mso-width-relative:page;mso-height-relative:page;" fillcolor="#FFFFFF" filled="t" stroked="t" coordsize="21600,21600" o:gfxdata="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ZzzLv2AAAAAgBAAAPAAAAAAAAAAEA&#10;IAAAACIAAABkcnMvZG93bnJldi54bWxQSwECFAAUAAAACACHTuJAKMvokUgCAACXBAAADgAAAAAA&#10;AAABACAAAAAnAQAAZHJzL2Uyb0RvYy54bWxQSwUGAAAAAAYABgBZAQAA4QUAAAAA&#10;">
            <v:path/>
            <v:fill on="t" focussize="0,0"/>
            <v:stroke joinstyle="miter"/>
            <v:imagedata o:title=""/>
            <o:lock v:ext="edit" aspectratio="f"/>
            <v:textbox>
              <w:txbxContent>
                <w:p>
                  <w:pPr>
                    <w:rPr>
                      <w:b/>
                    </w:rPr>
                  </w:pPr>
                </w:p>
                <w:p>
                  <w:pPr>
                    <w:rPr>
                      <w:b/>
                    </w:rPr>
                  </w:pPr>
                  <w:r>
                    <w:rPr>
                      <w:rFonts w:hint="eastAsia"/>
                      <w:b/>
                    </w:rPr>
                    <w:t>订单班协议书</w:t>
                  </w:r>
                </w:p>
              </w:txbxContent>
            </v:textbox>
          </v:shape>
        </w:pict>
      </w:r>
      <w:r>
        <w:rPr>
          <w:rFonts w:hint="eastAsia" w:ascii="仿宋" w:hAnsi="仿宋" w:eastAsia="仿宋" w:cs="仿宋"/>
          <w:color w:val="000000"/>
        </w:rPr>
        <w:pict>
          <v:shape id="文本框 36" o:spid="_x0000_s1068" o:spt="202" type="#_x0000_t202" style="position:absolute;left:0pt;margin-left:90pt;margin-top:0.2pt;height:54.6pt;width:72pt;z-index:251693056;mso-width-relative:page;mso-height-relative:page;" fillcolor="#FFFFFF" filled="t" stroked="t" coordsize="21600,21600" o:gfxdata="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u/Wk9tYAAAAIAQAADwAAAAAAAAABACAAAAAiAAAAZHJz&#10;L2Rvd25yZXYueG1sUEsBAhQAFAAAAAgAh07iQKxk93E/AgAAiAQAAA4AAAAAAAAAAQAgAAAAJQEA&#10;AGRycy9lMm9Eb2MueG1sUEsFBgAAAAAGAAYAWQEAANYFAAAAAA==&#10;">
            <v:path/>
            <v:fill on="t" focussize="0,0"/>
            <v:stroke joinstyle="miter"/>
            <v:imagedata o:title=""/>
            <o:lock v:ext="edit" aspectratio="f"/>
            <v:textbox>
              <w:txbxContent>
                <w:p>
                  <w:r>
                    <w:rPr>
                      <w:rFonts w:hint="eastAsia"/>
                      <w:b/>
                      <w:bCs/>
                      <w:sz w:val="24"/>
                      <w:lang w:val="zh-CN"/>
                    </w:rPr>
                    <w:t>学生的选拔与组班</w:t>
                  </w:r>
                </w:p>
              </w:txbxContent>
            </v:textbox>
          </v:shape>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color w:val="000000"/>
        </w:rPr>
        <w:pict>
          <v:group id="组合 33" o:spid="_x0000_s1069" o:spt="203" style="position:absolute;left:0pt;margin-left:163.35pt;margin-top:-0.1pt;height:23.35pt;width:171pt;z-index:251705344;mso-width-relative:page;mso-height-relative:page;" coordsize="2974,407" o:gfxdata="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1JanytgAAAAIAQAADwAAAAAAAAABACAAAAAiAAAA&#10;ZHJzL2Rvd25yZXYueG1sUEsBAhQAFAAAAAgAh07iQCL/hNfrAgAAFgkAAA4AAAAAAAAAAQAgAAAA&#10;JwEAAGRycy9lMm9Eb2MueG1sUEsFBgAAAAAGAAYAWQEAAIQGAAAAAA==&#10;">
            <o:lock v:ext="edit" aspectratio="f"/>
            <v:shape id="AutoShape 30" o:spid="_x0000_s1070" o:spt="66" type="#_x0000_t66" style="position:absolute;left:0;top:0;height:407;width:626;" fillcolor="#FFFFFF" filled="t" stroked="t" coordsize="21600,21600" o:gfxdata="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IKrHvQAA&#10;ANsAAAAPAAAAAAAAAAEAIAAAACIAAABkcnMvZG93bnJldi54bWxQSwECFAAUAAAACACHTuJAMy8F&#10;njsAAAA5AAAAEAAAAAAAAAABACAAAAAMAQAAZHJzL3NoYXBleG1sLnhtbFBLBQYAAAAABgAGAFsB&#10;AAC2AwAAAAA=&#10;" adj="3600,4856">
              <v:path/>
              <v:fill on="t" focussize="0,0"/>
              <v:stroke joinstyle="miter" dashstyle="longDashDotDot"/>
              <v:imagedata o:title=""/>
              <o:lock v:ext="edit" aspectratio="f"/>
            </v:shape>
            <v:shape id="AutoShape 31" o:spid="_x0000_s1071" o:spt="66" type="#_x0000_t66" style="position:absolute;left:2348;top:0;height:407;width:626;" fillcolor="#FFFFFF" filled="t" stroked="t" coordsize="21600,21600" o:gfxdata="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wPXL4A&#10;AADbAAAADwAAAAAAAAABACAAAAAiAAAAZHJzL2Rvd25yZXYueG1sUEsBAhQAFAAAAAgAh07iQDMv&#10;BZ47AAAAOQAAABAAAAAAAAAAAQAgAAAADQEAAGRycy9zaGFwZXhtbC54bWxQSwUGAAAAAAYABgBb&#10;AQAAtwMAAAAA&#10;" adj="3600,4856">
              <v:path/>
              <v:fill on="t" focussize="0,0"/>
              <v:stroke joinstyle="miter" dashstyle="longDashDotDot"/>
              <v:imagedata o:title=""/>
              <o:lock v:ext="edit" aspectratio="f"/>
            </v:shape>
          </v:group>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color w:val="000000"/>
        </w:rPr>
        <w:pict>
          <v:shape id="下箭头 29" o:spid="_x0000_s1072" o:spt="67" type="#_x0000_t67" style="position:absolute;left:0pt;margin-left:117pt;margin-top:6.8pt;height:31.2pt;width:18pt;z-index:251694080;mso-width-relative:page;mso-height-relative:page;" fillcolor="#FFFFFF" filled="t" stroked="t" coordsize="21600,21600" o:gfxdata="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Eaa&#10;fdgAAAAJAQAADwAAAAAAAAABACAAAAAiAAAAZHJzL2Rvd25yZXYueG1sUEsBAhQAFAAAAAgAh07i&#10;QPGnr9NbAgAAywQAAA4AAAAAAAAAAQAgAAAAJwEAAGRycy9lMm9Eb2MueG1sUEsFBgAAAAAGAAYA&#10;WQEAAPQFAAAAAA==&#10;" adj="16201,5400">
            <v:path/>
            <v:fill on="t" focussize="0,0"/>
            <v:stroke joinstyle="miter"/>
            <v:imagedata o:title=""/>
            <o:lock v:ext="edit" aspectratio="f"/>
            <v:textbox style="layout-flow:vertical-ideographic;"/>
          </v:shape>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rPr>
        <w:pict>
          <v:shape id="文本框 22" o:spid="_x0000_s1073" o:spt="202" type="#_x0000_t202" style="position:absolute;left:0pt;margin-left:199.5pt;margin-top:5.5pt;height:43.85pt;width:97.65pt;z-index:251716608;mso-width-relative:page;mso-height-relative:page;" fillcolor="#FFFFFF" filled="t" stroked="t" coordsize="21600,21600" o:gfxdata="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RCeczZAAAACQEAAA8AAAAAAAAA&#10;AQAgAAAAIgAAAGRycy9kb3ducmV2LnhtbFBLAQIUABQAAAAIAIdO4kBeTAQbSQIAAJcEAAAOAAAA&#10;AAAAAAEAIAAAACgBAABkcnMvZTJvRG9jLnhtbFBLBQYAAAAABgAGAFkBAADjBQAAAAA=&#10;">
            <v:path/>
            <v:fill on="t" focussize="0,0"/>
            <v:stroke joinstyle="miter"/>
            <v:imagedata o:title=""/>
            <o:lock v:ext="edit" aspectratio="f"/>
            <v:textbox>
              <w:txbxContent>
                <w:p>
                  <w:pPr>
                    <w:rPr>
                      <w:b/>
                      <w:sz w:val="24"/>
                      <w:lang w:val="zh-CN"/>
                    </w:rPr>
                  </w:pPr>
                  <w:r>
                    <w:rPr>
                      <w:rFonts w:hint="eastAsia"/>
                      <w:b/>
                      <w:sz w:val="24"/>
                      <w:lang w:val="zh-CN"/>
                    </w:rPr>
                    <w:t>教务处</w:t>
                  </w:r>
                </w:p>
                <w:p>
                  <w:pPr>
                    <w:rPr>
                      <w:b/>
                      <w:sz w:val="24"/>
                      <w:lang w:val="zh-CN"/>
                    </w:rPr>
                  </w:pPr>
                  <w:r>
                    <w:rPr>
                      <w:rFonts w:hint="eastAsia"/>
                      <w:b/>
                      <w:sz w:val="24"/>
                      <w:lang w:val="zh-CN"/>
                    </w:rPr>
                    <w:t>各二级学院</w:t>
                  </w:r>
                </w:p>
                <w:p/>
              </w:txbxContent>
            </v:textbox>
          </v:shape>
        </w:pict>
      </w:r>
      <w:r>
        <w:rPr>
          <w:rFonts w:hint="eastAsia" w:ascii="仿宋" w:hAnsi="仿宋" w:eastAsia="仿宋" w:cs="仿宋"/>
        </w:rPr>
        <w:pict>
          <v:shape id="文本框 24" o:spid="_x0000_s1074" o:spt="202" type="#_x0000_t202" style="position:absolute;left:0pt;margin-left:334.15pt;margin-top:6.8pt;height:39.5pt;width:79.9pt;z-index:251717632;mso-width-relative:page;mso-height-relative:page;" fillcolor="#FFFFFF" filled="t" stroked="t" coordsize="21600,21600" o:gfxdata="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wHF9R2AAAAAkBAAAPAAAAAAAAAAEA&#10;IAAAACIAAABkcnMvZG93bnJldi54bWxQSwECFAAUAAAACACHTuJAMnVKuUgCAACXBAAADgAAAAAA&#10;AAABACAAAAAnAQAAZHJzL2Uyb0RvYy54bWxQSwUGAAAAAAYABgBZAQAA4QUAAAAA&#10;">
            <v:path/>
            <v:fill on="t" focussize="0,0"/>
            <v:stroke joinstyle="miter"/>
            <v:imagedata o:title=""/>
            <o:lock v:ext="edit" aspectratio="f"/>
            <v:textbox>
              <w:txbxContent>
                <w:p>
                  <w:pPr>
                    <w:rPr>
                      <w:b/>
                      <w:sz w:val="24"/>
                      <w:lang w:val="zh-CN"/>
                    </w:rPr>
                  </w:pPr>
                  <w:r>
                    <w:rPr>
                      <w:rFonts w:hint="eastAsia"/>
                      <w:b/>
                      <w:sz w:val="24"/>
                      <w:lang w:val="zh-CN"/>
                    </w:rPr>
                    <w:t>订单教育教师安排表</w:t>
                  </w:r>
                </w:p>
              </w:txbxContent>
            </v:textbox>
          </v:shape>
        </w:pict>
      </w:r>
      <w:r>
        <w:rPr>
          <w:rFonts w:hint="eastAsia" w:ascii="仿宋" w:hAnsi="仿宋" w:eastAsia="仿宋" w:cs="仿宋"/>
          <w:color w:val="000000"/>
        </w:rPr>
        <w:pict>
          <v:group id="组合 26" o:spid="_x0000_s1075" o:spt="203" style="position:absolute;left:0pt;margin-left:162pt;margin-top:13.85pt;height:23.35pt;width:171pt;z-index:251706368;mso-width-relative:page;mso-height-relative:page;" coordsize="2974,407" o:gfxdata="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OfxafPaAAAACQEAAA8AAAAAAAAA&#10;AQAgAAAAIgAAAGRycy9kb3ducmV2LnhtbFBLAQIUABQAAAAIAIdO4kAqQNzi8wIAABYJAAAOAAAA&#10;AAAAAAEAIAAAACkBAABkcnMvZTJvRG9jLnhtbFBLBQYAAAAABgAGAFkBAACOBgAAAAA=&#10;">
            <o:lock v:ext="edit" aspectratio="f"/>
            <v:shape id="AutoShape 33" o:spid="_x0000_s1076" o:spt="66" type="#_x0000_t66" style="position:absolute;left:0;top:0;height:407;width:626;" fillcolor="#FFFFFF" filled="t" stroked="t" coordsize="21600,21600" o:gfxdata="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rom28AAAA&#10;2wAAAA8AAAAAAAAAAQAgAAAAIgAAAGRycy9kb3ducmV2LnhtbFBLAQIUABQAAAAIAIdO4kAzLwWe&#10;OwAAADkAAAAQAAAAAAAAAAEAIAAAAAsBAABkcnMvc2hhcGV4bWwueG1sUEsFBgAAAAAGAAYAWwEA&#10;ALUDAAAAAA==&#10;" adj="3600,4856">
              <v:path/>
              <v:fill on="t" focussize="0,0"/>
              <v:stroke joinstyle="miter" dashstyle="longDashDotDot"/>
              <v:imagedata o:title=""/>
              <o:lock v:ext="edit" aspectratio="f"/>
            </v:shape>
            <v:shape id="AutoShape 34" o:spid="_x0000_s1077" o:spt="66" type="#_x0000_t66" style="position:absolute;left:2348;top:0;height:407;width:626;" fillcolor="#FFFFFF" filled="t" stroked="t" coordsize="21600,21600" o:gfxdata="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DYfugAAANsA&#10;AAAPAAAAAAAAAAEAIAAAACIAAABkcnMvZG93bnJldi54bWxQSwECFAAUAAAACACHTuJAMy8FnjsA&#10;AAA5AAAAEAAAAAAAAAABACAAAAAJAQAAZHJzL3NoYXBleG1sLnhtbFBLBQYAAAAABgAGAFsBAACz&#10;AwAAAAA=&#10;" adj="3600,4856">
              <v:path/>
              <v:fill on="t" focussize="0,0"/>
              <v:stroke joinstyle="miter" dashstyle="longDashDotDot"/>
              <v:imagedata o:title=""/>
              <o:lock v:ext="edit" aspectratio="f"/>
            </v:shape>
          </v:group>
        </w:pict>
      </w:r>
      <w:r>
        <w:rPr>
          <w:rFonts w:hint="eastAsia" w:ascii="仿宋" w:hAnsi="仿宋" w:eastAsia="仿宋" w:cs="仿宋"/>
          <w:color w:val="000000"/>
        </w:rPr>
        <w:pict>
          <v:shape id="文本框 25" o:spid="_x0000_s1078" o:spt="202" type="#_x0000_t202" style="position:absolute;left:0pt;margin-left:90pt;margin-top:6pt;height:39pt;width:72pt;z-index:251695104;mso-width-relative:page;mso-height-relative:page;" fillcolor="#FFFFFF" filled="t" stroked="t" coordsize="21600,21600" o:gfxdata="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IdtGLVAAAACQEAAA8AAAAAAAAAAQAgAAAAIgAAAGRycy9kb3du&#10;cmV2LnhtbFBLAQIUABQAAAAIAIdO4kDVthq4OwIAAIgEAAAOAAAAAAAAAAEAIAAAACQBAABkcnMv&#10;ZTJvRG9jLnhtbFBLBQYAAAAABgAGAFkBAADRBQAAAAA=&#10;">
            <v:path/>
            <v:fill on="t" focussize="0,0"/>
            <v:stroke joinstyle="miter"/>
            <v:imagedata o:title=""/>
            <o:lock v:ext="edit" aspectratio="f"/>
            <v:textbox>
              <w:txbxContent>
                <w:p>
                  <w:r>
                    <w:rPr>
                      <w:rFonts w:hint="eastAsia"/>
                      <w:b/>
                      <w:bCs/>
                      <w:sz w:val="24"/>
                      <w:lang w:val="zh-CN"/>
                    </w:rPr>
                    <w:t>教学实施环节</w:t>
                  </w:r>
                </w:p>
              </w:txbxContent>
            </v:textbox>
          </v:shape>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color w:val="000000"/>
        </w:rPr>
        <w:pict>
          <v:shape id="下箭头 37" o:spid="_x0000_s1079" o:spt="67" type="#_x0000_t67" style="position:absolute;left:0pt;margin-left:117pt;margin-top:13pt;height:31.2pt;width:18pt;z-index:251696128;mso-width-relative:page;mso-height-relative:page;" fillcolor="#FFFFFF" filled="t" stroked="t" coordsize="21600,21600" o:gfxdata="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A5&#10;lKvYAAAACQEAAA8AAAAAAAAAAQAgAAAAIgAAAGRycy9kb3ducmV2LnhtbFBLAQIUABQAAAAIAIdO&#10;4kAblBGrXAIAAMsEAAAOAAAAAAAAAAEAIAAAACcBAABkcnMvZTJvRG9jLnhtbFBLBQYAAAAABgAG&#10;AFkBAAD1BQAAAAA=&#10;" adj="16201,5400">
            <v:path/>
            <v:fill on="t" focussize="0,0"/>
            <v:stroke joinstyle="miter"/>
            <v:imagedata o:title=""/>
            <o:lock v:ext="edit" aspectratio="f"/>
            <v:textbox style="layout-flow:vertical-ideographic;"/>
          </v:shape>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color w:val="000000"/>
        </w:rPr>
        <w:pict>
          <v:shape id="文本框 38" o:spid="_x0000_s1080" o:spt="202" type="#_x0000_t202" style="position:absolute;left:0pt;margin-left:90pt;margin-top:12.2pt;height:54.6pt;width:72pt;z-index:251697152;mso-width-relative:page;mso-height-relative:page;" fillcolor="#FFFFFF" filled="t" stroked="t" coordsize="21600,21600" o:gfxdata="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&#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jDLvN2AAAAAoBAAAPAAAAAAAAAAEAIAAAACIAAABk&#10;cnMvZG93bnJldi54bWxQSwECFAAUAAAACACHTuJA12fDyD8CAACIBAAADgAAAAAAAAABACAAAAAn&#10;AQAAZHJzL2Uyb0RvYy54bWxQSwUGAAAAAAYABgBZAQAA2AUAAAAA&#10;">
            <v:path/>
            <v:fill on="t" focussize="0,0"/>
            <v:stroke joinstyle="miter"/>
            <v:imagedata o:title=""/>
            <o:lock v:ext="edit" aspectratio="f"/>
            <v:textbox>
              <w:txbxContent>
                <w:p>
                  <w:r>
                    <w:rPr>
                      <w:rFonts w:hint="eastAsia"/>
                      <w:b/>
                      <w:bCs/>
                      <w:sz w:val="24"/>
                      <w:lang w:val="zh-CN"/>
                    </w:rPr>
                    <w:t>教学过程管理与质量监控</w:t>
                  </w:r>
                </w:p>
              </w:txbxContent>
            </v:textbox>
          </v:shape>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rPr>
        <w:pict>
          <v:shape id="文本框 39" o:spid="_x0000_s1081" o:spt="202" type="#_x0000_t202" style="position:absolute;left:0pt;margin-left:197.9pt;margin-top:2.7pt;height:40.4pt;width:97.45pt;z-index:251718656;mso-width-relative:page;mso-height-relative:page;" fillcolor="#FFFFFF" filled="t" stroked="t" coordsize="21600,21600" o:gfxdata="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qHrFd2QAAAAgBAAAPAAAAAAAA&#10;AAEAIAAAACIAAABkcnMvZG93bnJldi54bWxQSwECFAAUAAAACACHTuJAeiBNwEoCAACXBAAADgAA&#10;AAAAAAABACAAAAAoAQAAZHJzL2Uyb0RvYy54bWxQSwUGAAAAAAYABgBZAQAA5AUAAAAA&#10;">
            <v:path/>
            <v:fill on="t" focussize="0,0"/>
            <v:stroke joinstyle="miter"/>
            <v:imagedata o:title=""/>
            <o:lock v:ext="edit" aspectratio="f"/>
            <v:textbox>
              <w:txbxContent>
                <w:p>
                  <w:r>
                    <w:rPr>
                      <w:rFonts w:hint="eastAsia"/>
                      <w:b/>
                      <w:sz w:val="24"/>
                      <w:lang w:val="zh-CN"/>
                    </w:rPr>
                    <w:t>教务处</w:t>
                  </w:r>
                </w:p>
              </w:txbxContent>
            </v:textbox>
          </v:shape>
        </w:pict>
      </w:r>
      <w:r>
        <w:rPr>
          <w:rFonts w:hint="eastAsia" w:ascii="仿宋" w:hAnsi="仿宋" w:eastAsia="仿宋" w:cs="仿宋"/>
        </w:rPr>
        <w:pict>
          <v:shape id="文本框 45" o:spid="_x0000_s1082" o:spt="202" type="#_x0000_t202" style="position:absolute;left:0pt;margin-left:334.3pt;margin-top:1.25pt;height:44.75pt;width:79.75pt;z-index:251719680;mso-width-relative:page;mso-height-relative:page;" fillcolor="#FFFFFF" filled="t" stroked="t" coordsize="21600,21600" o:gfxdata="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kESmdcAAAAIAQAADwAAAAAAAAABACAAAAAi&#10;AAAAZHJzL2Rvd25yZXYueG1sUEsBAhQAFAAAAAgAh07iQOIjfTZEAgAAlwQAAA4AAAAAAAAAAQAg&#10;AAAAJgEAAGRycy9lMm9Eb2MueG1sUEsFBgAAAAAGAAYAWQEAANwFAAAAAA==&#10;">
            <v:path/>
            <v:fill on="t" focussize="0,0"/>
            <v:stroke joinstyle="miter"/>
            <v:imagedata o:title=""/>
            <o:lock v:ext="edit" aspectratio="f"/>
            <v:textbox>
              <w:txbxContent>
                <w:p>
                  <w:pPr>
                    <w:rPr>
                      <w:b/>
                      <w:sz w:val="24"/>
                      <w:lang w:val="zh-CN"/>
                    </w:rPr>
                  </w:pPr>
                  <w:r>
                    <w:rPr>
                      <w:rFonts w:hint="eastAsia"/>
                      <w:b/>
                      <w:sz w:val="24"/>
                      <w:lang w:val="zh-CN"/>
                    </w:rPr>
                    <w:t>学生测评表</w:t>
                  </w:r>
                </w:p>
                <w:p>
                  <w:pPr>
                    <w:rPr>
                      <w:b/>
                      <w:sz w:val="24"/>
                      <w:lang w:val="zh-CN"/>
                    </w:rPr>
                  </w:pPr>
                  <w:r>
                    <w:rPr>
                      <w:rFonts w:hint="eastAsia"/>
                      <w:b/>
                      <w:sz w:val="24"/>
                      <w:lang w:val="zh-CN"/>
                    </w:rPr>
                    <w:t>单位测评表</w:t>
                  </w:r>
                </w:p>
              </w:txbxContent>
            </v:textbox>
          </v:shape>
        </w:pict>
      </w:r>
      <w:r>
        <w:rPr>
          <w:rFonts w:hint="eastAsia" w:ascii="仿宋" w:hAnsi="仿宋" w:eastAsia="仿宋" w:cs="仿宋"/>
          <w:color w:val="000000"/>
        </w:rPr>
        <w:pict>
          <v:group id="组合 46" o:spid="_x0000_s1083" o:spt="203" style="position:absolute;left:0pt;margin-left:162pt;margin-top:11.75pt;height:23.35pt;width:171pt;z-index:251707392;mso-width-relative:page;mso-height-relative:page;" coordsize="2974,407" o:gfxdata="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eeibv9oAAAAJAQAADwAAAAAAAAAB&#10;ACAAAAAiAAAAZHJzL2Rvd25yZXYueG1sUEsBAhQAFAAAAAgAh07iQDq4q3zyAgAAFgkAAA4AAAAA&#10;AAAAAQAgAAAAKQEAAGRycy9lMm9Eb2MueG1sUEsFBgAAAAAGAAYAWQEAAI0GAAAAAA==&#10;">
            <o:lock v:ext="edit" aspectratio="f"/>
            <v:shape id="AutoShape 36" o:spid="_x0000_s1084" o:spt="66" type="#_x0000_t66" style="position:absolute;left:0;top:0;height:407;width:626;" fillcolor="#FFFFFF" filled="t" stroked="t" coordsize="21600,21600" o:gfxdata="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Hzb4A&#10;AADbAAAADwAAAAAAAAABACAAAAAiAAAAZHJzL2Rvd25yZXYueG1sUEsBAhQAFAAAAAgAh07iQDMv&#10;BZ47AAAAOQAAABAAAAAAAAAAAQAgAAAADQEAAGRycy9zaGFwZXhtbC54bWxQSwUGAAAAAAYABgBb&#10;AQAAtwMAAAAA&#10;" adj="3600,4856">
              <v:path/>
              <v:fill on="t" focussize="0,0"/>
              <v:stroke joinstyle="miter" dashstyle="longDashDotDot"/>
              <v:imagedata o:title=""/>
              <o:lock v:ext="edit" aspectratio="f"/>
            </v:shape>
            <v:shape id="AutoShape 37" o:spid="_x0000_s1085" o:spt="66" type="#_x0000_t66" style="position:absolute;left:2348;top:0;height:407;width:626;" fillcolor="#FFFFFF" filled="t" stroked="t" coordsize="21600,21600" o:gfxdata="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Nvja8AAAA&#10;2wAAAA8AAAAAAAAAAQAgAAAAIgAAAGRycy9kb3ducmV2LnhtbFBLAQIUABQAAAAIAIdO4kAzLwWe&#10;OwAAADkAAAAQAAAAAAAAAAEAIAAAAAsBAABkcnMvc2hhcGV4bWwueG1sUEsFBgAAAAAGAAYAWwEA&#10;ALUDAAAAAA==&#10;" adj="3600,4856">
              <v:path/>
              <v:fill on="t" focussize="0,0"/>
              <v:stroke joinstyle="miter" dashstyle="longDashDotDot"/>
              <v:imagedata o:title=""/>
              <o:lock v:ext="edit" aspectratio="f"/>
            </v:shape>
          </v:group>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color w:val="000000"/>
        </w:rPr>
        <w:pict>
          <v:shape id="下箭头 67" o:spid="_x0000_s1086" o:spt="67" type="#_x0000_t67" style="position:absolute;left:0pt;margin-left:117pt;margin-top:2.8pt;height:31.2pt;width:18pt;z-index:251698176;mso-width-relative:page;mso-height-relative:page;" fillcolor="#FFFFFF" filled="t" stroked="t" coordsize="21600,21600" o:gfxdata="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EgW&#10;7dcAAAAIAQAADwAAAAAAAAABACAAAAAiAAAAZHJzL2Rvd25yZXYueG1sUEsBAhQAFAAAAAgAh07i&#10;QGgjVcJcAgAAywQAAA4AAAAAAAAAAQAgAAAAJgEAAGRycy9lMm9Eb2MueG1sUEsFBgAAAAAGAAYA&#10;WQEAAPQFAAAAAA==&#10;" adj="16201,5400">
            <v:path/>
            <v:fill on="t" focussize="0,0"/>
            <v:stroke joinstyle="miter"/>
            <v:imagedata o:title=""/>
            <o:lock v:ext="edit" aspectratio="f"/>
            <v:textbox style="layout-flow:vertical-ideographic;"/>
          </v:shape>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rPr>
        <w:pict>
          <v:shape id="文本框 68" o:spid="_x0000_s1087" o:spt="202" type="#_x0000_t202" style="position:absolute;left:0pt;margin-left:201.5pt;margin-top:0.55pt;height:56.35pt;width:96.95pt;z-index:251720704;mso-width-relative:page;mso-height-relative:page;" fillcolor="#FFFFFF" filled="t" stroked="t" coordsize="21600,21600" o:gfxdata="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d5pE11wAAAAkBAAAPAAAAAAAAAAEA&#10;IAAAACIAAABkcnMvZG93bnJldi54bWxQSwECFAAUAAAACACHTuJAPB4CBEkCAACXBAAADgAAAAAA&#10;AAABACAAAAAmAQAAZHJzL2Uyb0RvYy54bWxQSwUGAAAAAAYABgBZAQAA4QUAAAAA&#10;">
            <v:path/>
            <v:fill on="t" focussize="0,0"/>
            <v:stroke joinstyle="miter"/>
            <v:imagedata o:title=""/>
            <o:lock v:ext="edit" aspectratio="f"/>
            <v:textbox>
              <w:txbxContent>
                <w:p>
                  <w:pPr>
                    <w:rPr>
                      <w:b/>
                      <w:sz w:val="24"/>
                      <w:lang w:val="zh-CN"/>
                    </w:rPr>
                  </w:pPr>
                  <w:r>
                    <w:rPr>
                      <w:rFonts w:hint="eastAsia"/>
                      <w:b/>
                      <w:sz w:val="24"/>
                      <w:lang w:val="zh-CN"/>
                    </w:rPr>
                    <w:t>教务处</w:t>
                  </w:r>
                </w:p>
                <w:p>
                  <w:pPr>
                    <w:rPr>
                      <w:b/>
                      <w:sz w:val="24"/>
                      <w:lang w:val="zh-CN"/>
                    </w:rPr>
                  </w:pPr>
                  <w:r>
                    <w:rPr>
                      <w:rFonts w:hint="eastAsia"/>
                      <w:b/>
                      <w:sz w:val="24"/>
                      <w:lang w:val="zh-CN"/>
                    </w:rPr>
                    <w:t>各二级学院</w:t>
                  </w:r>
                </w:p>
                <w:p>
                  <w:pPr>
                    <w:rPr>
                      <w:b/>
                      <w:sz w:val="24"/>
                      <w:lang w:val="zh-CN"/>
                    </w:rPr>
                  </w:pPr>
                  <w:r>
                    <w:rPr>
                      <w:rFonts w:hint="eastAsia"/>
                      <w:b/>
                      <w:sz w:val="24"/>
                      <w:lang w:val="zh-CN"/>
                    </w:rPr>
                    <w:t>订单单位</w:t>
                  </w:r>
                </w:p>
                <w:p/>
              </w:txbxContent>
            </v:textbox>
          </v:shape>
        </w:pict>
      </w:r>
      <w:r>
        <w:rPr>
          <w:rFonts w:hint="eastAsia" w:ascii="仿宋" w:hAnsi="仿宋" w:eastAsia="仿宋" w:cs="仿宋"/>
        </w:rPr>
        <w:pict>
          <v:shape id="文本框 69" o:spid="_x0000_s1088" o:spt="202" type="#_x0000_t202" style="position:absolute;left:0pt;margin-left:335.7pt;margin-top:6.8pt;height:39.5pt;width:79.3pt;z-index:251721728;mso-width-relative:page;mso-height-relative:page;" fillcolor="#FFFFFF" filled="t" stroked="t" coordsize="21600,21600" o:gfxdata="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t9GkfYAAAACQEAAA8AAAAAAAAAAQAg&#10;AAAAIgAAAGRycy9kb3ducmV2LnhtbFBLAQIUABQAAAAIAIdO4kAr32xgRwIAAJcEAAAOAAAAAAAA&#10;AAEAIAAAACcBAABkcnMvZTJvRG9jLnhtbFBLBQYAAAAABgAGAFkBAADgBQAAAAA=&#10;">
            <v:path/>
            <v:fill on="t" focussize="0,0"/>
            <v:stroke joinstyle="miter"/>
            <v:imagedata o:title=""/>
            <o:lock v:ext="edit" aspectratio="f"/>
            <v:textbox>
              <w:txbxContent>
                <w:p>
                  <w:pPr>
                    <w:rPr>
                      <w:b/>
                      <w:sz w:val="24"/>
                      <w:lang w:val="zh-CN"/>
                    </w:rPr>
                  </w:pPr>
                  <w:r>
                    <w:rPr>
                      <w:rFonts w:hint="eastAsia"/>
                      <w:b/>
                      <w:sz w:val="24"/>
                      <w:lang w:val="zh-CN"/>
                    </w:rPr>
                    <w:t>毕业实习评分表</w:t>
                  </w:r>
                </w:p>
                <w:p/>
              </w:txbxContent>
            </v:textbox>
          </v:shape>
        </w:pict>
      </w:r>
      <w:r>
        <w:rPr>
          <w:rFonts w:hint="eastAsia" w:ascii="仿宋" w:hAnsi="仿宋" w:eastAsia="仿宋" w:cs="仿宋"/>
          <w:color w:val="000000"/>
        </w:rPr>
        <w:pict>
          <v:group id="组合 70" o:spid="_x0000_s1089" o:spt="203" style="position:absolute;left:0pt;margin-left:163.35pt;margin-top:11pt;height:23.35pt;width:171pt;z-index:251708416;mso-width-relative:page;mso-height-relative:page;" coordsize="2974,407" o:gfxdata="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Al9IM+2AAAAAkBAAAPAAAAAAAAAAEAIAAA&#10;ACIAAABkcnMvZG93bnJldi54bWxQSwECFAAUAAAACACHTuJAEkePOvACAAAWCQAADgAAAAAAAAAB&#10;ACAAAAAnAQAAZHJzL2Uyb0RvYy54bWxQSwUGAAAAAAYABgBZAQAAiQYAAAAA&#10;">
            <o:lock v:ext="edit" aspectratio="f"/>
            <v:shape id="AutoShape 39" o:spid="_x0000_s1090" o:spt="66" type="#_x0000_t66" style="position:absolute;left:0;top:0;height:407;width:626;" fillcolor="#FFFFFF" filled="t" stroked="t" coordsize="21600,21600" o:gfxdata="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PbCfvQAA&#10;ANsAAAAPAAAAAAAAAAEAIAAAACIAAABkcnMvZG93bnJldi54bWxQSwECFAAUAAAACACHTuJAMy8F&#10;njsAAAA5AAAAEAAAAAAAAAABACAAAAAMAQAAZHJzL3NoYXBleG1sLnhtbFBLBQYAAAAABgAGAFsB&#10;AAC2AwAAAAA=&#10;" adj="3600,4856">
              <v:path/>
              <v:fill on="t" focussize="0,0"/>
              <v:stroke joinstyle="miter" dashstyle="longDashDotDot"/>
              <v:imagedata o:title=""/>
              <o:lock v:ext="edit" aspectratio="f"/>
            </v:shape>
            <v:shape id="AutoShape 40" o:spid="_x0000_s1091" o:spt="66" type="#_x0000_t66" style="position:absolute;left:2348;top:0;height:407;width:626;" fillcolor="#FFFFFF" filled="t" stroked="t" coordsize="21600,21600" o:gfxdata="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vLui8AAAA&#10;2wAAAA8AAAAAAAAAAQAgAAAAIgAAAGRycy9kb3ducmV2LnhtbFBLAQIUABQAAAAIAIdO4kAzLwWe&#10;OwAAADkAAAAQAAAAAAAAAAEAIAAAAAsBAABkcnMvc2hhcGV4bWwueG1sUEsFBgAAAAAGAAYAWwEA&#10;ALUDAAAAAA==&#10;" adj="3600,4856">
              <v:path/>
              <v:fill on="t" focussize="0,0"/>
              <v:stroke joinstyle="miter" dashstyle="longDashDotDot"/>
              <v:imagedata o:title=""/>
              <o:lock v:ext="edit" aspectratio="f"/>
            </v:shape>
          </v:group>
        </w:pict>
      </w:r>
      <w:r>
        <w:rPr>
          <w:rFonts w:hint="eastAsia" w:ascii="仿宋" w:hAnsi="仿宋" w:eastAsia="仿宋" w:cs="仿宋"/>
          <w:color w:val="000000"/>
        </w:rPr>
        <w:pict>
          <v:shape id="文本框 73" o:spid="_x0000_s1092" o:spt="202" type="#_x0000_t202" style="position:absolute;left:0pt;margin-left:90pt;margin-top:2pt;height:39pt;width:72pt;z-index:251699200;mso-width-relative:page;mso-height-relative:page;" fillcolor="#FFFFFF" filled="t" stroked="t" coordsize="21600,21600" o:gfxdata="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dkV0C1gAAAAgBAAAPAAAAAAAAAAEAIAAAACIAAABkcnMv&#10;ZG93bnJldi54bWxQSwECFAAUAAAACACHTuJAJpFT0z4CAACIBAAADgAAAAAAAAABACAAAAAlAQAA&#10;ZHJzL2Uyb0RvYy54bWxQSwUGAAAAAAYABgBZAQAA1QUAAAAA&#10;">
            <v:path/>
            <v:fill on="t" focussize="0,0"/>
            <v:stroke joinstyle="miter"/>
            <v:imagedata o:title=""/>
            <o:lock v:ext="edit" aspectratio="f"/>
            <v:textbox>
              <w:txbxContent>
                <w:p>
                  <w:r>
                    <w:rPr>
                      <w:rFonts w:hint="eastAsia"/>
                      <w:b/>
                      <w:bCs/>
                      <w:sz w:val="24"/>
                      <w:lang w:val="zh-CN"/>
                    </w:rPr>
                    <w:t>顶岗实习环节</w:t>
                  </w:r>
                </w:p>
              </w:txbxContent>
            </v:textbox>
          </v:shape>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color w:val="000000"/>
        </w:rPr>
        <w:pict>
          <v:shape id="下箭头 74" o:spid="_x0000_s1093" o:spt="67" type="#_x0000_t67" style="position:absolute;left:0pt;margin-left:117pt;margin-top:10.2pt;height:31.2pt;width:18pt;z-index:251700224;mso-width-relative:page;mso-height-relative:page;" fillcolor="#FFFFFF" filled="t" stroked="t" coordsize="21600,21600" o:gfxdata="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6v&#10;2pDYAAAACQEAAA8AAAAAAAAAAQAgAAAAIgAAAGRycy9kb3ducmV2LnhtbFBLAQIUABQAAAAIAIdO&#10;4kB8Kg06XAIAAMsEAAAOAAAAAAAAAAEAIAAAACcBAABkcnMvZTJvRG9jLnhtbFBLBQYAAAAABgAG&#10;AFkBAAD1BQAAAAA=&#10;" adj="16201,5400">
            <v:path/>
            <v:fill on="t" focussize="0,0"/>
            <v:stroke joinstyle="miter"/>
            <v:imagedata o:title=""/>
            <o:lock v:ext="edit" aspectratio="f"/>
            <v:textbox style="layout-flow:vertical-ideographic;"/>
          </v:shape>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r>
        <w:rPr>
          <w:rFonts w:hint="eastAsia" w:ascii="仿宋" w:hAnsi="仿宋" w:eastAsia="仿宋" w:cs="仿宋"/>
        </w:rPr>
        <w:pict>
          <v:shape id="文本框 75" o:spid="_x0000_s1094" o:spt="202" type="#_x0000_t202" style="position:absolute;left:0pt;margin-left:200.45pt;margin-top:1.4pt;height:41.45pt;width:95.45pt;z-index:251722752;mso-width-relative:page;mso-height-relative:page;" fillcolor="#FFFFFF" filled="t" stroked="t" coordsize="21600,21600" o:gfxdata="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oVR/1wAAAAgBAAAPAAAAAAAAAAEAIAAA&#10;ACIAAABkcnMvZG93bnJldi54bWxQSwECFAAUAAAACACHTuJA4vDpykYCAACXBAAADgAAAAAAAAAB&#10;ACAAAAAmAQAAZHJzL2Uyb0RvYy54bWxQSwUGAAAAAAYABgBZAQAA3gUAAAAA&#10;">
            <v:path/>
            <v:fill on="t" focussize="0,0"/>
            <v:stroke joinstyle="miter"/>
            <v:imagedata o:title=""/>
            <o:lock v:ext="edit" aspectratio="f"/>
            <v:textbox>
              <w:txbxContent>
                <w:p>
                  <w:r>
                    <w:rPr>
                      <w:rFonts w:hint="eastAsia"/>
                      <w:b/>
                      <w:sz w:val="24"/>
                      <w:lang w:val="zh-CN"/>
                    </w:rPr>
                    <w:t>校企合作办公室</w:t>
                  </w:r>
                </w:p>
                <w:p/>
              </w:txbxContent>
            </v:textbox>
          </v:shape>
        </w:pict>
      </w:r>
      <w:r>
        <w:rPr>
          <w:rFonts w:hint="eastAsia" w:ascii="仿宋" w:hAnsi="仿宋" w:eastAsia="仿宋" w:cs="仿宋"/>
        </w:rPr>
        <w:pict>
          <v:shape id="文本框 76" o:spid="_x0000_s1095" o:spt="202" type="#_x0000_t202" style="position:absolute;left:0pt;margin-left:335.9pt;margin-top:1.05pt;height:39.55pt;width:78.1pt;z-index:251723776;mso-width-relative:page;mso-height-relative:page;" fillcolor="#FFFFFF" filled="t" stroked="t" coordsize="21600,21600" o:gfxdata="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pKSlNcAAAAIAQAADwAAAAAAAAABACAA&#10;AAAiAAAAZHJzL2Rvd25yZXYueG1sUEsBAhQAFAAAAAgAh07iQFTtjCxHAgAAlgQAAA4AAAAAAAAA&#10;AQAgAAAAJgEAAGRycy9lMm9Eb2MueG1sUEsFBgAAAAAGAAYAWQEAAN8FAAAAAA==&#10;">
            <v:path/>
            <v:fill on="t" focussize="0,0"/>
            <v:stroke joinstyle="miter"/>
            <v:imagedata o:title=""/>
            <o:lock v:ext="edit" aspectratio="f"/>
            <v:textbox>
              <w:txbxContent>
                <w:p>
                  <w:r>
                    <w:rPr>
                      <w:rFonts w:hint="eastAsia"/>
                      <w:b/>
                      <w:bCs/>
                      <w:sz w:val="24"/>
                      <w:lang w:val="zh-CN"/>
                    </w:rPr>
                    <w:t>毕业生跟踪调查表</w:t>
                  </w:r>
                </w:p>
                <w:p/>
              </w:txbxContent>
            </v:textbox>
          </v:shape>
        </w:pict>
      </w:r>
      <w:r>
        <w:rPr>
          <w:rFonts w:hint="eastAsia" w:ascii="仿宋" w:hAnsi="仿宋" w:eastAsia="仿宋" w:cs="仿宋"/>
          <w:color w:val="000000"/>
        </w:rPr>
        <w:pict>
          <v:group id="组合 77" o:spid="_x0000_s1096" o:spt="203" style="position:absolute;left:0pt;margin-left:162pt;margin-top:9.05pt;height:23.35pt;width:171pt;z-index:251709440;mso-width-relative:page;mso-height-relative:page;" coordsize="2974,407" o:gfxdata="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CRRxuDZAAAACQEAAA8AAAAAAAAAAQAgAAAAIgAA&#10;AGRycy9kb3ducmV2LnhtbFBLAQIUABQAAAAIAIdO4kB5QNrt6wIAABYJAAAOAAAAAAAAAAEAIAAA&#10;ACgBAABkcnMvZTJvRG9jLnhtbFBLBQYAAAAABgAGAFkBAACFBgAAAAA=&#10;">
            <o:lock v:ext="edit" aspectratio="f"/>
            <v:shape id="AutoShape 42" o:spid="_x0000_s1097" o:spt="66" type="#_x0000_t66" style="position:absolute;left:0;top:0;height:407;width:626;" fillcolor="#FFFFFF" filled="t" stroked="t" coordsize="21600,21600" o:gfxdata="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BxkCugAAANsA&#10;AAAPAAAAAAAAAAEAIAAAACIAAABkcnMvZG93bnJldi54bWxQSwECFAAUAAAACACHTuJAMy8FnjsA&#10;AAA5AAAAEAAAAAAAAAABACAAAAAJAQAAZHJzL3NoYXBleG1sLnhtbFBLBQYAAAAABgAGAFsBAACz&#10;AwAAAAA=&#10;" adj="3600,4856">
              <v:path/>
              <v:fill on="t" focussize="0,0"/>
              <v:stroke joinstyle="miter" dashstyle="longDashDotDot"/>
              <v:imagedata o:title=""/>
              <o:lock v:ext="edit" aspectratio="f"/>
            </v:shape>
            <v:shape id="AutoShape 43" o:spid="_x0000_s1098" o:spt="66" type="#_x0000_t66" style="position:absolute;left:2348;top:0;height:407;width:626;" fillcolor="#FFFFFF" filled="t" stroked="t" coordsize="21600,21600" o:gfxdata="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u8mb4A&#10;AADbAAAADwAAAAAAAAABACAAAAAiAAAAZHJzL2Rvd25yZXYueG1sUEsBAhQAFAAAAAgAh07iQDMv&#10;BZ47AAAAOQAAABAAAAAAAAAAAQAgAAAADQEAAGRycy9zaGFwZXhtbC54bWxQSwUGAAAAAAYABgBb&#10;AQAAtwMAAAAA&#10;" adj="3600,4856">
              <v:path/>
              <v:fill on="t" focussize="0,0"/>
              <v:stroke joinstyle="miter" dashstyle="longDashDotDot"/>
              <v:imagedata o:title=""/>
              <o:lock v:ext="edit" aspectratio="f"/>
            </v:shape>
          </v:group>
        </w:pict>
      </w:r>
      <w:r>
        <w:rPr>
          <w:rFonts w:hint="eastAsia" w:ascii="仿宋" w:hAnsi="仿宋" w:eastAsia="仿宋" w:cs="仿宋"/>
          <w:color w:val="000000"/>
        </w:rPr>
        <w:pict>
          <v:shape id="文本框 80" o:spid="_x0000_s1099" o:spt="202" type="#_x0000_t202" style="position:absolute;left:0pt;margin-left:90pt;margin-top:0pt;height:39pt;width:72pt;z-index:251701248;mso-width-relative:page;mso-height-relative:page;" fillcolor="#FFFFFF" filled="t" stroked="t" coordsize="21600,21600" o:gfxdata="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m/73bWAAAABwEAAA8AAAAAAAAAAQAgAAAAIgAAAGRycy9k&#10;b3ducmV2LnhtbFBLAQIUABQAAAAIAIdO4kDVeJ5mPQIAAIgEAAAOAAAAAAAAAAEAIAAAACUBAABk&#10;cnMvZTJvRG9jLnhtbFBLBQYAAAAABgAGAFkBAADUBQAAAAA=&#10;">
            <v:path/>
            <v:fill on="t" focussize="0,0"/>
            <v:stroke joinstyle="miter"/>
            <v:imagedata o:title=""/>
            <o:lock v:ext="edit" aspectratio="f"/>
            <v:textbox>
              <w:txbxContent>
                <w:p>
                  <w:r>
                    <w:rPr>
                      <w:rFonts w:hint="eastAsia"/>
                      <w:b/>
                      <w:bCs/>
                      <w:sz w:val="24"/>
                      <w:lang w:val="zh-CN"/>
                    </w:rPr>
                    <w:t>毕业生跟踪调查</w:t>
                  </w:r>
                </w:p>
              </w:txbxContent>
            </v:textbox>
          </v:shape>
        </w:pict>
      </w:r>
    </w:p>
    <w:p>
      <w:pPr>
        <w:pageBreakBefore w:val="0"/>
        <w:topLinePunct w:val="0"/>
        <w:autoSpaceDE w:val="0"/>
        <w:autoSpaceDN w:val="0"/>
        <w:bidi w:val="0"/>
        <w:adjustRightInd w:val="0"/>
        <w:spacing w:line="320" w:lineRule="exact"/>
        <w:ind w:firstLine="567"/>
        <w:outlineLvl w:val="9"/>
        <w:rPr>
          <w:rFonts w:ascii="仿宋" w:hAnsi="仿宋" w:eastAsia="仿宋" w:cs="仿宋"/>
          <w:b/>
          <w:bCs/>
          <w:color w:val="000000"/>
          <w:sz w:val="24"/>
          <w:lang w:val="zh-CN"/>
        </w:rPr>
      </w:pPr>
    </w:p>
    <w:p>
      <w:pPr>
        <w:pageBreakBefore w:val="0"/>
        <w:topLinePunct w:val="0"/>
        <w:autoSpaceDE w:val="0"/>
        <w:autoSpaceDN w:val="0"/>
        <w:bidi w:val="0"/>
        <w:adjustRightInd w:val="0"/>
        <w:spacing w:line="320" w:lineRule="exact"/>
        <w:outlineLvl w:val="9"/>
        <w:rPr>
          <w:rFonts w:ascii="仿宋" w:hAnsi="仿宋" w:eastAsia="仿宋" w:cs="仿宋"/>
          <w:b/>
          <w:bCs/>
          <w:color w:val="000000"/>
          <w:sz w:val="24"/>
          <w:lang w:val="zh-CN"/>
        </w:rPr>
      </w:pP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五、</w:t>
      </w:r>
      <w:r>
        <w:rPr>
          <w:rFonts w:hint="eastAsia" w:ascii="仿宋_GB2312" w:hAnsi="仿宋_GB2312" w:eastAsia="仿宋_GB2312" w:cs="仿宋_GB2312"/>
          <w:kern w:val="2"/>
          <w:sz w:val="28"/>
          <w:szCs w:val="28"/>
          <w:highlight w:val="none"/>
          <w:lang w:val="zh-CN" w:eastAsia="zh-CN" w:bidi="ar-SA"/>
        </w:rPr>
        <w:t>附 则</w:t>
      </w:r>
    </w:p>
    <w:p>
      <w:pPr>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本办法自颁布之日起实施。</w:t>
      </w:r>
    </w:p>
    <w:p>
      <w:pPr>
        <w:pageBreakBefore w:val="0"/>
        <w:topLinePunct w:val="0"/>
        <w:bidi w:val="0"/>
        <w:jc w:val="center"/>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outlineLvl w:val="9"/>
        <w:rPr>
          <w:sz w:val="24"/>
        </w:rPr>
      </w:pPr>
    </w:p>
    <w:p>
      <w:pPr>
        <w:pageBreakBefore w:val="0"/>
        <w:topLinePunct w:val="0"/>
        <w:bidi w:val="0"/>
        <w:outlineLvl w:val="9"/>
        <w:rPr>
          <w:sz w:val="24"/>
        </w:rPr>
      </w:pPr>
    </w:p>
    <w:p>
      <w:pPr>
        <w:pageBreakBefore w:val="0"/>
        <w:topLinePunct w:val="0"/>
        <w:bidi w:val="0"/>
        <w:jc w:val="center"/>
        <w:outlineLvl w:val="9"/>
        <w:rPr>
          <w:rFonts w:eastAsia="仿宋_GB2312"/>
          <w:sz w:val="32"/>
          <w:szCs w:val="32"/>
        </w:rPr>
      </w:pPr>
      <w:r>
        <w:rPr>
          <w:rFonts w:hint="eastAsia" w:eastAsia="仿宋_GB2312"/>
          <w:color w:val="000000"/>
          <w:kern w:val="0"/>
          <w:sz w:val="32"/>
          <w:szCs w:val="28"/>
        </w:rPr>
        <w:t>沪电信职院</w:t>
      </w:r>
      <w:r>
        <w:rPr>
          <w:rFonts w:hint="eastAsia" w:ascii="仿宋_GB2312" w:eastAsia="仿宋_GB2312"/>
          <w:color w:val="000000"/>
          <w:kern w:val="0"/>
          <w:sz w:val="32"/>
          <w:szCs w:val="28"/>
        </w:rPr>
        <w:t xml:space="preserve">〔2018〕168号  </w:t>
      </w:r>
    </w:p>
    <w:p>
      <w:pPr>
        <w:pageBreakBefore w:val="0"/>
        <w:topLinePunct w:val="0"/>
        <w:autoSpaceDE w:val="0"/>
        <w:autoSpaceDN w:val="0"/>
        <w:bidi w:val="0"/>
        <w:adjustRightInd w:val="0"/>
        <w:spacing w:afterLines="100" w:line="640" w:lineRule="exact"/>
        <w:outlineLvl w:val="9"/>
        <w:rPr>
          <w:rFonts w:ascii="Times New Roman" w:hAnsi="Times New Roman" w:eastAsia="华文中宋" w:cs="Times New Roman"/>
          <w:b/>
          <w:kern w:val="0"/>
          <w:sz w:val="36"/>
          <w:szCs w:val="36"/>
        </w:rPr>
      </w:pPr>
      <w:r>
        <w:rPr>
          <w:rFonts w:hint="eastAsia" w:ascii="黑体" w:eastAsia="黑体"/>
          <w:color w:val="FF0000"/>
          <w:sz w:val="28"/>
          <w:szCs w:val="28"/>
          <w:u w:val="thick"/>
        </w:rPr>
        <w:t xml:space="preserve">                                                            </w:t>
      </w:r>
    </w:p>
    <w:p>
      <w:pPr>
        <w:pStyle w:val="15"/>
        <w:keepNext w:val="0"/>
        <w:keepLines w:val="0"/>
        <w:pageBreakBefore w:val="0"/>
        <w:widowControl w:val="0"/>
        <w:kinsoku/>
        <w:wordWrap/>
        <w:overflowPunct/>
        <w:topLinePunct w:val="0"/>
        <w:autoSpaceDE/>
        <w:autoSpaceDN/>
        <w:bidi w:val="0"/>
        <w:adjustRightInd/>
        <w:snapToGrid/>
        <w:spacing w:line="324" w:lineRule="auto"/>
        <w:jc w:val="center"/>
        <w:textAlignment w:val="auto"/>
        <w:outlineLvl w:val="0"/>
        <w:rPr>
          <w:rFonts w:hint="eastAsia" w:ascii="黑体" w:hAnsi="黑体" w:eastAsia="黑体" w:cs="黑体"/>
          <w:sz w:val="32"/>
          <w:szCs w:val="32"/>
        </w:rPr>
      </w:pPr>
      <w:bookmarkStart w:id="225" w:name="_Toc4108"/>
      <w:r>
        <w:rPr>
          <w:rFonts w:hint="eastAsia" w:ascii="黑体" w:hAnsi="黑体" w:eastAsia="黑体" w:cs="黑体"/>
          <w:b/>
          <w:kern w:val="0"/>
          <w:sz w:val="36"/>
          <w:szCs w:val="36"/>
        </w:rPr>
        <w:t>关于印</w:t>
      </w:r>
      <w:r>
        <w:rPr>
          <w:rFonts w:hint="eastAsia" w:ascii="黑体" w:hAnsi="黑体" w:eastAsia="黑体" w:cs="黑体"/>
          <w:b/>
          <w:color w:val="000000"/>
          <w:kern w:val="0"/>
          <w:sz w:val="36"/>
          <w:szCs w:val="36"/>
        </w:rPr>
        <w:t>发《上海应用技术大学</w:t>
      </w:r>
      <w:r>
        <w:rPr>
          <w:rFonts w:hint="eastAsia" w:ascii="黑体" w:hAnsi="黑体" w:eastAsia="黑体" w:cs="黑体"/>
          <w:b/>
          <w:color w:val="000000"/>
          <w:kern w:val="0"/>
          <w:sz w:val="36"/>
          <w:szCs w:val="36"/>
          <w:lang w:eastAsia="zh-CN"/>
        </w:rPr>
        <w:t>、</w:t>
      </w:r>
      <w:r>
        <w:rPr>
          <w:rFonts w:hint="eastAsia" w:ascii="黑体" w:hAnsi="黑体" w:eastAsia="黑体" w:cs="黑体"/>
          <w:b/>
          <w:color w:val="000000"/>
          <w:kern w:val="0"/>
          <w:sz w:val="36"/>
          <w:szCs w:val="36"/>
        </w:rPr>
        <w:t>上海电子信息职业技术学院、上海城建职业学院高本贯通培养学生学籍管理暂行规定（修订稿）》</w:t>
      </w:r>
      <w:bookmarkStart w:id="226" w:name="_Toc1866"/>
      <w:r>
        <w:rPr>
          <w:rFonts w:hint="eastAsia" w:ascii="黑体" w:hAnsi="黑体" w:eastAsia="黑体" w:cs="黑体"/>
          <w:b/>
          <w:color w:val="000000"/>
          <w:kern w:val="0"/>
          <w:sz w:val="36"/>
          <w:szCs w:val="36"/>
        </w:rPr>
        <w:t>的通知</w:t>
      </w:r>
      <w:bookmarkEnd w:id="225"/>
      <w:bookmarkEnd w:id="226"/>
    </w:p>
    <w:p>
      <w:pPr>
        <w:pageBreakBefore w:val="0"/>
        <w:topLinePunct w:val="0"/>
        <w:bidi w:val="0"/>
        <w:spacing w:line="52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Style w:val="15"/>
        <w:pageBreakBefore w:val="0"/>
        <w:topLinePunct w:val="0"/>
        <w:bidi w:val="0"/>
        <w:spacing w:line="52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现将《上海应用技术大学、上海电子信息职业技术学院、上海城建职业学院高本贯通培养学生学籍管理暂行规定（修订稿）》印发给你们，请认真研读，遵照执行。</w:t>
      </w:r>
    </w:p>
    <w:p>
      <w:pPr>
        <w:pageBreakBefore w:val="0"/>
        <w:topLinePunct w:val="0"/>
        <w:bidi w:val="0"/>
        <w:spacing w:line="52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p>
    <w:p>
      <w:pPr>
        <w:pStyle w:val="15"/>
        <w:pageBreakBefore w:val="0"/>
        <w:topLinePunct w:val="0"/>
        <w:bidi w:val="0"/>
        <w:spacing w:line="520" w:lineRule="exact"/>
        <w:jc w:val="both"/>
        <w:outlineLvl w:val="9"/>
        <w:rPr>
          <w:rFonts w:hint="eastAsia" w:ascii="仿宋_GB2312" w:hAnsi="仿宋_GB2312" w:eastAsia="仿宋_GB2312" w:cs="仿宋_GB2312"/>
          <w:kern w:val="2"/>
          <w:sz w:val="28"/>
          <w:szCs w:val="28"/>
          <w:highlight w:val="none"/>
          <w:lang w:val="en-US" w:eastAsia="zh-CN" w:bidi="ar-SA"/>
        </w:rPr>
      </w:pPr>
    </w:p>
    <w:p>
      <w:pPr>
        <w:pStyle w:val="15"/>
        <w:pageBreakBefore w:val="0"/>
        <w:topLinePunct w:val="0"/>
        <w:bidi w:val="0"/>
        <w:spacing w:line="520" w:lineRule="exact"/>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附件：上海应用技术大学、上海电子信息职业技术学院、上海城建职业学院高本贯通培养学生学籍管暂行规定（修订稿）</w:t>
      </w:r>
    </w:p>
    <w:p>
      <w:pPr>
        <w:pageBreakBefore w:val="0"/>
        <w:topLinePunct w:val="0"/>
        <w:bidi w:val="0"/>
        <w:spacing w:line="52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ind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20" w:lineRule="exact"/>
        <w:ind w:right="48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2018年10月8日</w:t>
      </w:r>
    </w:p>
    <w:p>
      <w:pPr>
        <w:pageBreakBefore w:val="0"/>
        <w:topLinePunct w:val="0"/>
        <w:bidi w:val="0"/>
        <w:spacing w:line="520" w:lineRule="exact"/>
        <w:outlineLvl w:val="9"/>
        <w:rPr>
          <w:rFonts w:ascii="Times New Roman" w:hAnsi="Times New Roman" w:cs="Times New Roman"/>
          <w:w w:val="90"/>
        </w:rPr>
      </w:pPr>
    </w:p>
    <w:p>
      <w:pPr>
        <w:pageBreakBefore w:val="0"/>
        <w:widowControl/>
        <w:topLinePunct w:val="0"/>
        <w:bidi w:val="0"/>
        <w:jc w:val="left"/>
        <w:outlineLvl w:val="9"/>
        <w:rPr>
          <w:rFonts w:ascii="Times New Roman" w:hAnsi="Times New Roman" w:eastAsia="黑体" w:cs="Times New Roman"/>
          <w:bCs/>
          <w:color w:val="000000"/>
          <w:w w:val="90"/>
          <w:sz w:val="30"/>
          <w:szCs w:val="30"/>
        </w:rPr>
      </w:pPr>
      <w:r>
        <w:rPr>
          <w:rFonts w:ascii="Times New Roman" w:hAnsi="Times New Roman" w:eastAsia="黑体" w:cs="Times New Roman"/>
          <w:bCs/>
          <w:color w:val="000000"/>
          <w:w w:val="90"/>
          <w:sz w:val="30"/>
          <w:szCs w:val="30"/>
        </w:rPr>
        <w:br w:type="page"/>
      </w:r>
    </w:p>
    <w:p>
      <w:pPr>
        <w:pStyle w:val="15"/>
        <w:pageBreakBefore w:val="0"/>
        <w:topLinePunct w:val="0"/>
        <w:bidi w:val="0"/>
        <w:spacing w:line="324" w:lineRule="auto"/>
        <w:jc w:val="center"/>
        <w:outlineLvl w:val="9"/>
        <w:rPr>
          <w:rFonts w:hint="eastAsia" w:ascii="黑体" w:hAnsi="黑体" w:eastAsia="黑体" w:cs="黑体"/>
          <w:b/>
          <w:bCs/>
          <w:kern w:val="2"/>
          <w:sz w:val="36"/>
          <w:szCs w:val="36"/>
          <w:lang w:val="en-US" w:eastAsia="zh-CN" w:bidi="ar-SA"/>
        </w:rPr>
      </w:pPr>
      <w:r>
        <w:rPr>
          <w:rFonts w:hint="eastAsia" w:ascii="黑体" w:hAnsi="黑体" w:eastAsia="黑体" w:cs="黑体"/>
          <w:b/>
          <w:bCs/>
          <w:kern w:val="2"/>
          <w:sz w:val="36"/>
          <w:szCs w:val="36"/>
          <w:lang w:val="en-US" w:eastAsia="zh-CN" w:bidi="ar-SA"/>
        </w:rPr>
        <w:t>上海应用技术大学</w:t>
      </w:r>
    </w:p>
    <w:p>
      <w:pPr>
        <w:pStyle w:val="15"/>
        <w:pageBreakBefore w:val="0"/>
        <w:topLinePunct w:val="0"/>
        <w:bidi w:val="0"/>
        <w:spacing w:line="324" w:lineRule="auto"/>
        <w:jc w:val="center"/>
        <w:outlineLvl w:val="9"/>
        <w:rPr>
          <w:rFonts w:hint="eastAsia" w:ascii="黑体" w:hAnsi="黑体" w:eastAsia="黑体" w:cs="黑体"/>
          <w:b/>
          <w:bCs/>
          <w:kern w:val="2"/>
          <w:sz w:val="36"/>
          <w:szCs w:val="36"/>
          <w:lang w:val="en-US" w:eastAsia="zh-CN" w:bidi="ar-SA"/>
        </w:rPr>
      </w:pPr>
      <w:r>
        <w:rPr>
          <w:rFonts w:hint="eastAsia" w:ascii="黑体" w:hAnsi="黑体" w:eastAsia="黑体" w:cs="黑体"/>
          <w:b/>
          <w:bCs/>
          <w:kern w:val="2"/>
          <w:sz w:val="36"/>
          <w:szCs w:val="36"/>
          <w:lang w:val="en-US" w:eastAsia="zh-CN" w:bidi="ar-SA"/>
        </w:rPr>
        <w:t>上海电子信息职业技术学院、上海城建职业学院</w:t>
      </w:r>
    </w:p>
    <w:p>
      <w:pPr>
        <w:pStyle w:val="15"/>
        <w:pageBreakBefore w:val="0"/>
        <w:topLinePunct w:val="0"/>
        <w:bidi w:val="0"/>
        <w:spacing w:line="324" w:lineRule="auto"/>
        <w:jc w:val="center"/>
        <w:outlineLvl w:val="9"/>
        <w:rPr>
          <w:rFonts w:hint="eastAsia" w:ascii="黑体" w:hAnsi="黑体" w:eastAsia="黑体" w:cs="黑体"/>
          <w:b/>
          <w:bCs/>
          <w:kern w:val="2"/>
          <w:sz w:val="36"/>
          <w:szCs w:val="36"/>
          <w:lang w:val="en-US" w:eastAsia="zh-CN" w:bidi="ar-SA"/>
        </w:rPr>
      </w:pPr>
      <w:r>
        <w:rPr>
          <w:rFonts w:hint="eastAsia" w:ascii="黑体" w:hAnsi="黑体" w:eastAsia="黑体" w:cs="黑体"/>
          <w:b/>
          <w:bCs/>
          <w:kern w:val="2"/>
          <w:sz w:val="36"/>
          <w:szCs w:val="36"/>
          <w:lang w:val="en-US" w:eastAsia="zh-CN" w:bidi="ar-SA"/>
        </w:rPr>
        <w:t>高本贯通培养学生学籍管理暂行规定（修订稿）</w:t>
      </w:r>
    </w:p>
    <w:p>
      <w:pPr>
        <w:pageBreakBefore w:val="0"/>
        <w:topLinePunct w:val="0"/>
        <w:bidi w:val="0"/>
        <w:snapToGrid w:val="0"/>
        <w:spacing w:line="360" w:lineRule="auto"/>
        <w:ind w:firstLine="480" w:firstLineChars="200"/>
        <w:outlineLvl w:val="9"/>
        <w:rPr>
          <w:sz w:val="24"/>
          <w:szCs w:val="24"/>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第一章 总则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第一条 为维护学校正常的教学工作和生活秩序，加强和完善学生的学籍管理，保障学生合法权益，促进学生德智体全面发展，根据教育部颁布的《普通高等学校学生管理规定》（教育部令第41号），以及上海市教育委员会《上海“专科高职-应用型本科”人才贯通培养试点实施方案》文件精神，特制订“专科高职-应用型本科”人才贯通培养（以下简称“高本贯通培养”）学生学籍管理规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第二条 高本贯通培养学生学籍管理分段实施，前三年由高职院校作为主体实施，后两年由本科院校作为主体实施。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第三条 本规定适用于上海电子信息职业技术学院、上海城建职业学院、上海应用技术大学高本贯通培养的全日制学生。</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第二章   入学与注册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第四条 按招生规定由本校录取的新生，持录取通知书和学校规定的有关证件，按期到校办理入学手续。因故不能按期入学者，应当事先向所属二级学院请假，假期一般不得超过两周。新生返校后，病假应提供二级甲等以上医院证明，事假应提供单位或居住地街道、乡镇证明。未请假或假期逾期者，除因不可抗力等正当事由外，视为放弃入学资格。</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第五条 学校在报到时对新生入学资格进行初步审查，审查合格的办理入学手续，予以注册学籍；审查发现新生的录取通知书、考生信息等证明材料，与本人实际情况不符，或者有其他违反国家招生考试规定情形的，取消入学资格。</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第六条 学校在新生报到入学3个月内按照国家招生规定进行复查，复查内容主要包括以下方面：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（1）录取手续及程序等是否合乎国家招生规定；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（2）所获得的录取资格是否真实、合乎相关规定；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（3）本人及身份证明与录取通知、考生档案等是否一致；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（4）身心健康状况是否符合报考专业或者专业类别体检要求，能否保证在校正常学习、生活。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复查中发现学生存在弄虚作假、徇私舞弊等情形的，确定为复查不合格，应当取消学籍；情节严重的，学校应当移交有关部门调查处理。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复查中发现学生身心状况不适宜在校学习，经学校指定的二级甲等以上医院诊断，需要在家休养的，学校可保留其入学资格一年，保留入学资格者不具有学籍。期间，该生应回家治疗。在保留入学资格期内经治疗康复的学生，可以在下学年开学前向学校申请入学。由二级甲等以上医院诊断，符合体检要求，经学校复查合格后，重新办理入学手续。复查不合格或逾期不办理入学手续者，取消入学资格。</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第七条 每学期开学时，学生须本人按学校规定，在开学2周内所在二级学院办理注册手续。因故不能如期到校者，应当事先履行请假手续。未请假或请假未获准，擅自不按期到校报到注册者，按旷课论处。无正当理由逾期两周不注册者，按退学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第八条 未按学校规定缴纳学费或者其他不符合注册条件的不予注册。家庭经济困难的学生可以申请贷款或者其他形式资助，办理有关手续后注册。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第九条 凡取得本校学籍的学生，在校期间不得报考其他普通高等院校。</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第三章   修业年限</w:t>
      </w:r>
    </w:p>
    <w:p>
      <w:pPr>
        <w:keepNext w:val="0"/>
        <w:keepLines w:val="0"/>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第十条 高本贯通专业基本学制为5年，前3年主要在上海电子信息职业技术学院、上海城建职业学院学习，后2年主要在上海应用技术大学学习。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第十一条 学生根据自身情况，可以申请适当延长修业年限完成学业。在高职阶段允许延长两年，本科阶段，允许延长一年。延长修业年限的，应当提前一学期办理申请手续。学生不论修满专业培养计划规定的学分的年限是多少，毕业时均以其基本修业年限（高职基本学制为3年、高本贯通本科阶段基本学制为2年）记入毕业文凭中设定的学历层次年限。延长修业的年限包括休学的时间，如有特殊情况，由各校协商解决。</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第四章 考核与成绩记载</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第十二条 根据学分制教学管理办法，每门课程都有相应的学分。学生每学期所修读的课程，均需经过考核，成绩合格才能取得学分。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第十三条 学生应当参加本专业人才培养计划规定的课程及各类实践性教学环节（如实习、实验、课程设计、毕业设计（论文）等）的考核，取得考核成绩及相应学分。考核成绩及学分载入学业成绩总表，归入学生本人学籍档案。</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第十四条课程考核分为考试和考查两种。课程考核方式由各二级学院根据课程特点加以确定，并在人才培养方案中注明。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第十五条 成绩包括获取方式和分值两部分，获取方式指正考、补考、重修等，分值指具体分数值，以百分制记。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第十六条 学生体育成绩评定要突出过程管理，可以根据考勤、课内教学、课外锻炼活动和体质健康等情况综合评定。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第十七条 学生缺课累计达到某门课程教学时数三分之一者，不得参加该课程的考核，必须重修该课程。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第十八条 为保证考试顺利进行，考试期间原则上不准请假。因故不能参加考试的学生须在考试前按照有关规定申请缓考，一门课程学生只准申请缓考一次，原则上补考不得申请缓考。缓考不及格者，不再予以补考，应重修该门课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第十九条 凡擅自缺考或考试作弊者，在学籍档案的相应位置上注明“旷缺”或“作弊”字样，不准补考，学生必须重修该课程。对考试作弊者，予以相应的纪律处分。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第二十条 国防教育课包括军事理论课和军训，属必修课。因身体疾病或某种生理缺陷，经二级甲等医院证明不能正常参加军训者，经军训领导小组批准可不参加军训。入伍退役复学的学生免修军事理论课、军训和体育课。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第五章 学业警告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第二十一条 一学期经考核未取得所修课程的学分累计达到或超过14学分者，二级学院应向学生及家长送达《学业警告通知单》，给予其学业警告。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第二十二条 学生在受到学业警告后，应及时安排好不及格课程的重修；在无力重修的情况下可申请降级继续学习。降级学生按降级以后所在年级的收费标准缴费注册。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第六章 补考与重修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第二十三条 学生考核不及格的课程，高职阶段，可参加补考，补考只有一次。通识教育选修课一般不组织补考，学生应通过重修来完成规定的学分；重修可以选修同一门课程，也可以选修其他课程。补考及格的课程成绩以“60分”记，补考不及格的课程必须重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本科阶段，考试不及格及对考试成绩不满意者都可申请二考，成绩以最高计。</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第二十四条 缺交实训报告或在一学期内缺交一门课程的三分之一作业者不得参加该课程的考核，补足实训报告或作业后只能参加该门课程的补考。单列课程的大型作业、课程设计、实习、实训与毕业顶岗实习等实践性教学环节不设补考，考核不及格者必须重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第二十五条 学生应根据学校有关要求参加重修选课，选课时应避免重修课程与在读课程的时间冲突，如重修课程较多也可以选择降级学习。学生应按规定缴纳重修费用，办理重修注册手续。</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第二十六条 重修所选的课程，必修课、选修课不能相互替代。必修课程应重修人才培养方案规定的原课程；选修课程在限定选修的范围内可选择其他未修的课程代替，但重修所选课程的学分应不低于原所修课程的学分。在最长学习年限内，同一课程在考核未通过前可以重修多次。</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第二十七条 学生重修课程考核合格，在学生成绩总表中记载成绩并标注“重修”，考核不及格的可以参加补考。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第七章 考勤</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第二十八条 学生应按时参加课程学习和其他教育教学活动，并接受考勤。因故不能参加的，应当事先请假并获得批准，无故缺席者作旷课处理。其中，人才培养方案中规定的实践性教学环节，每缺勤一天按旷课6学时计。</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第二十九条 学生迟到、早退累计三次作旷课1学时处理，对旷课的学生，二级学院应及时予以批评教育，并按有关规定进行处理。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第八章 休学与复学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第三十条 学生有下列情况之一者，应予休学。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（1）因病经指定医院诊断，须停课治疗、休养占1学期总学时三分之一以上者；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（2）根据考勤，一学期请假、缺课超过该学期总学时三分之一者；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（3）因某种特殊原因，本人申请或学校认为应休学者。</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第三十一条 学生提出休学的，需按规定提交休学申请表和其他证明材料（因病休学的须提供医院诊断证明等材料）报学校教务处审批。休学学生应当办理离校手续。学生休学期间，拥有学籍，但不享受在校学习学生待遇。因病休学学生的医疗费按国家和当地有关规定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休学一般以1年为期，学生休学期满需要续休的，应再次办理休学手续，在校期间累计休学不得超过2年。休学期满不办理复学手续者，作退学处理。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第三十二条 学生申请复学的，应于休学期满1个月前按规定提交复学申请表和其他证明材料（因病休学的须提供医院出具的健康状况证明等）报学院教务处审批，经批准后可进入原专业下一年级学习。如审批不通过的可办理续休或退学，如因专业设置调整或身体状况无法适应原专业学习的可办理转专业或退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第三十三条 学生应征参加中国人民解放军（含中国人民武装警察部队），需按规定提交保留学籍申请表和其他证明材料报学校教务处审批，学校保留其学籍至退役后2年。保留学籍学生应当办理离校手续。学生保留学籍期间，与其实际所在部队等组织建立管理关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第九章 转学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第三十四条 高本贯通学生在校期间一般不能转学。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第十章 甄别及转段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第三十五条 高本贯通培养的学生完成第一学年的教学计划后，由高职院校组织考核，两个学期大学数学期末成绩不及格1次及以上（含正考、补考，不含重修考试）或其它累计不及格课程（经补考后）达三门（含三门）以上者，予以转入平行专业或相近专业学习，不再进行贯通培养。</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第三十六条 学生自愿提出申请，不愿继续在高本贯通专业学习者，经学校审核同意，可予转入上海电子信息职业技术学院、上海城建职业学院普通高职专业或相近专业学习，学分认定按各学校相关规定执行。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第三十七条 学生修满教学计划所设定的高职阶段课程、学习成绩合格、至少取得一种与所学专业相关的职业资格证书或技能等级证书者，并通过全市统一的“高本贯通”转段考试后（采用“专升本”考试方式），转入相应的上海应用技术大学进行本科阶段学习。</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第十一章 退学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第三十八条 学生有下列情形之一，可予退学。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（1）在学校规定学习年限内（含休学）未完成学业的；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（2）休学期满，在学校规定期限内未提出复学申请或者申请复学经复查不合格的；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（3）延长学业期满，未办理相关后续手续的；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（4）经学校指定医院诊断，患有疾病或者意外伤残无法继续在院学习的；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（5）未经批准连续两周未参加学校规定的教学活动的；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（6）超过学校规定期限未注册而又未履行暂缓注册手续的；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（7）学生申请退学的。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第三十九条 对学生的退学处理，由校长办公会议或者校长授权的专门会议研究决定。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对退学的学生，由学校出具退学证明并送达本人，同时报省级教育行政部门备案。因学生自身原因无法将退学决定书送交本人的，则在校内发布公告，自公告之日起15天，即视为送达。</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第四十条 学生对退学处理有异议的，可在接到学校处理决定书之日起10日内，向学校学生申诉处理委员会提出书面申诉。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第四十一条 学生申诉处理委员会对学生提出的申诉进行复查，并在接到书面申诉之日起15日内，做出复查结论并告知申诉人。需要改变原处分决定的，由学生申诉处理委员会提交学校重新研究决定。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第四十二条 从处理决定或者复查决定送达之日起，学生超过规定期限提出的申诉，学校不再受理。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第四十三条 在退学决定生效后，学生应按学校规定期限办理离校手续，档案、户口退回其户籍所在地。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第四十四条 学生在校期间死亡的，由学校出具学籍注销证明并送达学生家长。</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第十二章 毕业、结业和肄业</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第四十五条 对完成前三年专业教学计划规定课程、考试成绩合格，且至少取得一种与所学专业相关的职业资格证书或技能等级证书者，发给上海电子信息职业技术学院、上海城建职业学院专科毕业证书。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第四十六条 对修满“高本贯通”培养计划所有学分、考试成绩均合格，且符合上海应用技术大学毕业要求和学位授予条件者，颁发本科毕业证书和学位证书。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第四十七条 学生在学校规定学习年限内，未达到学校毕业要求的，学校可以准予结业，发给结业证书。</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第四十八条 结业学生可对原不及格课程申请重修，经考核成绩合格且取得了与所学专业相关的职业资格证书或技能等级证书者换发毕业证书。重修必须在最长学习年限内完成。合格后颁发的毕业证书、学位证书，毕业时间、获得学位时间按发证日期填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第四十九条 对退学学生，学校发给肄业证书或者写实性学习证明。</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第十三章 附   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第五十条 本规定自2018年9月1日起施行；原《上海应用技术大学、上海电子信息职业技术学院  高本贯通培养学生学籍管理暂行规定》（〔2017〕98号）即行废止。</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第五十一条 本规定由上海应用技术大学、上海电子信息职业技术学院、上海城建职业学院三所学校共同解释。</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第五十二条  在本规定实施过程中，未尽事宜，原则上按高职学校和上海应用技术大学已有文件规定执行。如有与上级教育主管部门专门颁发的规定相悖，则以上级教育主管部门专门颁发的规定为准。</w:t>
      </w:r>
    </w:p>
    <w:p>
      <w:pPr>
        <w:pageBreakBefore w:val="0"/>
        <w:topLinePunct w:val="0"/>
        <w:bidi w:val="0"/>
        <w:snapToGrid w:val="0"/>
        <w:spacing w:line="360" w:lineRule="auto"/>
        <w:ind w:firstLine="480" w:firstLineChars="200"/>
        <w:outlineLvl w:val="9"/>
        <w:rPr>
          <w:rFonts w:hint="eastAsia"/>
          <w:sz w:val="24"/>
          <w:szCs w:val="24"/>
        </w:rPr>
      </w:pPr>
    </w:p>
    <w:p>
      <w:pPr>
        <w:pageBreakBefore w:val="0"/>
        <w:topLinePunct w:val="0"/>
        <w:bidi w:val="0"/>
        <w:snapToGrid w:val="0"/>
        <w:spacing w:line="360" w:lineRule="auto"/>
        <w:ind w:firstLine="480" w:firstLineChars="200"/>
        <w:outlineLvl w:val="9"/>
        <w:rPr>
          <w:rFonts w:hint="eastAsia"/>
          <w:sz w:val="24"/>
          <w:szCs w:val="24"/>
        </w:rPr>
      </w:pPr>
    </w:p>
    <w:p>
      <w:pPr>
        <w:pageBreakBefore w:val="0"/>
        <w:topLinePunct w:val="0"/>
        <w:bidi w:val="0"/>
        <w:snapToGrid w:val="0"/>
        <w:spacing w:line="360" w:lineRule="auto"/>
        <w:ind w:firstLine="480" w:firstLineChars="200"/>
        <w:outlineLvl w:val="9"/>
        <w:rPr>
          <w:rFonts w:hint="eastAsia"/>
          <w:sz w:val="24"/>
          <w:szCs w:val="24"/>
        </w:rPr>
      </w:pPr>
    </w:p>
    <w:p>
      <w:pPr>
        <w:pageBreakBefore w:val="0"/>
        <w:topLinePunct w:val="0"/>
        <w:bidi w:val="0"/>
        <w:snapToGrid w:val="0"/>
        <w:spacing w:line="360" w:lineRule="auto"/>
        <w:ind w:firstLine="480" w:firstLineChars="200"/>
        <w:outlineLvl w:val="9"/>
        <w:rPr>
          <w:rFonts w:hint="eastAsia"/>
          <w:sz w:val="24"/>
          <w:szCs w:val="24"/>
        </w:rPr>
      </w:pPr>
    </w:p>
    <w:p>
      <w:pPr>
        <w:pageBreakBefore w:val="0"/>
        <w:topLinePunct w:val="0"/>
        <w:bidi w:val="0"/>
        <w:snapToGrid w:val="0"/>
        <w:spacing w:line="360" w:lineRule="auto"/>
        <w:ind w:firstLine="480" w:firstLineChars="200"/>
        <w:outlineLvl w:val="9"/>
        <w:rPr>
          <w:rFonts w:hint="eastAsia"/>
          <w:sz w:val="24"/>
          <w:szCs w:val="24"/>
        </w:rPr>
      </w:pPr>
    </w:p>
    <w:p>
      <w:pPr>
        <w:pageBreakBefore w:val="0"/>
        <w:topLinePunct w:val="0"/>
        <w:bidi w:val="0"/>
        <w:snapToGrid w:val="0"/>
        <w:spacing w:line="360" w:lineRule="auto"/>
        <w:ind w:firstLine="480" w:firstLineChars="200"/>
        <w:outlineLvl w:val="9"/>
        <w:rPr>
          <w:rFonts w:hint="eastAsia"/>
          <w:sz w:val="24"/>
          <w:szCs w:val="24"/>
        </w:rPr>
      </w:pPr>
    </w:p>
    <w:p>
      <w:pPr>
        <w:pageBreakBefore w:val="0"/>
        <w:topLinePunct w:val="0"/>
        <w:bidi w:val="0"/>
        <w:snapToGrid w:val="0"/>
        <w:spacing w:line="360" w:lineRule="auto"/>
        <w:ind w:firstLine="480" w:firstLineChars="200"/>
        <w:outlineLvl w:val="9"/>
        <w:rPr>
          <w:rFonts w:hint="eastAsia"/>
          <w:sz w:val="24"/>
          <w:szCs w:val="24"/>
        </w:rPr>
      </w:pPr>
    </w:p>
    <w:p>
      <w:pPr>
        <w:pageBreakBefore w:val="0"/>
        <w:topLinePunct w:val="0"/>
        <w:bidi w:val="0"/>
        <w:snapToGrid w:val="0"/>
        <w:spacing w:line="360" w:lineRule="auto"/>
        <w:ind w:firstLine="480" w:firstLineChars="200"/>
        <w:outlineLvl w:val="9"/>
        <w:rPr>
          <w:rFonts w:hint="eastAsia"/>
          <w:sz w:val="24"/>
          <w:szCs w:val="24"/>
        </w:rPr>
      </w:pPr>
    </w:p>
    <w:p>
      <w:pPr>
        <w:pageBreakBefore w:val="0"/>
        <w:topLinePunct w:val="0"/>
        <w:bidi w:val="0"/>
        <w:snapToGrid w:val="0"/>
        <w:spacing w:line="360" w:lineRule="auto"/>
        <w:ind w:firstLine="480" w:firstLineChars="200"/>
        <w:outlineLvl w:val="9"/>
        <w:rPr>
          <w:rFonts w:hint="eastAsia"/>
          <w:sz w:val="24"/>
          <w:szCs w:val="24"/>
        </w:rPr>
      </w:pPr>
    </w:p>
    <w:p>
      <w:pPr>
        <w:pageBreakBefore w:val="0"/>
        <w:topLinePunct w:val="0"/>
        <w:bidi w:val="0"/>
        <w:snapToGrid w:val="0"/>
        <w:spacing w:line="360" w:lineRule="auto"/>
        <w:ind w:firstLine="480" w:firstLineChars="200"/>
        <w:outlineLvl w:val="9"/>
        <w:rPr>
          <w:rFonts w:hint="eastAsia"/>
          <w:sz w:val="24"/>
          <w:szCs w:val="24"/>
        </w:rPr>
      </w:pPr>
    </w:p>
    <w:p>
      <w:pPr>
        <w:pageBreakBefore w:val="0"/>
        <w:topLinePunct w:val="0"/>
        <w:bidi w:val="0"/>
        <w:snapToGrid w:val="0"/>
        <w:spacing w:line="360" w:lineRule="auto"/>
        <w:ind w:firstLine="480" w:firstLineChars="200"/>
        <w:outlineLvl w:val="9"/>
        <w:rPr>
          <w:rFonts w:hint="eastAsia"/>
          <w:sz w:val="24"/>
          <w:szCs w:val="24"/>
        </w:rPr>
      </w:pPr>
    </w:p>
    <w:p>
      <w:pPr>
        <w:pageBreakBefore w:val="0"/>
        <w:topLinePunct w:val="0"/>
        <w:bidi w:val="0"/>
        <w:snapToGrid w:val="0"/>
        <w:spacing w:line="360" w:lineRule="auto"/>
        <w:ind w:firstLine="480" w:firstLineChars="200"/>
        <w:outlineLvl w:val="9"/>
        <w:rPr>
          <w:rFonts w:hint="eastAsia"/>
          <w:sz w:val="24"/>
          <w:szCs w:val="24"/>
        </w:rPr>
      </w:pPr>
    </w:p>
    <w:p>
      <w:pPr>
        <w:pageBreakBefore w:val="0"/>
        <w:topLinePunct w:val="0"/>
        <w:bidi w:val="0"/>
        <w:snapToGrid w:val="0"/>
        <w:spacing w:line="360" w:lineRule="auto"/>
        <w:ind w:firstLine="480" w:firstLineChars="200"/>
        <w:outlineLvl w:val="9"/>
        <w:rPr>
          <w:rFonts w:hint="eastAsia"/>
          <w:sz w:val="24"/>
          <w:szCs w:val="24"/>
        </w:rPr>
      </w:pPr>
    </w:p>
    <w:p>
      <w:pPr>
        <w:pStyle w:val="15"/>
        <w:pageBreakBefore w:val="0"/>
        <w:topLinePunct w:val="0"/>
        <w:bidi w:val="0"/>
        <w:outlineLvl w:val="9"/>
        <w:rPr>
          <w:rFonts w:ascii="Times New Roman"/>
          <w:sz w:val="20"/>
        </w:rPr>
      </w:pPr>
      <w:r>
        <w:rPr>
          <w:rFonts w:hint="eastAsia" w:ascii="仿宋_GB2312" w:eastAsia="仿宋_GB2312"/>
          <w:sz w:val="30"/>
          <w:szCs w:val="30"/>
        </w:rPr>
        <w:br w:type="page"/>
      </w:r>
    </w:p>
    <w:p>
      <w:pPr>
        <w:pStyle w:val="15"/>
        <w:pageBreakBefore w:val="0"/>
        <w:topLinePunct w:val="0"/>
        <w:bidi w:val="0"/>
        <w:outlineLvl w:val="9"/>
        <w:rPr>
          <w:rFonts w:ascii="Times New Roman"/>
          <w:sz w:val="20"/>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w:t>
      </w:r>
      <w:r>
        <w:rPr>
          <w:rFonts w:hint="eastAsia" w:ascii="华文中宋" w:hAnsi="华文中宋" w:eastAsia="华文中宋" w:cs="Times New Roman"/>
          <w:b/>
          <w:color w:val="FF0000"/>
          <w:spacing w:val="10"/>
          <w:sz w:val="56"/>
          <w:szCs w:val="56"/>
          <w:lang w:val="en-US" w:eastAsia="zh-CN"/>
        </w:rPr>
        <w:t>文</w:t>
      </w:r>
      <w:r>
        <w:rPr>
          <w:rFonts w:hint="eastAsia" w:ascii="华文中宋" w:hAnsi="华文中宋" w:eastAsia="华文中宋" w:cs="Times New Roman"/>
          <w:b/>
          <w:color w:val="FF0000"/>
          <w:spacing w:val="10"/>
          <w:sz w:val="56"/>
          <w:szCs w:val="56"/>
        </w:rPr>
        <w:t>件</w:t>
      </w:r>
    </w:p>
    <w:p>
      <w:pPr>
        <w:pStyle w:val="15"/>
        <w:pageBreakBefore w:val="0"/>
        <w:topLinePunct w:val="0"/>
        <w:bidi w:val="0"/>
        <w:spacing w:before="6"/>
        <w:outlineLvl w:val="9"/>
        <w:rPr>
          <w:rFonts w:ascii="华文中宋"/>
          <w:b/>
          <w:sz w:val="57"/>
        </w:rPr>
      </w:pPr>
    </w:p>
    <w:p>
      <w:pPr>
        <w:pageBreakBefore w:val="0"/>
        <w:topLinePunct w:val="0"/>
        <w:bidi w:val="0"/>
        <w:spacing w:before="1"/>
        <w:ind w:left="309" w:right="589" w:firstLine="0"/>
        <w:jc w:val="center"/>
        <w:outlineLvl w:val="9"/>
        <w:rPr>
          <w:sz w:val="32"/>
        </w:rPr>
      </w:pPr>
      <w:r>
        <w:rPr>
          <w:sz w:val="32"/>
        </w:rPr>
        <w:t>沪电信职院〔2018〕208 号</w:t>
      </w:r>
    </w:p>
    <w:p>
      <w:pPr>
        <w:pStyle w:val="15"/>
        <w:pageBreakBefore w:val="0"/>
        <w:topLinePunct w:val="0"/>
        <w:bidi w:val="0"/>
        <w:outlineLvl w:val="9"/>
        <w:rPr>
          <w:rFonts w:hint="default" w:eastAsia="宋体"/>
          <w:sz w:val="20"/>
          <w:lang w:val="en-US" w:eastAsia="zh-CN"/>
        </w:rPr>
      </w:pPr>
      <w:r>
        <w:rPr>
          <w:rFonts w:hint="eastAsia"/>
          <w:sz w:val="20"/>
          <w:lang w:val="en-US" w:eastAsia="zh-CN"/>
        </w:rPr>
        <w:t xml:space="preserve">                                        </w:t>
      </w:r>
    </w:p>
    <w:p>
      <w:pPr>
        <w:pStyle w:val="15"/>
        <w:pageBreakBefore w:val="0"/>
        <w:topLinePunct w:val="0"/>
        <w:bidi w:val="0"/>
        <w:outlineLvl w:val="9"/>
        <w:rPr>
          <w:sz w:val="17"/>
        </w:rPr>
      </w:pPr>
      <w:r>
        <w:pict>
          <v:line id="直线 111" o:spid="_x0000_s1100" o:spt="20" style="position:absolute;left:0pt;margin-left:90pt;margin-top:13.55pt;height:0pt;width:415.3pt;mso-position-horizontal-relative:page;mso-wrap-distance-bottom:0pt;mso-wrap-distance-top:0pt;z-index:-251590656;mso-width-relative:page;mso-height-relative:page;" stroked="t" coordsize="21600,21600">
            <v:path arrowok="t"/>
            <v:fill focussize="0,0"/>
            <v:stroke weight="1.32pt" color="#FF0000"/>
            <v:imagedata o:title=""/>
            <o:lock v:ext="edit"/>
            <w10:wrap type="topAndBottom"/>
          </v:line>
        </w:pict>
      </w:r>
    </w:p>
    <w:p>
      <w:pPr>
        <w:pStyle w:val="15"/>
        <w:pageBreakBefore w:val="0"/>
        <w:topLinePunct w:val="0"/>
        <w:bidi w:val="0"/>
        <w:spacing w:before="5"/>
        <w:outlineLvl w:val="9"/>
        <w:rPr>
          <w:sz w:val="23"/>
        </w:rPr>
      </w:pPr>
    </w:p>
    <w:p>
      <w:pPr>
        <w:keepNext w:val="0"/>
        <w:keepLines w:val="0"/>
        <w:pageBreakBefore w:val="0"/>
        <w:widowControl w:val="0"/>
        <w:kinsoku/>
        <w:wordWrap/>
        <w:overflowPunct/>
        <w:topLinePunct w:val="0"/>
        <w:autoSpaceDE/>
        <w:autoSpaceDN/>
        <w:bidi w:val="0"/>
        <w:adjustRightInd/>
        <w:snapToGrid/>
        <w:spacing w:before="53"/>
        <w:ind w:left="314" w:right="590" w:firstLine="0"/>
        <w:jc w:val="center"/>
        <w:textAlignment w:val="auto"/>
        <w:outlineLvl w:val="0"/>
        <w:rPr>
          <w:rFonts w:hint="eastAsia" w:ascii="黑体" w:hAnsi="黑体" w:eastAsia="黑体" w:cs="黑体"/>
          <w:b/>
          <w:sz w:val="36"/>
        </w:rPr>
      </w:pPr>
      <w:bookmarkStart w:id="227" w:name="_Toc27810"/>
      <w:r>
        <w:rPr>
          <w:rFonts w:hint="eastAsia" w:ascii="黑体" w:hAnsi="黑体" w:eastAsia="黑体" w:cs="黑体"/>
          <w:b/>
          <w:sz w:val="36"/>
        </w:rPr>
        <w:t>关于印发《上海电子信息职业技术学院</w:t>
      </w:r>
      <w:bookmarkStart w:id="228" w:name="关于开展毒品预防教育课程的管理办法》的通知"/>
      <w:bookmarkEnd w:id="228"/>
      <w:r>
        <w:rPr>
          <w:rFonts w:hint="eastAsia" w:ascii="黑体" w:hAnsi="黑体" w:eastAsia="黑体" w:cs="黑体"/>
          <w:b/>
          <w:sz w:val="36"/>
        </w:rPr>
        <w:t>关于开展毒品预防教育课程的管理办法》的通知</w:t>
      </w:r>
      <w:bookmarkEnd w:id="227"/>
    </w:p>
    <w:p>
      <w:pPr>
        <w:pStyle w:val="15"/>
        <w:pageBreakBefore w:val="0"/>
        <w:topLinePunct w:val="0"/>
        <w:bidi w:val="0"/>
        <w:spacing w:before="6"/>
        <w:outlineLvl w:val="9"/>
        <w:rPr>
          <w:rFonts w:ascii="华文中宋"/>
          <w:b/>
          <w:sz w:val="27"/>
        </w:rPr>
      </w:pPr>
    </w:p>
    <w:p>
      <w:pPr>
        <w:pageBreakBefore w:val="0"/>
        <w:topLinePunct w:val="0"/>
        <w:bidi w:val="0"/>
        <w:spacing w:before="0"/>
        <w:ind w:left="120" w:right="0" w:firstLine="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before="111" w:line="304" w:lineRule="auto"/>
        <w:ind w:left="120" w:right="385" w:firstLine="640"/>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现将《上海电子信息职业技术学院关于开展毒品预防教育课程的管理办法》印发给你们，请结合本部门工作实际， 认真研究执行。</w:t>
      </w:r>
    </w:p>
    <w:p>
      <w:pPr>
        <w:pStyle w:val="15"/>
        <w:pageBreakBefore w:val="0"/>
        <w:topLinePunct w:val="0"/>
        <w:bidi w:val="0"/>
        <w:spacing w:before="6"/>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before="0" w:line="302" w:lineRule="auto"/>
        <w:ind w:right="438"/>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附件：上海电子信息职业技术学院关于开展毒品预防教育课程的管理办法</w:t>
      </w:r>
    </w:p>
    <w:p>
      <w:pPr>
        <w:pStyle w:val="15"/>
        <w:pageBreakBefore w:val="0"/>
        <w:topLinePunct w:val="0"/>
        <w:bidi w:val="0"/>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before="225" w:line="304" w:lineRule="auto"/>
        <w:ind w:left="4440" w:right="1343" w:hanging="8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上海电子信息职业技术2018 年 11月2日</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bookmarkStart w:id="229" w:name="关于开展毒品预防教育课程的管理办法"/>
      <w:bookmarkEnd w:id="229"/>
      <w:r>
        <w:rPr>
          <w:rFonts w:hint="eastAsia" w:ascii="黑体" w:hAnsi="黑体" w:eastAsia="黑体" w:cs="黑体"/>
          <w:b/>
          <w:bCs/>
          <w:sz w:val="36"/>
          <w:szCs w:val="36"/>
        </w:rPr>
        <w:t>关于开展毒品预防教育课程的管理办法</w:t>
      </w:r>
    </w:p>
    <w:p>
      <w:pPr>
        <w:keepNext w:val="0"/>
        <w:keepLines w:val="0"/>
        <w:pageBreakBefore w:val="0"/>
        <w:widowControl w:val="0"/>
        <w:wordWrap/>
        <w:topLinePunct w:val="0"/>
        <w:bidi w:val="0"/>
        <w:adjustRightInd w:val="0"/>
        <w:snapToGrid w:val="0"/>
        <w:spacing w:line="240" w:lineRule="auto"/>
        <w:ind w:left="312" w:right="589" w:firstLine="0"/>
        <w:jc w:val="center"/>
        <w:textAlignment w:val="auto"/>
        <w:outlineLvl w:val="9"/>
        <w:rPr>
          <w:b/>
          <w:sz w:val="32"/>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根据《上海市教育委员会 上海市禁毒委员会办公室关于进一步加强本市学校毒品预防教育及相关管理工作的实施意见》（沪教委青〔2018〕15 号）和《上海电子信息职业技术学院 2018 年学校毒品预防教育工作方案》（沪电信职院〔2018〕94 号）中关于加强毒品预防教育课程建设落实课程的要求，特制定本管理办法。</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一、课程形式</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将毒品预防教育纳入人才培养方案中通识教育“大学生安全教育” 课程中，在原来大学生安全教育课程的基础上，增加开设毒品预防教 育课程模块。</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二、课程学时与学分</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w:t>
      </w:r>
      <w:r>
        <w:rPr>
          <w:rFonts w:hint="eastAsia" w:ascii="仿宋_GB2312" w:hAnsi="仿宋_GB2312" w:eastAsia="仿宋_GB2312" w:cs="仿宋_GB2312"/>
          <w:sz w:val="28"/>
          <w:szCs w:val="28"/>
          <w:highlight w:val="none"/>
        </w:rPr>
        <w:t>大学生安全教育课程+毒品预防教育专业课程，总计2学分；</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每学年开设毒品预防教育课程 2 课时，三学年总计 6 课时。</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三、课程归属部门与职责</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w:t>
      </w:r>
      <w:r>
        <w:rPr>
          <w:rFonts w:hint="eastAsia" w:ascii="仿宋_GB2312" w:hAnsi="仿宋_GB2312" w:eastAsia="仿宋_GB2312" w:cs="仿宋_GB2312"/>
          <w:sz w:val="28"/>
          <w:szCs w:val="28"/>
          <w:highlight w:val="none"/>
        </w:rPr>
        <w:t>本课程归属公共基础学院；</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公共基础学院制定本课程教学大纲、课标、全校的课程安排计划、课程考核方案，落实教师和教材。</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四、课程安排</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课程在学生入学后的每学年各开一次，课程的具体时间由公共基础学院安排，在开课前向教务处报备。</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五、教学与考核</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1.</w:t>
      </w:r>
      <w:r>
        <w:rPr>
          <w:rFonts w:hint="eastAsia" w:ascii="仿宋_GB2312" w:hAnsi="仿宋_GB2312" w:eastAsia="仿宋_GB2312" w:cs="仿宋_GB2312"/>
          <w:sz w:val="28"/>
          <w:szCs w:val="28"/>
          <w:highlight w:val="none"/>
        </w:rPr>
        <w:t>课程不能缺勤，因故不能上课者可以调整到其他教学班，否则本课程按照不及格处理；</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2.</w:t>
      </w:r>
      <w:r>
        <w:rPr>
          <w:rFonts w:hint="eastAsia" w:ascii="仿宋_GB2312" w:hAnsi="仿宋_GB2312" w:eastAsia="仿宋_GB2312" w:cs="仿宋_GB2312"/>
          <w:sz w:val="28"/>
          <w:szCs w:val="28"/>
          <w:highlight w:val="none"/>
        </w:rPr>
        <w:t>本课程全部结束后参加课程考核，和大学生安全教育课程考核一起记入本课程学分，其中一项成绩不合格者，不能获得此课程学分。</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六、附 则</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本办法自颁布之日起正式实施，由上海电子信息职业技术学院教务处负责解释。</w:t>
      </w:r>
    </w:p>
    <w:p>
      <w:pPr>
        <w:pStyle w:val="15"/>
        <w:keepNext w:val="0"/>
        <w:keepLines w:val="0"/>
        <w:pageBreakBefore w:val="0"/>
        <w:widowControl w:val="0"/>
        <w:kinsoku w:val="0"/>
        <w:wordWrap/>
        <w:overflowPunct w:val="0"/>
        <w:topLinePunct w:val="0"/>
        <w:autoSpaceDE w:val="0"/>
        <w:autoSpaceDN w:val="0"/>
        <w:bidi w:val="0"/>
        <w:adjustRightInd w:val="0"/>
        <w:snapToGrid w:val="0"/>
        <w:textAlignment w:val="auto"/>
        <w:outlineLvl w:val="9"/>
        <w:rPr>
          <w:sz w:val="20"/>
        </w:rPr>
      </w:pPr>
    </w:p>
    <w:p>
      <w:pPr>
        <w:pStyle w:val="15"/>
        <w:pageBreakBefore w:val="0"/>
        <w:topLinePunct w:val="0"/>
        <w:bidi w:val="0"/>
        <w:jc w:val="both"/>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jc w:val="both"/>
        <w:outlineLvl w:val="9"/>
        <w:rPr>
          <w:sz w:val="20"/>
        </w:rPr>
      </w:pPr>
    </w:p>
    <w:p>
      <w:pPr>
        <w:pStyle w:val="15"/>
        <w:pageBreakBefore w:val="0"/>
        <w:topLinePunct w:val="0"/>
        <w:bidi w:val="0"/>
        <w:outlineLvl w:val="9"/>
        <w:rPr>
          <w:sz w:val="20"/>
        </w:rPr>
      </w:pPr>
    </w:p>
    <w:p>
      <w:pPr>
        <w:pStyle w:val="15"/>
        <w:pageBreakBefore w:val="0"/>
        <w:topLinePunct w:val="0"/>
        <w:bidi w:val="0"/>
        <w:outlineLvl w:val="9"/>
        <w:rPr>
          <w:sz w:val="20"/>
        </w:rPr>
      </w:pPr>
    </w:p>
    <w:p>
      <w:pPr>
        <w:pStyle w:val="15"/>
        <w:pageBreakBefore w:val="0"/>
        <w:topLinePunct w:val="0"/>
        <w:bidi w:val="0"/>
        <w:spacing w:line="30" w:lineRule="exact"/>
        <w:ind w:left="105"/>
        <w:outlineLvl w:val="9"/>
        <w:rPr>
          <w:rFonts w:ascii="Times New Roman"/>
          <w:sz w:val="20"/>
        </w:rPr>
      </w:pPr>
    </w:p>
    <w:p>
      <w:pPr>
        <w:pStyle w:val="15"/>
        <w:pageBreakBefore w:val="0"/>
        <w:topLinePunct w:val="0"/>
        <w:bidi w:val="0"/>
        <w:spacing w:before="2"/>
        <w:outlineLvl w:val="9"/>
        <w:rPr>
          <w:rFonts w:ascii="Times New Roman"/>
          <w:sz w:val="28"/>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2125"/>
        <w:outlineLvl w:val="9"/>
        <w:rPr>
          <w:rFonts w:hint="eastAsia" w:eastAsia="仿宋_GB2312" w:asciiTheme="minorHAnsi" w:hAnsiTheme="minorHAnsi" w:cstheme="minorBidi"/>
          <w:b w:val="0"/>
          <w:bCs w:val="0"/>
          <w:color w:val="000000"/>
          <w:kern w:val="0"/>
          <w:sz w:val="32"/>
          <w:szCs w:val="28"/>
          <w:lang w:val="en-US" w:eastAsia="zh-CN" w:bidi="ar-SA"/>
        </w:rPr>
      </w:pPr>
      <w:r>
        <w:rPr>
          <w:rFonts w:hint="eastAsia" w:eastAsia="仿宋_GB2312" w:asciiTheme="minorHAnsi" w:hAnsiTheme="minorHAnsi" w:cstheme="minorBidi"/>
          <w:b w:val="0"/>
          <w:bCs w:val="0"/>
          <w:color w:val="000000"/>
          <w:kern w:val="0"/>
          <w:sz w:val="32"/>
          <w:szCs w:val="28"/>
          <w:lang w:val="en-US" w:eastAsia="zh-CN" w:bidi="ar-SA"/>
        </w:rPr>
        <w:t>沪电信职院〔2018〕223 号</w:t>
      </w:r>
    </w:p>
    <w:p>
      <w:pPr>
        <w:pStyle w:val="15"/>
        <w:pageBreakBefore w:val="0"/>
        <w:topLinePunct w:val="0"/>
        <w:bidi w:val="0"/>
        <w:spacing w:before="5"/>
        <w:outlineLvl w:val="9"/>
        <w:rPr>
          <w:rFonts w:hint="default" w:ascii="仿宋"/>
          <w:sz w:val="49"/>
          <w:lang w:val="en-US"/>
        </w:rPr>
      </w:pPr>
      <w:r>
        <w:pict>
          <v:line id="直线 115" o:spid="_x0000_s1101" o:spt="20" style="position:absolute;left:0pt;margin-left:105.9pt;margin-top:13.1pt;height:0pt;width:395.8pt;mso-position-horizontal-relative:page;mso-wrap-distance-bottom:0pt;mso-wrap-distance-top:0pt;z-index:-251589632;mso-width-relative:page;mso-height-relative:page;" stroked="t" coordsize="21600,21600">
            <v:path arrowok="t"/>
            <v:fill focussize="0,0"/>
            <v:stroke weight="1.25pt" color="#FF0000"/>
            <v:imagedata o:title=""/>
            <o:lock v:ext="edit"/>
            <w10:wrap type="topAndBottom"/>
          </v:line>
        </w:pict>
      </w:r>
      <w:r>
        <w:rPr>
          <w:rFonts w:hint="eastAsia" w:ascii="仿宋"/>
          <w:sz w:val="49"/>
          <w:lang w:val="en-US" w:eastAsia="zh-CN"/>
        </w:rPr>
        <w:t xml:space="preserve">              </w:t>
      </w:r>
      <w:r>
        <w:rPr>
          <w:rFonts w:hint="eastAsia" w:ascii="仿宋"/>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0" w:line="269" w:lineRule="auto"/>
        <w:ind w:right="476"/>
        <w:jc w:val="center"/>
        <w:textAlignment w:val="auto"/>
        <w:outlineLvl w:val="0"/>
        <w:rPr>
          <w:rFonts w:hint="eastAsia" w:ascii="黑体" w:hAnsi="黑体" w:eastAsia="黑体" w:cs="黑体"/>
          <w:b/>
          <w:sz w:val="36"/>
        </w:rPr>
      </w:pPr>
      <w:bookmarkStart w:id="230" w:name="_Toc1435"/>
      <w:r>
        <w:rPr>
          <w:rFonts w:hint="eastAsia" w:ascii="黑体" w:hAnsi="黑体" w:eastAsia="黑体" w:cs="黑体"/>
          <w:b/>
          <w:sz w:val="36"/>
        </w:rPr>
        <w:t>关于印发《上海电子信息职业技术学院学生创新创业成果转化学分管理办法（暂行）》的通知</w:t>
      </w:r>
      <w:bookmarkEnd w:id="230"/>
    </w:p>
    <w:p>
      <w:pPr>
        <w:pStyle w:val="52"/>
        <w:pageBreakBefore w:val="0"/>
        <w:topLinePunct w:val="0"/>
        <w:bidi w:val="0"/>
        <w:spacing w:line="360" w:lineRule="auto"/>
        <w:ind w:left="0" w:leftChars="0" w:firstLine="0" w:firstLineChars="0"/>
        <w:outlineLvl w:val="9"/>
        <w:rPr>
          <w:rFonts w:hint="eastAsia" w:ascii="仿宋_GB2312" w:hAnsi="仿宋_GB2312" w:eastAsia="仿宋_GB2312" w:cs="仿宋_GB2312"/>
          <w:sz w:val="28"/>
          <w:szCs w:val="28"/>
          <w:highlight w:val="none"/>
        </w:rPr>
      </w:pPr>
      <w:bookmarkStart w:id="231" w:name="各教学单位、职能部门："/>
      <w:bookmarkEnd w:id="231"/>
    </w:p>
    <w:p>
      <w:pPr>
        <w:pStyle w:val="52"/>
        <w:pageBreakBefore w:val="0"/>
        <w:topLinePunct w:val="0"/>
        <w:bidi w:val="0"/>
        <w:spacing w:line="360" w:lineRule="auto"/>
        <w:ind w:left="0" w:leftChars="0" w:firstLine="0" w:firstLineChars="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各教学单位、职能部门：</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现将《上海电子信息职业技术学院学生创新创业成果转化学分管理办法（暂行）》印发给你们，请结合本部门工作 实际，认真研究执行。</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附件：上海电子信息职业技术学院学生创新创业成果转化学分管理办法（暂行）</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jc w:val="right"/>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上海电子信息职业技术学院</w:t>
      </w:r>
    </w:p>
    <w:p>
      <w:pPr>
        <w:pStyle w:val="52"/>
        <w:pageBreakBefore w:val="0"/>
        <w:topLinePunct w:val="0"/>
        <w:bidi w:val="0"/>
        <w:spacing w:line="360" w:lineRule="auto"/>
        <w:ind w:firstLine="560" w:firstLineChars="200"/>
        <w:jc w:val="right"/>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2018 年 12 月 19 日</w:t>
      </w:r>
    </w:p>
    <w:p>
      <w:pPr>
        <w:pStyle w:val="15"/>
        <w:pageBreakBefore w:val="0"/>
        <w:topLinePunct w:val="0"/>
        <w:bidi w:val="0"/>
        <w:spacing w:line="324" w:lineRule="auto"/>
        <w:jc w:val="both"/>
        <w:outlineLvl w:val="9"/>
        <w:rPr>
          <w:rFonts w:hint="eastAsia" w:ascii="黑体" w:eastAsia="黑体" w:cs="Times New Roman"/>
          <w:sz w:val="32"/>
          <w:szCs w:val="32"/>
          <w:lang w:val="en-US" w:eastAsia="zh-CN"/>
        </w:rPr>
      </w:pPr>
    </w:p>
    <w:p>
      <w:pPr>
        <w:pageBreakBefore w:val="0"/>
        <w:topLinePunct w:val="0"/>
        <w:bidi w:val="0"/>
        <w:spacing w:line="360" w:lineRule="auto"/>
        <w:jc w:val="center"/>
        <w:outlineLvl w:val="9"/>
        <w:rPr>
          <w:rFonts w:hint="eastAsia" w:ascii="黑体" w:hAnsi="黑体" w:eastAsia="黑体" w:cs="黑体"/>
          <w:b/>
          <w:bCs/>
          <w:sz w:val="36"/>
          <w:szCs w:val="36"/>
        </w:rPr>
      </w:pPr>
    </w:p>
    <w:p>
      <w:pPr>
        <w:pageBreakBefore w:val="0"/>
        <w:topLinePunct w:val="0"/>
        <w:bidi w:val="0"/>
        <w:spacing w:line="360" w:lineRule="auto"/>
        <w:jc w:val="center"/>
        <w:outlineLvl w:val="9"/>
        <w:rPr>
          <w:rFonts w:hint="eastAsia" w:ascii="黑体" w:hAnsi="黑体" w:eastAsia="黑体" w:cs="黑体"/>
          <w:b/>
          <w:bCs/>
          <w:sz w:val="36"/>
          <w:szCs w:val="36"/>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lang w:val="en-US" w:eastAsia="zh-CN"/>
        </w:rPr>
      </w:pPr>
      <w:r>
        <w:rPr>
          <w:rFonts w:hint="eastAsia" w:ascii="黑体" w:hAnsi="黑体" w:eastAsia="黑体" w:cs="黑体"/>
          <w:b/>
          <w:bCs/>
          <w:sz w:val="36"/>
          <w:szCs w:val="36"/>
        </w:rPr>
        <w:t>学生创新创业成</w:t>
      </w:r>
      <w:r>
        <w:rPr>
          <w:rFonts w:hint="eastAsia" w:ascii="黑体" w:hAnsi="黑体" w:eastAsia="黑体" w:cs="黑体"/>
          <w:b/>
          <w:bCs/>
          <w:sz w:val="36"/>
          <w:szCs w:val="36"/>
          <w:lang w:val="en-US" w:eastAsia="zh-CN"/>
        </w:rPr>
        <w:t>果转化学分管理办法（暂行）</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第一章 总则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为强化学生创新创业意识和实践能力培养，鼓励学生积极参加课外创新创业实践活动，  进一步规范学校创新创业实践学分的认定与管理，特制定本办法。</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创新创业实践学分是指学生在最长修业年限内，通过参加创新创业训练计划项目、创新创业竞赛、发表论文、申请专利、参与科学研究、学术交流和创业实践等活动所取得的成果，   经学校认定后所获得的学分。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第二章 认定范围</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创新创业学分分为创新活动和创业活动两个模块，认定范围包括以下类型：</w:t>
      </w:r>
    </w:p>
    <w:p>
      <w:pPr>
        <w:keepNext w:val="0"/>
        <w:keepLines w:val="0"/>
        <w:pageBreakBefore w:val="0"/>
        <w:widowControl w:val="0"/>
        <w:numPr>
          <w:ilvl w:val="0"/>
          <w:numId w:val="6"/>
        </w:numPr>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创新实践类</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1.学术论文</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主要指在一般期刊、报刊、校刊上公开发表相关文章；参加国际国内会议的论文或作品。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2.专利与著作权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指最长修学年限内以获得发明专利、实用新型专利、外观设计专利、软件著作权等。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3.出版专著或作品</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指出版专著、译著，发表作品等。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4.科研训练</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指申请立项各类课题研究、参与老师课题，参加大学生创新训练计划等。</w:t>
      </w:r>
    </w:p>
    <w:p>
      <w:pPr>
        <w:keepNext w:val="0"/>
        <w:keepLines w:val="0"/>
        <w:pageBreakBefore w:val="0"/>
        <w:widowControl w:val="0"/>
        <w:numPr>
          <w:ilvl w:val="0"/>
          <w:numId w:val="6"/>
        </w:numPr>
        <w:kinsoku/>
        <w:wordWrap/>
        <w:overflowPunct/>
        <w:topLinePunct w:val="0"/>
        <w:autoSpaceDE/>
        <w:autoSpaceDN/>
        <w:bidi w:val="0"/>
        <w:adjustRightInd/>
        <w:snapToGrid w:val="0"/>
        <w:spacing w:line="360" w:lineRule="auto"/>
        <w:ind w:left="0" w:leftChars="0"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创业实践类</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1.创业竞赛</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指最长修学年限内代表学校在国际竞赛、国家竞赛、省级竞赛、校级竞赛中获奖者。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2.创业项目</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指参加各级各类大学生创业训练项目、创业实践项目等。</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3.创业实践</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指学生自主创业，依法注册公司等实践活动。 </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4.创业课程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指学生选修相关创业类课程。</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第三章 管理机构</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教务处是学校创新创业实践学分管理的主管部门，负责创新创业实践体系构建、规章制  度制定、方案评估、评估检查、争议裁定等。各二级学院成立创新创业实践学分认定工作小组，组长由二级学院院长担任，具体负责  本学院创新创业实践活动开展、学分认定等工作。</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第四章 成果课程学分的类型与分值</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（一）创新创业成果转换学分累计不超过 12 学分。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（二）创新创业成果可以转换为创新创业类课程学分和相关专业课课程学分。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第五章 认定程序</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第一步：二级学院依据本办法管理规定，制定各专业学分替换实施细则并报教务处备案。   第二步：学生申请。学生填写申请表，并附相关支撑材料，提交所在学院。申请时间：每学期第 15~16 周。</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第三步：学院审核与认定。学院对学生提交的材料进行审核，审核结果向学生公示，报  教务处备案。经确认无误的学分，由学院统一录入教务管理信息系统。申请表和支撑材料由学院归档。</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第四步：学校检查和评估。学校每学期对学院创新创业实践学分的认定工作进行检查和评估。</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第六章 附则</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本办法自公布之日起生效，教务处拥有最终解释权，此前有关规定与本办法不符的以本办法为准。</w:t>
      </w: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 1：上海电子信息职业技术学院创新创业实践学分设置标准</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附件 2：上海电子信息职业技术学院创新创业实践学分申请表 </w:t>
      </w: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 3：上海电子信息职业技术学院创新创业实践学分汇总表</w:t>
      </w: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textAlignment w:val="auto"/>
        <w:outlineLvl w:val="9"/>
        <w:rPr>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textAlignment w:val="auto"/>
        <w:outlineLvl w:val="9"/>
        <w:rPr>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textAlignment w:val="auto"/>
        <w:outlineLvl w:val="9"/>
        <w:rPr>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textAlignment w:val="auto"/>
        <w:outlineLvl w:val="9"/>
        <w:rPr>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textAlignment w:val="auto"/>
        <w:outlineLvl w:val="9"/>
        <w:rPr>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textAlignment w:val="auto"/>
        <w:outlineLvl w:val="9"/>
        <w:rPr>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textAlignment w:val="auto"/>
        <w:outlineLvl w:val="9"/>
        <w:rPr>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textAlignment w:val="auto"/>
        <w:outlineLvl w:val="9"/>
        <w:rPr>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textAlignment w:val="auto"/>
        <w:outlineLvl w:val="9"/>
        <w:rPr>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textAlignment w:val="auto"/>
        <w:outlineLvl w:val="9"/>
        <w:rPr>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textAlignment w:val="auto"/>
        <w:outlineLvl w:val="9"/>
        <w:rPr>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textAlignment w:val="auto"/>
        <w:outlineLvl w:val="9"/>
        <w:rPr>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textAlignment w:val="auto"/>
        <w:outlineLvl w:val="9"/>
        <w:rPr>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textAlignment w:val="auto"/>
        <w:outlineLvl w:val="9"/>
        <w:rPr>
          <w:sz w:val="30"/>
          <w:szCs w:val="30"/>
        </w:rPr>
      </w:pPr>
      <w:r>
        <w:rPr>
          <w:sz w:val="30"/>
          <w:szCs w:val="30"/>
        </w:rPr>
        <w:t xml:space="preserve">附件 1 </w:t>
      </w: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center"/>
        <w:textAlignment w:val="auto"/>
        <w:outlineLvl w:val="9"/>
        <w:rPr>
          <w:b/>
          <w:sz w:val="12"/>
        </w:rPr>
      </w:pPr>
      <w:r>
        <w:rPr>
          <w:sz w:val="30"/>
          <w:szCs w:val="30"/>
        </w:rPr>
        <w:t>上海电子信息职业技术学院创新创业实践学分设置标准</w:t>
      </w:r>
    </w:p>
    <w:tbl>
      <w:tblPr>
        <w:tblStyle w:val="37"/>
        <w:tblW w:w="8522"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2"/>
        <w:gridCol w:w="1345"/>
        <w:gridCol w:w="1798"/>
        <w:gridCol w:w="1561"/>
        <w:gridCol w:w="740"/>
        <w:gridCol w:w="1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32" w:type="dxa"/>
            <w:noWrap w:val="0"/>
            <w:vAlign w:val="top"/>
          </w:tcPr>
          <w:p>
            <w:pPr>
              <w:pStyle w:val="108"/>
              <w:pageBreakBefore w:val="0"/>
              <w:topLinePunct w:val="0"/>
              <w:bidi w:val="0"/>
              <w:spacing w:before="93"/>
              <w:ind w:left="107"/>
              <w:jc w:val="center"/>
              <w:outlineLvl w:val="9"/>
              <w:rPr>
                <w:b/>
                <w:sz w:val="22"/>
              </w:rPr>
            </w:pPr>
            <w:r>
              <w:rPr>
                <w:b/>
                <w:sz w:val="22"/>
              </w:rPr>
              <w:t>类型</w:t>
            </w:r>
          </w:p>
        </w:tc>
        <w:tc>
          <w:tcPr>
            <w:tcW w:w="1345" w:type="dxa"/>
            <w:noWrap w:val="0"/>
            <w:vAlign w:val="top"/>
          </w:tcPr>
          <w:p>
            <w:pPr>
              <w:pStyle w:val="108"/>
              <w:pageBreakBefore w:val="0"/>
              <w:topLinePunct w:val="0"/>
              <w:bidi w:val="0"/>
              <w:spacing w:before="119"/>
              <w:ind w:left="471" w:right="461"/>
              <w:jc w:val="center"/>
              <w:outlineLvl w:val="9"/>
              <w:rPr>
                <w:b/>
                <w:sz w:val="18"/>
              </w:rPr>
            </w:pPr>
            <w:r>
              <w:rPr>
                <w:b/>
                <w:sz w:val="18"/>
              </w:rPr>
              <w:t>项目</w:t>
            </w:r>
          </w:p>
        </w:tc>
        <w:tc>
          <w:tcPr>
            <w:tcW w:w="1798" w:type="dxa"/>
            <w:noWrap w:val="0"/>
            <w:vAlign w:val="top"/>
          </w:tcPr>
          <w:p>
            <w:pPr>
              <w:pStyle w:val="108"/>
              <w:pageBreakBefore w:val="0"/>
              <w:topLinePunct w:val="0"/>
              <w:bidi w:val="0"/>
              <w:spacing w:before="119"/>
              <w:ind w:left="698" w:right="687"/>
              <w:jc w:val="center"/>
              <w:outlineLvl w:val="9"/>
              <w:rPr>
                <w:b/>
                <w:sz w:val="18"/>
              </w:rPr>
            </w:pPr>
            <w:r>
              <w:rPr>
                <w:b/>
                <w:sz w:val="18"/>
              </w:rPr>
              <w:t>等级</w:t>
            </w:r>
          </w:p>
        </w:tc>
        <w:tc>
          <w:tcPr>
            <w:tcW w:w="1561" w:type="dxa"/>
            <w:noWrap w:val="0"/>
            <w:vAlign w:val="top"/>
          </w:tcPr>
          <w:p>
            <w:pPr>
              <w:pStyle w:val="108"/>
              <w:pageBreakBefore w:val="0"/>
              <w:topLinePunct w:val="0"/>
              <w:bidi w:val="0"/>
              <w:spacing w:before="119"/>
              <w:ind w:left="419"/>
              <w:jc w:val="center"/>
              <w:outlineLvl w:val="9"/>
              <w:rPr>
                <w:b/>
                <w:sz w:val="18"/>
              </w:rPr>
            </w:pPr>
            <w:r>
              <w:rPr>
                <w:b/>
                <w:sz w:val="18"/>
              </w:rPr>
              <w:t>二级指标</w:t>
            </w:r>
          </w:p>
        </w:tc>
        <w:tc>
          <w:tcPr>
            <w:tcW w:w="740" w:type="dxa"/>
            <w:noWrap w:val="0"/>
            <w:vAlign w:val="top"/>
          </w:tcPr>
          <w:p>
            <w:pPr>
              <w:pStyle w:val="108"/>
              <w:pageBreakBefore w:val="0"/>
              <w:topLinePunct w:val="0"/>
              <w:bidi w:val="0"/>
              <w:spacing w:before="119"/>
              <w:ind w:right="177"/>
              <w:jc w:val="center"/>
              <w:outlineLvl w:val="9"/>
              <w:rPr>
                <w:b/>
                <w:sz w:val="18"/>
              </w:rPr>
            </w:pPr>
            <w:r>
              <w:rPr>
                <w:b/>
                <w:w w:val="95"/>
                <w:sz w:val="18"/>
              </w:rPr>
              <w:t>学分</w:t>
            </w:r>
          </w:p>
        </w:tc>
        <w:tc>
          <w:tcPr>
            <w:tcW w:w="1946" w:type="dxa"/>
            <w:noWrap w:val="0"/>
            <w:vAlign w:val="top"/>
          </w:tcPr>
          <w:p>
            <w:pPr>
              <w:pStyle w:val="108"/>
              <w:pageBreakBefore w:val="0"/>
              <w:topLinePunct w:val="0"/>
              <w:bidi w:val="0"/>
              <w:spacing w:before="119"/>
              <w:ind w:left="770" w:right="763"/>
              <w:jc w:val="center"/>
              <w:outlineLvl w:val="9"/>
              <w:rPr>
                <w:b/>
                <w:sz w:val="18"/>
              </w:rPr>
            </w:pPr>
            <w:r>
              <w:rPr>
                <w:b/>
                <w:sz w:val="18"/>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1132" w:type="dxa"/>
            <w:vMerge w:val="restart"/>
            <w:noWrap w:val="0"/>
            <w:vAlign w:val="top"/>
          </w:tcPr>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spacing w:before="1"/>
              <w:outlineLvl w:val="9"/>
              <w:rPr>
                <w:b/>
                <w:sz w:val="17"/>
              </w:rPr>
            </w:pPr>
          </w:p>
          <w:p>
            <w:pPr>
              <w:pStyle w:val="108"/>
              <w:pageBreakBefore w:val="0"/>
              <w:topLinePunct w:val="0"/>
              <w:bidi w:val="0"/>
              <w:ind w:left="124"/>
              <w:outlineLvl w:val="9"/>
              <w:rPr>
                <w:b/>
                <w:sz w:val="22"/>
              </w:rPr>
            </w:pPr>
            <w:r>
              <w:rPr>
                <w:b/>
                <w:sz w:val="22"/>
              </w:rPr>
              <w:t>创新实践</w:t>
            </w:r>
          </w:p>
        </w:tc>
        <w:tc>
          <w:tcPr>
            <w:tcW w:w="1345" w:type="dxa"/>
            <w:vMerge w:val="restart"/>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4"/>
              <w:outlineLvl w:val="9"/>
              <w:rPr>
                <w:b/>
                <w:sz w:val="19"/>
              </w:rPr>
            </w:pPr>
          </w:p>
          <w:p>
            <w:pPr>
              <w:pStyle w:val="108"/>
              <w:pageBreakBefore w:val="0"/>
              <w:topLinePunct w:val="0"/>
              <w:bidi w:val="0"/>
              <w:ind w:left="312"/>
              <w:outlineLvl w:val="9"/>
              <w:rPr>
                <w:b/>
                <w:sz w:val="18"/>
              </w:rPr>
            </w:pPr>
            <w:r>
              <w:rPr>
                <w:b/>
                <w:sz w:val="18"/>
              </w:rPr>
              <w:t>学术论文</w:t>
            </w:r>
          </w:p>
        </w:tc>
        <w:tc>
          <w:tcPr>
            <w:tcW w:w="1798" w:type="dxa"/>
            <w:noWrap w:val="0"/>
            <w:vAlign w:val="top"/>
          </w:tcPr>
          <w:p>
            <w:pPr>
              <w:pStyle w:val="108"/>
              <w:pageBreakBefore w:val="0"/>
              <w:topLinePunct w:val="0"/>
              <w:bidi w:val="0"/>
              <w:spacing w:before="3"/>
              <w:outlineLvl w:val="9"/>
              <w:rPr>
                <w:b/>
                <w:sz w:val="17"/>
              </w:rPr>
            </w:pPr>
          </w:p>
          <w:p>
            <w:pPr>
              <w:pStyle w:val="108"/>
              <w:pageBreakBefore w:val="0"/>
              <w:topLinePunct w:val="0"/>
              <w:bidi w:val="0"/>
              <w:spacing w:before="1"/>
              <w:ind w:left="107"/>
              <w:outlineLvl w:val="9"/>
              <w:rPr>
                <w:sz w:val="18"/>
              </w:rPr>
            </w:pPr>
            <w:r>
              <w:rPr>
                <w:sz w:val="18"/>
              </w:rPr>
              <w:t>核心刊物</w:t>
            </w:r>
          </w:p>
        </w:tc>
        <w:tc>
          <w:tcPr>
            <w:tcW w:w="1561" w:type="dxa"/>
            <w:noWrap w:val="0"/>
            <w:vAlign w:val="top"/>
          </w:tcPr>
          <w:p>
            <w:pPr>
              <w:pStyle w:val="108"/>
              <w:pageBreakBefore w:val="0"/>
              <w:topLinePunct w:val="0"/>
              <w:bidi w:val="0"/>
              <w:spacing w:before="3"/>
              <w:outlineLvl w:val="9"/>
              <w:rPr>
                <w:b/>
                <w:sz w:val="17"/>
              </w:rPr>
            </w:pPr>
          </w:p>
          <w:p>
            <w:pPr>
              <w:pStyle w:val="108"/>
              <w:pageBreakBefore w:val="0"/>
              <w:topLinePunct w:val="0"/>
              <w:bidi w:val="0"/>
              <w:spacing w:before="1"/>
              <w:ind w:left="107"/>
              <w:outlineLvl w:val="9"/>
              <w:rPr>
                <w:sz w:val="18"/>
              </w:rPr>
            </w:pPr>
            <w:r>
              <w:rPr>
                <w:sz w:val="18"/>
              </w:rPr>
              <w:t>公开发表</w:t>
            </w:r>
          </w:p>
        </w:tc>
        <w:tc>
          <w:tcPr>
            <w:tcW w:w="740" w:type="dxa"/>
            <w:noWrap w:val="0"/>
            <w:vAlign w:val="top"/>
          </w:tcPr>
          <w:p>
            <w:pPr>
              <w:pStyle w:val="108"/>
              <w:pageBreakBefore w:val="0"/>
              <w:topLinePunct w:val="0"/>
              <w:bidi w:val="0"/>
              <w:spacing w:before="10"/>
              <w:outlineLvl w:val="9"/>
              <w:rPr>
                <w:b/>
                <w:sz w:val="17"/>
              </w:rPr>
            </w:pPr>
          </w:p>
          <w:p>
            <w:pPr>
              <w:pStyle w:val="108"/>
              <w:pageBreakBefore w:val="0"/>
              <w:topLinePunct w:val="0"/>
              <w:bidi w:val="0"/>
              <w:ind w:left="10"/>
              <w:jc w:val="center"/>
              <w:outlineLvl w:val="9"/>
              <w:rPr>
                <w:rFonts w:ascii="Calibri"/>
                <w:sz w:val="18"/>
              </w:rPr>
            </w:pPr>
            <w:r>
              <w:rPr>
                <w:rFonts w:ascii="Calibri"/>
                <w:sz w:val="18"/>
              </w:rPr>
              <w:t>8</w:t>
            </w:r>
          </w:p>
        </w:tc>
        <w:tc>
          <w:tcPr>
            <w:tcW w:w="1946" w:type="dxa"/>
            <w:vMerge w:val="restart"/>
            <w:noWrap w:val="0"/>
            <w:vAlign w:val="top"/>
          </w:tcPr>
          <w:p>
            <w:pPr>
              <w:pStyle w:val="108"/>
              <w:pageBreakBefore w:val="0"/>
              <w:topLinePunct w:val="0"/>
              <w:bidi w:val="0"/>
              <w:outlineLvl w:val="9"/>
              <w:rPr>
                <w:b/>
                <w:sz w:val="18"/>
              </w:rPr>
            </w:pPr>
          </w:p>
          <w:p>
            <w:pPr>
              <w:pStyle w:val="108"/>
              <w:pageBreakBefore w:val="0"/>
              <w:topLinePunct w:val="0"/>
              <w:bidi w:val="0"/>
              <w:spacing w:before="10"/>
              <w:outlineLvl w:val="9"/>
              <w:rPr>
                <w:b/>
                <w:sz w:val="18"/>
              </w:rPr>
            </w:pPr>
          </w:p>
          <w:p>
            <w:pPr>
              <w:pStyle w:val="108"/>
              <w:pageBreakBefore w:val="0"/>
              <w:topLinePunct w:val="0"/>
              <w:bidi w:val="0"/>
              <w:spacing w:line="487" w:lineRule="auto"/>
              <w:ind w:left="107" w:right="26"/>
              <w:outlineLvl w:val="9"/>
              <w:rPr>
                <w:sz w:val="18"/>
              </w:rPr>
            </w:pPr>
            <w:r>
              <w:rPr>
                <w:sz w:val="18"/>
              </w:rPr>
              <w:t xml:space="preserve">第一作者得满分，第 </w:t>
            </w:r>
            <w:r>
              <w:rPr>
                <w:spacing w:val="-2"/>
                <w:sz w:val="18"/>
              </w:rPr>
              <w:t xml:space="preserve">二、三作者得分减半， </w:t>
            </w:r>
            <w:r>
              <w:rPr>
                <w:sz w:val="18"/>
              </w:rPr>
              <w:t>第三作者后不得分。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noWrap w:val="0"/>
            <w:vAlign w:val="top"/>
          </w:tcPr>
          <w:p>
            <w:pPr>
              <w:pStyle w:val="108"/>
              <w:pageBreakBefore w:val="0"/>
              <w:topLinePunct w:val="0"/>
              <w:bidi w:val="0"/>
              <w:spacing w:before="120"/>
              <w:ind w:left="107"/>
              <w:outlineLvl w:val="9"/>
              <w:rPr>
                <w:sz w:val="18"/>
              </w:rPr>
            </w:pPr>
            <w:r>
              <w:rPr>
                <w:sz w:val="18"/>
              </w:rPr>
              <w:t>一般期刊</w:t>
            </w:r>
          </w:p>
        </w:tc>
        <w:tc>
          <w:tcPr>
            <w:tcW w:w="1561" w:type="dxa"/>
            <w:noWrap w:val="0"/>
            <w:vAlign w:val="top"/>
          </w:tcPr>
          <w:p>
            <w:pPr>
              <w:pStyle w:val="108"/>
              <w:pageBreakBefore w:val="0"/>
              <w:topLinePunct w:val="0"/>
              <w:bidi w:val="0"/>
              <w:spacing w:before="120"/>
              <w:ind w:left="107"/>
              <w:outlineLvl w:val="9"/>
              <w:rPr>
                <w:sz w:val="18"/>
              </w:rPr>
            </w:pPr>
            <w:r>
              <w:rPr>
                <w:sz w:val="18"/>
              </w:rPr>
              <w:t>公开发表</w:t>
            </w:r>
          </w:p>
        </w:tc>
        <w:tc>
          <w:tcPr>
            <w:tcW w:w="740" w:type="dxa"/>
            <w:noWrap w:val="0"/>
            <w:vAlign w:val="top"/>
          </w:tcPr>
          <w:p>
            <w:pPr>
              <w:pStyle w:val="108"/>
              <w:pageBreakBefore w:val="0"/>
              <w:topLinePunct w:val="0"/>
              <w:bidi w:val="0"/>
              <w:spacing w:before="124"/>
              <w:ind w:left="10"/>
              <w:jc w:val="center"/>
              <w:outlineLvl w:val="9"/>
              <w:rPr>
                <w:rFonts w:ascii="Calibri"/>
                <w:sz w:val="18"/>
              </w:rPr>
            </w:pPr>
            <w:r>
              <w:rPr>
                <w:rFonts w:ascii="Calibri"/>
                <w:sz w:val="18"/>
              </w:rPr>
              <w:t>4</w:t>
            </w:r>
          </w:p>
        </w:tc>
        <w:tc>
          <w:tcPr>
            <w:tcW w:w="1946" w:type="dxa"/>
            <w:vMerge w:val="continue"/>
            <w:tcBorders>
              <w:top w:val="nil"/>
            </w:tcBorders>
            <w:noWrap w:val="0"/>
            <w:vAlign w:val="top"/>
          </w:tcPr>
          <w:p>
            <w:pPr>
              <w:pageBreakBefore w:val="0"/>
              <w:topLinePunct w:val="0"/>
              <w:bidi w:val="0"/>
              <w:outlineLvl w:val="9"/>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noWrap w:val="0"/>
            <w:vAlign w:val="top"/>
          </w:tcPr>
          <w:p>
            <w:pPr>
              <w:pStyle w:val="108"/>
              <w:pageBreakBefore w:val="0"/>
              <w:topLinePunct w:val="0"/>
              <w:bidi w:val="0"/>
              <w:spacing w:before="119"/>
              <w:ind w:left="107"/>
              <w:outlineLvl w:val="9"/>
              <w:rPr>
                <w:sz w:val="18"/>
              </w:rPr>
            </w:pPr>
            <w:r>
              <w:rPr>
                <w:sz w:val="18"/>
              </w:rPr>
              <w:t>报刊</w:t>
            </w:r>
          </w:p>
        </w:tc>
        <w:tc>
          <w:tcPr>
            <w:tcW w:w="1561" w:type="dxa"/>
            <w:noWrap w:val="0"/>
            <w:vAlign w:val="top"/>
          </w:tcPr>
          <w:p>
            <w:pPr>
              <w:pStyle w:val="108"/>
              <w:pageBreakBefore w:val="0"/>
              <w:topLinePunct w:val="0"/>
              <w:bidi w:val="0"/>
              <w:spacing w:before="119"/>
              <w:ind w:left="107"/>
              <w:outlineLvl w:val="9"/>
              <w:rPr>
                <w:sz w:val="18"/>
              </w:rPr>
            </w:pPr>
            <w:r>
              <w:rPr>
                <w:sz w:val="18"/>
              </w:rPr>
              <w:t>公开发表</w:t>
            </w:r>
          </w:p>
        </w:tc>
        <w:tc>
          <w:tcPr>
            <w:tcW w:w="740" w:type="dxa"/>
            <w:noWrap w:val="0"/>
            <w:vAlign w:val="top"/>
          </w:tcPr>
          <w:p>
            <w:pPr>
              <w:pStyle w:val="108"/>
              <w:pageBreakBefore w:val="0"/>
              <w:topLinePunct w:val="0"/>
              <w:bidi w:val="0"/>
              <w:spacing w:before="126"/>
              <w:ind w:left="10"/>
              <w:jc w:val="center"/>
              <w:outlineLvl w:val="9"/>
              <w:rPr>
                <w:rFonts w:ascii="Calibri"/>
                <w:sz w:val="18"/>
              </w:rPr>
            </w:pPr>
            <w:r>
              <w:rPr>
                <w:rFonts w:ascii="Calibri"/>
                <w:sz w:val="18"/>
              </w:rPr>
              <w:t>2</w:t>
            </w:r>
          </w:p>
        </w:tc>
        <w:tc>
          <w:tcPr>
            <w:tcW w:w="1946" w:type="dxa"/>
            <w:vMerge w:val="continue"/>
            <w:tcBorders>
              <w:top w:val="nil"/>
            </w:tcBorders>
            <w:noWrap w:val="0"/>
            <w:vAlign w:val="top"/>
          </w:tcPr>
          <w:p>
            <w:pPr>
              <w:pageBreakBefore w:val="0"/>
              <w:topLinePunct w:val="0"/>
              <w:bidi w:val="0"/>
              <w:outlineLvl w:val="9"/>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noWrap w:val="0"/>
            <w:vAlign w:val="top"/>
          </w:tcPr>
          <w:p>
            <w:pPr>
              <w:pStyle w:val="108"/>
              <w:pageBreakBefore w:val="0"/>
              <w:topLinePunct w:val="0"/>
              <w:bidi w:val="0"/>
              <w:spacing w:before="119"/>
              <w:ind w:left="107"/>
              <w:outlineLvl w:val="9"/>
              <w:rPr>
                <w:sz w:val="18"/>
              </w:rPr>
            </w:pPr>
            <w:r>
              <w:rPr>
                <w:sz w:val="18"/>
              </w:rPr>
              <w:t>校刊</w:t>
            </w:r>
          </w:p>
        </w:tc>
        <w:tc>
          <w:tcPr>
            <w:tcW w:w="1561" w:type="dxa"/>
            <w:noWrap w:val="0"/>
            <w:vAlign w:val="top"/>
          </w:tcPr>
          <w:p>
            <w:pPr>
              <w:pStyle w:val="108"/>
              <w:pageBreakBefore w:val="0"/>
              <w:topLinePunct w:val="0"/>
              <w:bidi w:val="0"/>
              <w:spacing w:before="119"/>
              <w:ind w:left="107"/>
              <w:outlineLvl w:val="9"/>
              <w:rPr>
                <w:sz w:val="18"/>
              </w:rPr>
            </w:pPr>
            <w:r>
              <w:rPr>
                <w:sz w:val="18"/>
              </w:rPr>
              <w:t>公开发表</w:t>
            </w:r>
          </w:p>
        </w:tc>
        <w:tc>
          <w:tcPr>
            <w:tcW w:w="740" w:type="dxa"/>
            <w:noWrap w:val="0"/>
            <w:vAlign w:val="top"/>
          </w:tcPr>
          <w:p>
            <w:pPr>
              <w:pStyle w:val="108"/>
              <w:pageBreakBefore w:val="0"/>
              <w:topLinePunct w:val="0"/>
              <w:bidi w:val="0"/>
              <w:spacing w:before="125"/>
              <w:ind w:left="10"/>
              <w:jc w:val="center"/>
              <w:outlineLvl w:val="9"/>
              <w:rPr>
                <w:rFonts w:ascii="Calibri"/>
                <w:sz w:val="18"/>
              </w:rPr>
            </w:pPr>
            <w:r>
              <w:rPr>
                <w:rFonts w:ascii="Calibri"/>
                <w:sz w:val="18"/>
              </w:rPr>
              <w:t>2</w:t>
            </w:r>
          </w:p>
        </w:tc>
        <w:tc>
          <w:tcPr>
            <w:tcW w:w="1946" w:type="dxa"/>
            <w:vMerge w:val="continue"/>
            <w:tcBorders>
              <w:top w:val="nil"/>
            </w:tcBorders>
            <w:noWrap w:val="0"/>
            <w:vAlign w:val="top"/>
          </w:tcPr>
          <w:p>
            <w:pPr>
              <w:pageBreakBefore w:val="0"/>
              <w:topLinePunct w:val="0"/>
              <w:bidi w:val="0"/>
              <w:outlineLvl w:val="9"/>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restart"/>
            <w:noWrap w:val="0"/>
            <w:vAlign w:val="top"/>
          </w:tcPr>
          <w:p>
            <w:pPr>
              <w:pStyle w:val="108"/>
              <w:pageBreakBefore w:val="0"/>
              <w:topLinePunct w:val="0"/>
              <w:bidi w:val="0"/>
              <w:outlineLvl w:val="9"/>
              <w:rPr>
                <w:b/>
                <w:sz w:val="18"/>
              </w:rPr>
            </w:pPr>
          </w:p>
          <w:p>
            <w:pPr>
              <w:pStyle w:val="108"/>
              <w:pageBreakBefore w:val="0"/>
              <w:topLinePunct w:val="0"/>
              <w:bidi w:val="0"/>
              <w:spacing w:before="147" w:line="487" w:lineRule="auto"/>
              <w:ind w:left="581" w:right="118" w:hanging="449"/>
              <w:outlineLvl w:val="9"/>
              <w:rPr>
                <w:b/>
                <w:sz w:val="18"/>
              </w:rPr>
            </w:pPr>
            <w:r>
              <w:rPr>
                <w:b/>
                <w:sz w:val="18"/>
              </w:rPr>
              <w:t>出版专著或作品</w:t>
            </w:r>
          </w:p>
        </w:tc>
        <w:tc>
          <w:tcPr>
            <w:tcW w:w="1798" w:type="dxa"/>
            <w:noWrap w:val="0"/>
            <w:vAlign w:val="top"/>
          </w:tcPr>
          <w:p>
            <w:pPr>
              <w:pStyle w:val="108"/>
              <w:pageBreakBefore w:val="0"/>
              <w:topLinePunct w:val="0"/>
              <w:bidi w:val="0"/>
              <w:spacing w:before="140"/>
              <w:ind w:left="107"/>
              <w:outlineLvl w:val="9"/>
              <w:rPr>
                <w:sz w:val="18"/>
              </w:rPr>
            </w:pPr>
            <w:r>
              <w:rPr>
                <w:sz w:val="18"/>
              </w:rPr>
              <w:t>出版专著、译著等</w:t>
            </w:r>
          </w:p>
        </w:tc>
        <w:tc>
          <w:tcPr>
            <w:tcW w:w="1561" w:type="dxa"/>
            <w:noWrap w:val="0"/>
            <w:vAlign w:val="top"/>
          </w:tcPr>
          <w:p>
            <w:pPr>
              <w:pStyle w:val="108"/>
              <w:pageBreakBefore w:val="0"/>
              <w:topLinePunct w:val="0"/>
              <w:bidi w:val="0"/>
              <w:outlineLvl w:val="9"/>
              <w:rPr>
                <w:rFonts w:ascii="Times New Roman"/>
                <w:sz w:val="18"/>
              </w:rPr>
            </w:pPr>
          </w:p>
        </w:tc>
        <w:tc>
          <w:tcPr>
            <w:tcW w:w="740" w:type="dxa"/>
            <w:noWrap w:val="0"/>
            <w:vAlign w:val="top"/>
          </w:tcPr>
          <w:p>
            <w:pPr>
              <w:pStyle w:val="108"/>
              <w:pageBreakBefore w:val="0"/>
              <w:topLinePunct w:val="0"/>
              <w:bidi w:val="0"/>
              <w:spacing w:before="146"/>
              <w:ind w:left="10"/>
              <w:jc w:val="center"/>
              <w:outlineLvl w:val="9"/>
              <w:rPr>
                <w:rFonts w:ascii="Calibri"/>
                <w:sz w:val="18"/>
              </w:rPr>
            </w:pPr>
            <w:r>
              <w:rPr>
                <w:rFonts w:ascii="Calibri"/>
                <w:sz w:val="18"/>
              </w:rPr>
              <w:t>8</w:t>
            </w:r>
          </w:p>
        </w:tc>
        <w:tc>
          <w:tcPr>
            <w:tcW w:w="1946" w:type="dxa"/>
            <w:vMerge w:val="restart"/>
            <w:noWrap w:val="0"/>
            <w:vAlign w:val="top"/>
          </w:tcPr>
          <w:p>
            <w:pPr>
              <w:pStyle w:val="108"/>
              <w:pageBreakBefore w:val="0"/>
              <w:topLinePunct w:val="0"/>
              <w:bidi w:val="0"/>
              <w:spacing w:before="145" w:line="487" w:lineRule="auto"/>
              <w:ind w:left="107" w:right="26"/>
              <w:outlineLvl w:val="9"/>
              <w:rPr>
                <w:sz w:val="18"/>
              </w:rPr>
            </w:pPr>
            <w:r>
              <w:rPr>
                <w:sz w:val="18"/>
              </w:rPr>
              <w:t>第一作者得满分，第二、三作者得分减半，</w:t>
            </w:r>
          </w:p>
          <w:p>
            <w:pPr>
              <w:pStyle w:val="108"/>
              <w:pageBreakBefore w:val="0"/>
              <w:topLinePunct w:val="0"/>
              <w:bidi w:val="0"/>
              <w:spacing w:line="230" w:lineRule="exact"/>
              <w:ind w:left="107"/>
              <w:outlineLvl w:val="9"/>
              <w:rPr>
                <w:sz w:val="18"/>
              </w:rPr>
            </w:pPr>
            <w:r>
              <w:rPr>
                <w:sz w:val="18"/>
              </w:rPr>
              <w:t>第三作者后不得分。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noWrap w:val="0"/>
            <w:vAlign w:val="top"/>
          </w:tcPr>
          <w:p>
            <w:pPr>
              <w:pStyle w:val="108"/>
              <w:pageBreakBefore w:val="0"/>
              <w:topLinePunct w:val="0"/>
              <w:bidi w:val="0"/>
              <w:spacing w:before="119"/>
              <w:ind w:left="107"/>
              <w:outlineLvl w:val="9"/>
              <w:rPr>
                <w:sz w:val="18"/>
              </w:rPr>
            </w:pPr>
            <w:r>
              <w:rPr>
                <w:sz w:val="18"/>
              </w:rPr>
              <w:t>发表美术、小程序、</w:t>
            </w:r>
          </w:p>
          <w:p>
            <w:pPr>
              <w:pStyle w:val="108"/>
              <w:pageBreakBefore w:val="0"/>
              <w:topLinePunct w:val="0"/>
              <w:bidi w:val="0"/>
              <w:spacing w:before="7"/>
              <w:outlineLvl w:val="9"/>
              <w:rPr>
                <w:b/>
                <w:sz w:val="18"/>
              </w:rPr>
            </w:pPr>
          </w:p>
          <w:p>
            <w:pPr>
              <w:pStyle w:val="108"/>
              <w:pageBreakBefore w:val="0"/>
              <w:topLinePunct w:val="0"/>
              <w:bidi w:val="0"/>
              <w:ind w:left="107"/>
              <w:outlineLvl w:val="9"/>
              <w:rPr>
                <w:sz w:val="18"/>
              </w:rPr>
            </w:pPr>
            <w:r>
              <w:rPr>
                <w:sz w:val="18"/>
              </w:rPr>
              <w:t>设计等作品</w:t>
            </w:r>
          </w:p>
        </w:tc>
        <w:tc>
          <w:tcPr>
            <w:tcW w:w="1561" w:type="dxa"/>
            <w:noWrap w:val="0"/>
            <w:vAlign w:val="top"/>
          </w:tcPr>
          <w:p>
            <w:pPr>
              <w:pStyle w:val="108"/>
              <w:pageBreakBefore w:val="0"/>
              <w:topLinePunct w:val="0"/>
              <w:bidi w:val="0"/>
              <w:outlineLvl w:val="9"/>
              <w:rPr>
                <w:rFonts w:ascii="Times New Roman"/>
                <w:sz w:val="18"/>
              </w:rPr>
            </w:pPr>
          </w:p>
        </w:tc>
        <w:tc>
          <w:tcPr>
            <w:tcW w:w="740" w:type="dxa"/>
            <w:noWrap w:val="0"/>
            <w:vAlign w:val="top"/>
          </w:tcPr>
          <w:p>
            <w:pPr>
              <w:pStyle w:val="108"/>
              <w:pageBreakBefore w:val="0"/>
              <w:topLinePunct w:val="0"/>
              <w:bidi w:val="0"/>
              <w:outlineLvl w:val="9"/>
              <w:rPr>
                <w:b/>
                <w:sz w:val="18"/>
              </w:rPr>
            </w:pPr>
          </w:p>
          <w:p>
            <w:pPr>
              <w:pStyle w:val="108"/>
              <w:pageBreakBefore w:val="0"/>
              <w:topLinePunct w:val="0"/>
              <w:bidi w:val="0"/>
              <w:spacing w:before="128"/>
              <w:ind w:left="10"/>
              <w:jc w:val="center"/>
              <w:outlineLvl w:val="9"/>
              <w:rPr>
                <w:rFonts w:ascii="Calibri"/>
                <w:sz w:val="18"/>
              </w:rPr>
            </w:pPr>
            <w:r>
              <w:rPr>
                <w:rFonts w:ascii="Calibri"/>
                <w:sz w:val="18"/>
              </w:rPr>
              <w:t>4</w:t>
            </w:r>
          </w:p>
        </w:tc>
        <w:tc>
          <w:tcPr>
            <w:tcW w:w="1946" w:type="dxa"/>
            <w:vMerge w:val="continue"/>
            <w:tcBorders>
              <w:top w:val="nil"/>
            </w:tcBorders>
            <w:noWrap w:val="0"/>
            <w:vAlign w:val="top"/>
          </w:tcPr>
          <w:p>
            <w:pPr>
              <w:pageBreakBefore w:val="0"/>
              <w:topLinePunct w:val="0"/>
              <w:bidi w:val="0"/>
              <w:outlineLvl w:val="9"/>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restart"/>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45"/>
              <w:ind w:left="132"/>
              <w:outlineLvl w:val="9"/>
              <w:rPr>
                <w:b/>
                <w:sz w:val="18"/>
              </w:rPr>
            </w:pPr>
            <w:r>
              <w:rPr>
                <w:b/>
                <w:sz w:val="18"/>
              </w:rPr>
              <w:t>参加学术会议</w:t>
            </w:r>
          </w:p>
        </w:tc>
        <w:tc>
          <w:tcPr>
            <w:tcW w:w="1798" w:type="dxa"/>
            <w:vMerge w:val="restart"/>
            <w:noWrap w:val="0"/>
            <w:vAlign w:val="top"/>
          </w:tcPr>
          <w:p>
            <w:pPr>
              <w:pStyle w:val="108"/>
              <w:pageBreakBefore w:val="0"/>
              <w:topLinePunct w:val="0"/>
              <w:bidi w:val="0"/>
              <w:outlineLvl w:val="9"/>
              <w:rPr>
                <w:b/>
                <w:sz w:val="18"/>
              </w:rPr>
            </w:pPr>
          </w:p>
          <w:p>
            <w:pPr>
              <w:pStyle w:val="108"/>
              <w:pageBreakBefore w:val="0"/>
              <w:topLinePunct w:val="0"/>
              <w:bidi w:val="0"/>
              <w:spacing w:before="128"/>
              <w:ind w:left="107"/>
              <w:outlineLvl w:val="9"/>
              <w:rPr>
                <w:sz w:val="18"/>
              </w:rPr>
            </w:pPr>
            <w:r>
              <w:rPr>
                <w:sz w:val="18"/>
              </w:rPr>
              <w:t>国际学术会议</w:t>
            </w:r>
          </w:p>
        </w:tc>
        <w:tc>
          <w:tcPr>
            <w:tcW w:w="1561" w:type="dxa"/>
            <w:noWrap w:val="0"/>
            <w:vAlign w:val="top"/>
          </w:tcPr>
          <w:p>
            <w:pPr>
              <w:pStyle w:val="108"/>
              <w:pageBreakBefore w:val="0"/>
              <w:topLinePunct w:val="0"/>
              <w:bidi w:val="0"/>
              <w:spacing w:before="119"/>
              <w:ind w:left="107"/>
              <w:outlineLvl w:val="9"/>
              <w:rPr>
                <w:sz w:val="18"/>
              </w:rPr>
            </w:pPr>
            <w:r>
              <w:rPr>
                <w:sz w:val="18"/>
              </w:rPr>
              <w:t>大会报告</w:t>
            </w:r>
          </w:p>
        </w:tc>
        <w:tc>
          <w:tcPr>
            <w:tcW w:w="740" w:type="dxa"/>
            <w:noWrap w:val="0"/>
            <w:vAlign w:val="top"/>
          </w:tcPr>
          <w:p>
            <w:pPr>
              <w:pStyle w:val="108"/>
              <w:pageBreakBefore w:val="0"/>
              <w:topLinePunct w:val="0"/>
              <w:bidi w:val="0"/>
              <w:spacing w:before="125"/>
              <w:ind w:left="10"/>
              <w:jc w:val="center"/>
              <w:outlineLvl w:val="9"/>
              <w:rPr>
                <w:rFonts w:ascii="Calibri"/>
                <w:sz w:val="18"/>
              </w:rPr>
            </w:pPr>
            <w:r>
              <w:rPr>
                <w:rFonts w:ascii="Calibri"/>
                <w:sz w:val="18"/>
              </w:rPr>
              <w:t>8</w:t>
            </w:r>
          </w:p>
        </w:tc>
        <w:tc>
          <w:tcPr>
            <w:tcW w:w="1946" w:type="dxa"/>
            <w:vMerge w:val="restart"/>
            <w:noWrap w:val="0"/>
            <w:vAlign w:val="top"/>
          </w:tcPr>
          <w:p>
            <w:pPr>
              <w:pStyle w:val="108"/>
              <w:pageBreakBefore w:val="0"/>
              <w:topLinePunct w:val="0"/>
              <w:bidi w:val="0"/>
              <w:outlineLvl w:val="9"/>
              <w:rPr>
                <w:b/>
                <w:sz w:val="18"/>
              </w:rPr>
            </w:pPr>
          </w:p>
          <w:p>
            <w:pPr>
              <w:pStyle w:val="108"/>
              <w:pageBreakBefore w:val="0"/>
              <w:topLinePunct w:val="0"/>
              <w:bidi w:val="0"/>
              <w:spacing w:before="138" w:line="487" w:lineRule="auto"/>
              <w:ind w:left="107" w:right="26"/>
              <w:outlineLvl w:val="9"/>
              <w:rPr>
                <w:sz w:val="18"/>
              </w:rPr>
            </w:pPr>
            <w:r>
              <w:rPr>
                <w:sz w:val="18"/>
              </w:rPr>
              <w:t xml:space="preserve">第一作者得满分，第 </w:t>
            </w:r>
            <w:r>
              <w:rPr>
                <w:spacing w:val="-2"/>
                <w:sz w:val="18"/>
              </w:rPr>
              <w:t xml:space="preserve">二、三作者得分减半， </w:t>
            </w:r>
            <w:r>
              <w:rPr>
                <w:sz w:val="18"/>
              </w:rPr>
              <w:t>第三作者后不得分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vMerge w:val="continue"/>
            <w:tcBorders>
              <w:top w:val="nil"/>
            </w:tcBorders>
            <w:noWrap w:val="0"/>
            <w:vAlign w:val="top"/>
          </w:tcPr>
          <w:p>
            <w:pPr>
              <w:pageBreakBefore w:val="0"/>
              <w:topLinePunct w:val="0"/>
              <w:bidi w:val="0"/>
              <w:outlineLvl w:val="9"/>
              <w:rPr>
                <w:sz w:val="2"/>
                <w:szCs w:val="2"/>
              </w:rPr>
            </w:pPr>
          </w:p>
        </w:tc>
        <w:tc>
          <w:tcPr>
            <w:tcW w:w="1561" w:type="dxa"/>
            <w:noWrap w:val="0"/>
            <w:vAlign w:val="top"/>
          </w:tcPr>
          <w:p>
            <w:pPr>
              <w:pStyle w:val="108"/>
              <w:pageBreakBefore w:val="0"/>
              <w:topLinePunct w:val="0"/>
              <w:bidi w:val="0"/>
              <w:spacing w:before="119"/>
              <w:ind w:left="107"/>
              <w:outlineLvl w:val="9"/>
              <w:rPr>
                <w:sz w:val="18"/>
              </w:rPr>
            </w:pPr>
            <w:r>
              <w:rPr>
                <w:sz w:val="18"/>
              </w:rPr>
              <w:t>文章收录</w:t>
            </w:r>
          </w:p>
        </w:tc>
        <w:tc>
          <w:tcPr>
            <w:tcW w:w="740" w:type="dxa"/>
            <w:noWrap w:val="0"/>
            <w:vAlign w:val="top"/>
          </w:tcPr>
          <w:p>
            <w:pPr>
              <w:pStyle w:val="108"/>
              <w:pageBreakBefore w:val="0"/>
              <w:topLinePunct w:val="0"/>
              <w:bidi w:val="0"/>
              <w:spacing w:before="125"/>
              <w:ind w:left="10"/>
              <w:jc w:val="center"/>
              <w:outlineLvl w:val="9"/>
              <w:rPr>
                <w:rFonts w:ascii="Calibri"/>
                <w:sz w:val="18"/>
              </w:rPr>
            </w:pPr>
            <w:r>
              <w:rPr>
                <w:rFonts w:ascii="Calibri"/>
                <w:sz w:val="18"/>
              </w:rPr>
              <w:t>4</w:t>
            </w:r>
          </w:p>
        </w:tc>
        <w:tc>
          <w:tcPr>
            <w:tcW w:w="1946" w:type="dxa"/>
            <w:vMerge w:val="continue"/>
            <w:tcBorders>
              <w:top w:val="nil"/>
            </w:tcBorders>
            <w:noWrap w:val="0"/>
            <w:vAlign w:val="top"/>
          </w:tcPr>
          <w:p>
            <w:pPr>
              <w:pageBreakBefore w:val="0"/>
              <w:topLinePunct w:val="0"/>
              <w:bidi w:val="0"/>
              <w:outlineLvl w:val="9"/>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vMerge w:val="restart"/>
            <w:noWrap w:val="0"/>
            <w:vAlign w:val="top"/>
          </w:tcPr>
          <w:p>
            <w:pPr>
              <w:pStyle w:val="108"/>
              <w:pageBreakBefore w:val="0"/>
              <w:topLinePunct w:val="0"/>
              <w:bidi w:val="0"/>
              <w:outlineLvl w:val="9"/>
              <w:rPr>
                <w:b/>
                <w:sz w:val="18"/>
              </w:rPr>
            </w:pPr>
          </w:p>
          <w:p>
            <w:pPr>
              <w:pStyle w:val="108"/>
              <w:pageBreakBefore w:val="0"/>
              <w:topLinePunct w:val="0"/>
              <w:bidi w:val="0"/>
              <w:spacing w:before="127"/>
              <w:ind w:left="107"/>
              <w:outlineLvl w:val="9"/>
              <w:rPr>
                <w:sz w:val="18"/>
              </w:rPr>
            </w:pPr>
            <w:r>
              <w:rPr>
                <w:sz w:val="18"/>
              </w:rPr>
              <w:t>国内学术会议</w:t>
            </w:r>
          </w:p>
        </w:tc>
        <w:tc>
          <w:tcPr>
            <w:tcW w:w="1561" w:type="dxa"/>
            <w:noWrap w:val="0"/>
            <w:vAlign w:val="top"/>
          </w:tcPr>
          <w:p>
            <w:pPr>
              <w:pStyle w:val="108"/>
              <w:pageBreakBefore w:val="0"/>
              <w:topLinePunct w:val="0"/>
              <w:bidi w:val="0"/>
              <w:spacing w:before="118"/>
              <w:ind w:left="107"/>
              <w:outlineLvl w:val="9"/>
              <w:rPr>
                <w:sz w:val="18"/>
              </w:rPr>
            </w:pPr>
            <w:r>
              <w:rPr>
                <w:sz w:val="18"/>
              </w:rPr>
              <w:t>大会报告</w:t>
            </w:r>
          </w:p>
        </w:tc>
        <w:tc>
          <w:tcPr>
            <w:tcW w:w="740" w:type="dxa"/>
            <w:noWrap w:val="0"/>
            <w:vAlign w:val="top"/>
          </w:tcPr>
          <w:p>
            <w:pPr>
              <w:pStyle w:val="108"/>
              <w:pageBreakBefore w:val="0"/>
              <w:topLinePunct w:val="0"/>
              <w:bidi w:val="0"/>
              <w:spacing w:before="124"/>
              <w:ind w:left="10"/>
              <w:jc w:val="center"/>
              <w:outlineLvl w:val="9"/>
              <w:rPr>
                <w:rFonts w:ascii="Calibri"/>
                <w:sz w:val="18"/>
              </w:rPr>
            </w:pPr>
            <w:r>
              <w:rPr>
                <w:rFonts w:ascii="Calibri"/>
                <w:sz w:val="18"/>
              </w:rPr>
              <w:t>6</w:t>
            </w:r>
          </w:p>
        </w:tc>
        <w:tc>
          <w:tcPr>
            <w:tcW w:w="1946" w:type="dxa"/>
            <w:vMerge w:val="continue"/>
            <w:tcBorders>
              <w:top w:val="nil"/>
            </w:tcBorders>
            <w:noWrap w:val="0"/>
            <w:vAlign w:val="top"/>
          </w:tcPr>
          <w:p>
            <w:pPr>
              <w:pageBreakBefore w:val="0"/>
              <w:topLinePunct w:val="0"/>
              <w:bidi w:val="0"/>
              <w:outlineLvl w:val="9"/>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vMerge w:val="continue"/>
            <w:tcBorders>
              <w:top w:val="nil"/>
            </w:tcBorders>
            <w:noWrap w:val="0"/>
            <w:vAlign w:val="top"/>
          </w:tcPr>
          <w:p>
            <w:pPr>
              <w:pageBreakBefore w:val="0"/>
              <w:topLinePunct w:val="0"/>
              <w:bidi w:val="0"/>
              <w:outlineLvl w:val="9"/>
              <w:rPr>
                <w:sz w:val="2"/>
                <w:szCs w:val="2"/>
              </w:rPr>
            </w:pPr>
          </w:p>
        </w:tc>
        <w:tc>
          <w:tcPr>
            <w:tcW w:w="1561" w:type="dxa"/>
            <w:noWrap w:val="0"/>
            <w:vAlign w:val="top"/>
          </w:tcPr>
          <w:p>
            <w:pPr>
              <w:pStyle w:val="108"/>
              <w:pageBreakBefore w:val="0"/>
              <w:topLinePunct w:val="0"/>
              <w:bidi w:val="0"/>
              <w:spacing w:before="118"/>
              <w:ind w:left="107"/>
              <w:outlineLvl w:val="9"/>
              <w:rPr>
                <w:sz w:val="18"/>
              </w:rPr>
            </w:pPr>
            <w:r>
              <w:rPr>
                <w:sz w:val="18"/>
              </w:rPr>
              <w:t>文章收录</w:t>
            </w:r>
          </w:p>
        </w:tc>
        <w:tc>
          <w:tcPr>
            <w:tcW w:w="740" w:type="dxa"/>
            <w:noWrap w:val="0"/>
            <w:vAlign w:val="top"/>
          </w:tcPr>
          <w:p>
            <w:pPr>
              <w:pStyle w:val="108"/>
              <w:pageBreakBefore w:val="0"/>
              <w:topLinePunct w:val="0"/>
              <w:bidi w:val="0"/>
              <w:spacing w:before="124"/>
              <w:ind w:left="10"/>
              <w:jc w:val="center"/>
              <w:outlineLvl w:val="9"/>
              <w:rPr>
                <w:rFonts w:ascii="Calibri"/>
                <w:sz w:val="18"/>
              </w:rPr>
            </w:pPr>
            <w:r>
              <w:rPr>
                <w:rFonts w:ascii="Calibri"/>
                <w:sz w:val="18"/>
              </w:rPr>
              <w:t>3</w:t>
            </w:r>
          </w:p>
        </w:tc>
        <w:tc>
          <w:tcPr>
            <w:tcW w:w="1946" w:type="dxa"/>
            <w:vMerge w:val="continue"/>
            <w:tcBorders>
              <w:top w:val="nil"/>
            </w:tcBorders>
            <w:noWrap w:val="0"/>
            <w:vAlign w:val="top"/>
          </w:tcPr>
          <w:p>
            <w:pPr>
              <w:pageBreakBefore w:val="0"/>
              <w:topLinePunct w:val="0"/>
              <w:bidi w:val="0"/>
              <w:outlineLvl w:val="9"/>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restart"/>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29" w:line="487" w:lineRule="auto"/>
              <w:ind w:left="492" w:right="118" w:hanging="360"/>
              <w:outlineLvl w:val="9"/>
              <w:rPr>
                <w:b/>
                <w:sz w:val="18"/>
              </w:rPr>
            </w:pPr>
            <w:r>
              <w:rPr>
                <w:b/>
                <w:sz w:val="18"/>
              </w:rPr>
              <w:t>专利与软件著作权</w:t>
            </w:r>
          </w:p>
        </w:tc>
        <w:tc>
          <w:tcPr>
            <w:tcW w:w="1798" w:type="dxa"/>
            <w:noWrap w:val="0"/>
            <w:vAlign w:val="top"/>
          </w:tcPr>
          <w:p>
            <w:pPr>
              <w:pStyle w:val="108"/>
              <w:pageBreakBefore w:val="0"/>
              <w:topLinePunct w:val="0"/>
              <w:bidi w:val="0"/>
              <w:spacing w:before="139"/>
              <w:ind w:left="107"/>
              <w:outlineLvl w:val="9"/>
              <w:rPr>
                <w:sz w:val="18"/>
              </w:rPr>
            </w:pPr>
            <w:r>
              <w:rPr>
                <w:sz w:val="18"/>
              </w:rPr>
              <w:t>发明专利</w:t>
            </w:r>
          </w:p>
        </w:tc>
        <w:tc>
          <w:tcPr>
            <w:tcW w:w="1561" w:type="dxa"/>
            <w:noWrap w:val="0"/>
            <w:vAlign w:val="top"/>
          </w:tcPr>
          <w:p>
            <w:pPr>
              <w:pStyle w:val="108"/>
              <w:pageBreakBefore w:val="0"/>
              <w:topLinePunct w:val="0"/>
              <w:bidi w:val="0"/>
              <w:outlineLvl w:val="9"/>
              <w:rPr>
                <w:rFonts w:ascii="Times New Roman"/>
                <w:sz w:val="18"/>
              </w:rPr>
            </w:pPr>
          </w:p>
        </w:tc>
        <w:tc>
          <w:tcPr>
            <w:tcW w:w="740" w:type="dxa"/>
            <w:noWrap w:val="0"/>
            <w:vAlign w:val="top"/>
          </w:tcPr>
          <w:p>
            <w:pPr>
              <w:pStyle w:val="108"/>
              <w:pageBreakBefore w:val="0"/>
              <w:topLinePunct w:val="0"/>
              <w:bidi w:val="0"/>
              <w:spacing w:before="145"/>
              <w:ind w:left="10"/>
              <w:jc w:val="center"/>
              <w:outlineLvl w:val="9"/>
              <w:rPr>
                <w:rFonts w:ascii="Calibri"/>
                <w:sz w:val="18"/>
              </w:rPr>
            </w:pPr>
            <w:r>
              <w:rPr>
                <w:rFonts w:ascii="Calibri"/>
                <w:sz w:val="18"/>
              </w:rPr>
              <w:t>8</w:t>
            </w:r>
          </w:p>
        </w:tc>
        <w:tc>
          <w:tcPr>
            <w:tcW w:w="1946" w:type="dxa"/>
            <w:vMerge w:val="restart"/>
            <w:noWrap w:val="0"/>
            <w:vAlign w:val="top"/>
          </w:tcPr>
          <w:p>
            <w:pPr>
              <w:pStyle w:val="108"/>
              <w:pageBreakBefore w:val="0"/>
              <w:topLinePunct w:val="0"/>
              <w:bidi w:val="0"/>
              <w:spacing w:before="120" w:line="487" w:lineRule="auto"/>
              <w:ind w:left="107" w:right="95"/>
              <w:jc w:val="both"/>
              <w:outlineLvl w:val="9"/>
              <w:rPr>
                <w:sz w:val="18"/>
              </w:rPr>
            </w:pPr>
            <w:r>
              <w:rPr>
                <w:spacing w:val="-9"/>
                <w:sz w:val="18"/>
              </w:rPr>
              <w:t>提供专利授权证书、软件著作权证书等，第一</w:t>
            </w:r>
            <w:r>
              <w:rPr>
                <w:spacing w:val="-11"/>
                <w:sz w:val="18"/>
              </w:rPr>
              <w:t>作者得满分，第二、三</w:t>
            </w:r>
            <w:r>
              <w:rPr>
                <w:spacing w:val="-9"/>
                <w:sz w:val="18"/>
              </w:rPr>
              <w:t>作者得分减半，第三作</w:t>
            </w:r>
          </w:p>
          <w:p>
            <w:pPr>
              <w:pStyle w:val="108"/>
              <w:pageBreakBefore w:val="0"/>
              <w:topLinePunct w:val="0"/>
              <w:bidi w:val="0"/>
              <w:spacing w:line="230" w:lineRule="exact"/>
              <w:ind w:left="107"/>
              <w:outlineLvl w:val="9"/>
              <w:rPr>
                <w:sz w:val="18"/>
              </w:rPr>
            </w:pPr>
            <w:r>
              <w:rPr>
                <w:sz w:val="18"/>
              </w:rPr>
              <w:t>者后不得分。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noWrap w:val="0"/>
            <w:vAlign w:val="top"/>
          </w:tcPr>
          <w:p>
            <w:pPr>
              <w:pStyle w:val="108"/>
              <w:pageBreakBefore w:val="0"/>
              <w:topLinePunct w:val="0"/>
              <w:bidi w:val="0"/>
              <w:spacing w:before="118"/>
              <w:ind w:left="107"/>
              <w:outlineLvl w:val="9"/>
              <w:rPr>
                <w:sz w:val="18"/>
              </w:rPr>
            </w:pPr>
            <w:r>
              <w:rPr>
                <w:sz w:val="18"/>
              </w:rPr>
              <w:t>实用新型专利</w:t>
            </w:r>
          </w:p>
        </w:tc>
        <w:tc>
          <w:tcPr>
            <w:tcW w:w="1561" w:type="dxa"/>
            <w:noWrap w:val="0"/>
            <w:vAlign w:val="top"/>
          </w:tcPr>
          <w:p>
            <w:pPr>
              <w:pStyle w:val="108"/>
              <w:pageBreakBefore w:val="0"/>
              <w:topLinePunct w:val="0"/>
              <w:bidi w:val="0"/>
              <w:outlineLvl w:val="9"/>
              <w:rPr>
                <w:rFonts w:ascii="Times New Roman"/>
                <w:sz w:val="18"/>
              </w:rPr>
            </w:pPr>
          </w:p>
        </w:tc>
        <w:tc>
          <w:tcPr>
            <w:tcW w:w="740" w:type="dxa"/>
            <w:noWrap w:val="0"/>
            <w:vAlign w:val="top"/>
          </w:tcPr>
          <w:p>
            <w:pPr>
              <w:pStyle w:val="108"/>
              <w:pageBreakBefore w:val="0"/>
              <w:topLinePunct w:val="0"/>
              <w:bidi w:val="0"/>
              <w:spacing w:before="124"/>
              <w:ind w:left="10"/>
              <w:jc w:val="center"/>
              <w:outlineLvl w:val="9"/>
              <w:rPr>
                <w:rFonts w:ascii="Calibri"/>
                <w:sz w:val="18"/>
              </w:rPr>
            </w:pPr>
            <w:r>
              <w:rPr>
                <w:rFonts w:ascii="Calibri"/>
                <w:sz w:val="18"/>
              </w:rPr>
              <w:t>4</w:t>
            </w:r>
          </w:p>
        </w:tc>
        <w:tc>
          <w:tcPr>
            <w:tcW w:w="1946" w:type="dxa"/>
            <w:vMerge w:val="continue"/>
            <w:tcBorders>
              <w:top w:val="nil"/>
            </w:tcBorders>
            <w:noWrap w:val="0"/>
            <w:vAlign w:val="top"/>
          </w:tcPr>
          <w:p>
            <w:pPr>
              <w:pageBreakBefore w:val="0"/>
              <w:topLinePunct w:val="0"/>
              <w:bidi w:val="0"/>
              <w:outlineLvl w:val="9"/>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noWrap w:val="0"/>
            <w:vAlign w:val="top"/>
          </w:tcPr>
          <w:p>
            <w:pPr>
              <w:pStyle w:val="108"/>
              <w:pageBreakBefore w:val="0"/>
              <w:topLinePunct w:val="0"/>
              <w:bidi w:val="0"/>
              <w:spacing w:before="118"/>
              <w:ind w:left="107"/>
              <w:outlineLvl w:val="9"/>
              <w:rPr>
                <w:sz w:val="18"/>
              </w:rPr>
            </w:pPr>
            <w:r>
              <w:rPr>
                <w:sz w:val="18"/>
              </w:rPr>
              <w:t>外观设计专利</w:t>
            </w:r>
          </w:p>
        </w:tc>
        <w:tc>
          <w:tcPr>
            <w:tcW w:w="1561" w:type="dxa"/>
            <w:noWrap w:val="0"/>
            <w:vAlign w:val="top"/>
          </w:tcPr>
          <w:p>
            <w:pPr>
              <w:pStyle w:val="108"/>
              <w:pageBreakBefore w:val="0"/>
              <w:topLinePunct w:val="0"/>
              <w:bidi w:val="0"/>
              <w:outlineLvl w:val="9"/>
              <w:rPr>
                <w:rFonts w:ascii="Times New Roman"/>
                <w:sz w:val="18"/>
              </w:rPr>
            </w:pPr>
          </w:p>
        </w:tc>
        <w:tc>
          <w:tcPr>
            <w:tcW w:w="740" w:type="dxa"/>
            <w:noWrap w:val="0"/>
            <w:vAlign w:val="top"/>
          </w:tcPr>
          <w:p>
            <w:pPr>
              <w:pStyle w:val="108"/>
              <w:pageBreakBefore w:val="0"/>
              <w:topLinePunct w:val="0"/>
              <w:bidi w:val="0"/>
              <w:spacing w:before="124"/>
              <w:ind w:left="10"/>
              <w:jc w:val="center"/>
              <w:outlineLvl w:val="9"/>
              <w:rPr>
                <w:rFonts w:ascii="Calibri"/>
                <w:sz w:val="18"/>
              </w:rPr>
            </w:pPr>
            <w:r>
              <w:rPr>
                <w:rFonts w:ascii="Calibri"/>
                <w:sz w:val="18"/>
              </w:rPr>
              <w:t>2</w:t>
            </w:r>
          </w:p>
        </w:tc>
        <w:tc>
          <w:tcPr>
            <w:tcW w:w="1946" w:type="dxa"/>
            <w:vMerge w:val="continue"/>
            <w:tcBorders>
              <w:top w:val="nil"/>
            </w:tcBorders>
            <w:noWrap w:val="0"/>
            <w:vAlign w:val="top"/>
          </w:tcPr>
          <w:p>
            <w:pPr>
              <w:pageBreakBefore w:val="0"/>
              <w:topLinePunct w:val="0"/>
              <w:bidi w:val="0"/>
              <w:outlineLvl w:val="9"/>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3"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noWrap w:val="0"/>
            <w:vAlign w:val="top"/>
          </w:tcPr>
          <w:p>
            <w:pPr>
              <w:pStyle w:val="108"/>
              <w:pageBreakBefore w:val="0"/>
              <w:topLinePunct w:val="0"/>
              <w:bidi w:val="0"/>
              <w:spacing w:before="9"/>
              <w:outlineLvl w:val="9"/>
              <w:rPr>
                <w:b/>
                <w:sz w:val="24"/>
              </w:rPr>
            </w:pPr>
          </w:p>
          <w:p>
            <w:pPr>
              <w:pStyle w:val="108"/>
              <w:pageBreakBefore w:val="0"/>
              <w:topLinePunct w:val="0"/>
              <w:bidi w:val="0"/>
              <w:ind w:left="107"/>
              <w:outlineLvl w:val="9"/>
              <w:rPr>
                <w:sz w:val="18"/>
              </w:rPr>
            </w:pPr>
            <w:r>
              <w:rPr>
                <w:sz w:val="18"/>
              </w:rPr>
              <w:t>软件著作权</w:t>
            </w:r>
          </w:p>
        </w:tc>
        <w:tc>
          <w:tcPr>
            <w:tcW w:w="1561" w:type="dxa"/>
            <w:noWrap w:val="0"/>
            <w:vAlign w:val="top"/>
          </w:tcPr>
          <w:p>
            <w:pPr>
              <w:pStyle w:val="108"/>
              <w:pageBreakBefore w:val="0"/>
              <w:topLinePunct w:val="0"/>
              <w:bidi w:val="0"/>
              <w:outlineLvl w:val="9"/>
              <w:rPr>
                <w:rFonts w:ascii="Times New Roman"/>
                <w:sz w:val="18"/>
              </w:rPr>
            </w:pPr>
          </w:p>
        </w:tc>
        <w:tc>
          <w:tcPr>
            <w:tcW w:w="740" w:type="dxa"/>
            <w:noWrap w:val="0"/>
            <w:vAlign w:val="top"/>
          </w:tcPr>
          <w:p>
            <w:pPr>
              <w:pStyle w:val="108"/>
              <w:pageBreakBefore w:val="0"/>
              <w:topLinePunct w:val="0"/>
              <w:bidi w:val="0"/>
              <w:spacing w:before="2"/>
              <w:outlineLvl w:val="9"/>
              <w:rPr>
                <w:b/>
                <w:sz w:val="25"/>
              </w:rPr>
            </w:pPr>
          </w:p>
          <w:p>
            <w:pPr>
              <w:pStyle w:val="108"/>
              <w:pageBreakBefore w:val="0"/>
              <w:topLinePunct w:val="0"/>
              <w:bidi w:val="0"/>
              <w:ind w:left="10"/>
              <w:jc w:val="center"/>
              <w:outlineLvl w:val="9"/>
              <w:rPr>
                <w:rFonts w:ascii="Calibri"/>
                <w:sz w:val="18"/>
              </w:rPr>
            </w:pPr>
            <w:r>
              <w:rPr>
                <w:rFonts w:ascii="Calibri"/>
                <w:sz w:val="18"/>
              </w:rPr>
              <w:t>4</w:t>
            </w:r>
          </w:p>
        </w:tc>
        <w:tc>
          <w:tcPr>
            <w:tcW w:w="1946" w:type="dxa"/>
            <w:vMerge w:val="continue"/>
            <w:tcBorders>
              <w:top w:val="nil"/>
            </w:tcBorders>
            <w:noWrap w:val="0"/>
            <w:vAlign w:val="top"/>
          </w:tcPr>
          <w:p>
            <w:pPr>
              <w:pageBreakBefore w:val="0"/>
              <w:topLinePunct w:val="0"/>
              <w:bidi w:val="0"/>
              <w:outlineLvl w:val="9"/>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restart"/>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28"/>
              <w:ind w:left="312"/>
              <w:outlineLvl w:val="9"/>
              <w:rPr>
                <w:b/>
                <w:sz w:val="18"/>
              </w:rPr>
            </w:pPr>
            <w:r>
              <w:rPr>
                <w:b/>
                <w:sz w:val="18"/>
              </w:rPr>
              <w:t>科技成果</w:t>
            </w:r>
          </w:p>
        </w:tc>
        <w:tc>
          <w:tcPr>
            <w:tcW w:w="1798" w:type="dxa"/>
            <w:noWrap w:val="0"/>
            <w:vAlign w:val="top"/>
          </w:tcPr>
          <w:p>
            <w:pPr>
              <w:pStyle w:val="108"/>
              <w:pageBreakBefore w:val="0"/>
              <w:topLinePunct w:val="0"/>
              <w:bidi w:val="0"/>
              <w:spacing w:before="119"/>
              <w:ind w:left="107"/>
              <w:outlineLvl w:val="9"/>
              <w:rPr>
                <w:sz w:val="18"/>
              </w:rPr>
            </w:pPr>
            <w:r>
              <w:rPr>
                <w:sz w:val="18"/>
              </w:rPr>
              <w:t>市级</w:t>
            </w:r>
          </w:p>
        </w:tc>
        <w:tc>
          <w:tcPr>
            <w:tcW w:w="1561" w:type="dxa"/>
            <w:noWrap w:val="0"/>
            <w:vAlign w:val="top"/>
          </w:tcPr>
          <w:p>
            <w:pPr>
              <w:pStyle w:val="108"/>
              <w:pageBreakBefore w:val="0"/>
              <w:topLinePunct w:val="0"/>
              <w:bidi w:val="0"/>
              <w:outlineLvl w:val="9"/>
              <w:rPr>
                <w:rFonts w:ascii="Times New Roman"/>
                <w:sz w:val="18"/>
              </w:rPr>
            </w:pPr>
          </w:p>
        </w:tc>
        <w:tc>
          <w:tcPr>
            <w:tcW w:w="740" w:type="dxa"/>
            <w:noWrap w:val="0"/>
            <w:vAlign w:val="top"/>
          </w:tcPr>
          <w:p>
            <w:pPr>
              <w:pStyle w:val="108"/>
              <w:pageBreakBefore w:val="0"/>
              <w:topLinePunct w:val="0"/>
              <w:bidi w:val="0"/>
              <w:spacing w:before="126"/>
              <w:ind w:left="10"/>
              <w:jc w:val="center"/>
              <w:outlineLvl w:val="9"/>
              <w:rPr>
                <w:rFonts w:ascii="Calibri"/>
                <w:sz w:val="18"/>
              </w:rPr>
            </w:pPr>
            <w:r>
              <w:rPr>
                <w:rFonts w:ascii="Calibri"/>
                <w:sz w:val="18"/>
              </w:rPr>
              <w:t>4</w:t>
            </w:r>
          </w:p>
        </w:tc>
        <w:tc>
          <w:tcPr>
            <w:tcW w:w="1946" w:type="dxa"/>
            <w:vMerge w:val="restart"/>
            <w:noWrap w:val="0"/>
            <w:vAlign w:val="top"/>
          </w:tcPr>
          <w:p>
            <w:pPr>
              <w:pStyle w:val="108"/>
              <w:pageBreakBefore w:val="0"/>
              <w:topLinePunct w:val="0"/>
              <w:bidi w:val="0"/>
              <w:spacing w:before="119" w:line="487" w:lineRule="auto"/>
              <w:ind w:left="107" w:right="26"/>
              <w:outlineLvl w:val="9"/>
              <w:rPr>
                <w:sz w:val="18"/>
              </w:rPr>
            </w:pPr>
            <w:r>
              <w:rPr>
                <w:sz w:val="18"/>
              </w:rPr>
              <w:t>提供科技成果证明，第一作者得满分，第二、三作者得分减半，第三</w:t>
            </w:r>
          </w:p>
          <w:p>
            <w:pPr>
              <w:pStyle w:val="108"/>
              <w:pageBreakBefore w:val="0"/>
              <w:topLinePunct w:val="0"/>
              <w:bidi w:val="0"/>
              <w:spacing w:line="230" w:lineRule="exact"/>
              <w:ind w:left="107"/>
              <w:outlineLvl w:val="9"/>
              <w:rPr>
                <w:sz w:val="18"/>
              </w:rPr>
            </w:pPr>
            <w:r>
              <w:rPr>
                <w:sz w:val="18"/>
              </w:rPr>
              <w:t>作者后不得分。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4"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21"/>
              <w:ind w:left="107"/>
              <w:outlineLvl w:val="9"/>
              <w:rPr>
                <w:sz w:val="18"/>
              </w:rPr>
            </w:pPr>
            <w:r>
              <w:rPr>
                <w:sz w:val="18"/>
              </w:rPr>
              <w:t>院级</w:t>
            </w:r>
          </w:p>
        </w:tc>
        <w:tc>
          <w:tcPr>
            <w:tcW w:w="1561" w:type="dxa"/>
            <w:noWrap w:val="0"/>
            <w:vAlign w:val="top"/>
          </w:tcPr>
          <w:p>
            <w:pPr>
              <w:pStyle w:val="108"/>
              <w:pageBreakBefore w:val="0"/>
              <w:topLinePunct w:val="0"/>
              <w:bidi w:val="0"/>
              <w:outlineLvl w:val="9"/>
              <w:rPr>
                <w:rFonts w:ascii="Times New Roman"/>
                <w:sz w:val="18"/>
              </w:rPr>
            </w:pPr>
          </w:p>
        </w:tc>
        <w:tc>
          <w:tcPr>
            <w:tcW w:w="740" w:type="dxa"/>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27"/>
              <w:ind w:left="10"/>
              <w:jc w:val="center"/>
              <w:outlineLvl w:val="9"/>
              <w:rPr>
                <w:rFonts w:ascii="Calibri"/>
                <w:sz w:val="18"/>
              </w:rPr>
            </w:pPr>
            <w:r>
              <w:rPr>
                <w:rFonts w:ascii="Calibri"/>
                <w:sz w:val="18"/>
              </w:rPr>
              <w:t>2</w:t>
            </w:r>
          </w:p>
        </w:tc>
        <w:tc>
          <w:tcPr>
            <w:tcW w:w="1946" w:type="dxa"/>
            <w:vMerge w:val="continue"/>
            <w:tcBorders>
              <w:top w:val="nil"/>
            </w:tcBorders>
            <w:noWrap w:val="0"/>
            <w:vAlign w:val="top"/>
          </w:tcPr>
          <w:p>
            <w:pPr>
              <w:pageBreakBefore w:val="0"/>
              <w:topLinePunct w:val="0"/>
              <w:bidi w:val="0"/>
              <w:outlineLvl w:val="9"/>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restart"/>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47"/>
              <w:ind w:left="312"/>
              <w:outlineLvl w:val="9"/>
              <w:rPr>
                <w:b/>
                <w:sz w:val="18"/>
              </w:rPr>
            </w:pPr>
            <w:r>
              <w:rPr>
                <w:b/>
                <w:sz w:val="18"/>
              </w:rPr>
              <w:t>科研训练</w:t>
            </w:r>
          </w:p>
        </w:tc>
        <w:tc>
          <w:tcPr>
            <w:tcW w:w="1798" w:type="dxa"/>
            <w:noWrap w:val="0"/>
            <w:vAlign w:val="top"/>
          </w:tcPr>
          <w:p>
            <w:pPr>
              <w:pStyle w:val="108"/>
              <w:pageBreakBefore w:val="0"/>
              <w:topLinePunct w:val="0"/>
              <w:bidi w:val="0"/>
              <w:spacing w:before="98"/>
              <w:ind w:left="107"/>
              <w:outlineLvl w:val="9"/>
              <w:rPr>
                <w:sz w:val="21"/>
              </w:rPr>
            </w:pPr>
            <w:r>
              <w:rPr>
                <w:sz w:val="21"/>
              </w:rPr>
              <w:t>申请立项国家级</w:t>
            </w:r>
          </w:p>
          <w:p>
            <w:pPr>
              <w:pStyle w:val="108"/>
              <w:pageBreakBefore w:val="0"/>
              <w:topLinePunct w:val="0"/>
              <w:bidi w:val="0"/>
              <w:spacing w:before="7"/>
              <w:outlineLvl w:val="9"/>
              <w:rPr>
                <w:b/>
                <w:sz w:val="15"/>
              </w:rPr>
            </w:pPr>
          </w:p>
          <w:p>
            <w:pPr>
              <w:pStyle w:val="108"/>
              <w:pageBreakBefore w:val="0"/>
              <w:topLinePunct w:val="0"/>
              <w:bidi w:val="0"/>
              <w:ind w:left="107"/>
              <w:outlineLvl w:val="9"/>
              <w:rPr>
                <w:sz w:val="21"/>
              </w:rPr>
            </w:pPr>
            <w:r>
              <w:rPr>
                <w:sz w:val="21"/>
              </w:rPr>
              <w:t>科研项目</w:t>
            </w:r>
          </w:p>
        </w:tc>
        <w:tc>
          <w:tcPr>
            <w:tcW w:w="1561" w:type="dxa"/>
            <w:noWrap w:val="0"/>
            <w:vAlign w:val="top"/>
          </w:tcPr>
          <w:p>
            <w:pPr>
              <w:pStyle w:val="108"/>
              <w:pageBreakBefore w:val="0"/>
              <w:topLinePunct w:val="0"/>
              <w:bidi w:val="0"/>
              <w:spacing w:before="6"/>
              <w:outlineLvl w:val="9"/>
              <w:rPr>
                <w:b/>
                <w:sz w:val="27"/>
              </w:rPr>
            </w:pPr>
          </w:p>
          <w:p>
            <w:pPr>
              <w:pStyle w:val="108"/>
              <w:pageBreakBefore w:val="0"/>
              <w:topLinePunct w:val="0"/>
              <w:bidi w:val="0"/>
              <w:ind w:left="107"/>
              <w:outlineLvl w:val="9"/>
              <w:rPr>
                <w:sz w:val="18"/>
              </w:rPr>
            </w:pPr>
            <w:r>
              <w:rPr>
                <w:sz w:val="18"/>
              </w:rPr>
              <w:t>立项</w:t>
            </w:r>
            <w:r>
              <w:rPr>
                <w:rFonts w:ascii="Calibri" w:eastAsia="Calibri"/>
                <w:sz w:val="18"/>
              </w:rPr>
              <w:t>/</w:t>
            </w:r>
            <w:r>
              <w:rPr>
                <w:sz w:val="18"/>
              </w:rPr>
              <w:t>验收合格</w:t>
            </w:r>
          </w:p>
        </w:tc>
        <w:tc>
          <w:tcPr>
            <w:tcW w:w="740" w:type="dxa"/>
            <w:noWrap w:val="0"/>
            <w:vAlign w:val="top"/>
          </w:tcPr>
          <w:p>
            <w:pPr>
              <w:pStyle w:val="108"/>
              <w:pageBreakBefore w:val="0"/>
              <w:topLinePunct w:val="0"/>
              <w:bidi w:val="0"/>
              <w:outlineLvl w:val="9"/>
              <w:rPr>
                <w:b/>
                <w:sz w:val="18"/>
              </w:rPr>
            </w:pPr>
          </w:p>
          <w:p>
            <w:pPr>
              <w:pStyle w:val="108"/>
              <w:pageBreakBefore w:val="0"/>
              <w:topLinePunct w:val="0"/>
              <w:bidi w:val="0"/>
              <w:spacing w:before="127"/>
              <w:ind w:right="232"/>
              <w:jc w:val="right"/>
              <w:outlineLvl w:val="9"/>
              <w:rPr>
                <w:rFonts w:ascii="Calibri"/>
                <w:sz w:val="18"/>
              </w:rPr>
            </w:pPr>
            <w:r>
              <w:rPr>
                <w:rFonts w:ascii="Calibri"/>
                <w:sz w:val="18"/>
              </w:rPr>
              <w:t>6/6</w:t>
            </w:r>
          </w:p>
        </w:tc>
        <w:tc>
          <w:tcPr>
            <w:tcW w:w="1946" w:type="dxa"/>
            <w:vMerge w:val="restart"/>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35" w:line="487" w:lineRule="auto"/>
              <w:ind w:left="107" w:right="95"/>
              <w:outlineLvl w:val="9"/>
              <w:rPr>
                <w:sz w:val="18"/>
              </w:rPr>
            </w:pPr>
            <w:r>
              <w:rPr>
                <w:sz w:val="18"/>
              </w:rPr>
              <w:t>据学生取得立项并以</w:t>
            </w:r>
            <w:r>
              <w:rPr>
                <w:spacing w:val="-9"/>
                <w:sz w:val="18"/>
              </w:rPr>
              <w:t>项目结题为依据。项目负责人得满分，成员得</w:t>
            </w:r>
            <w:r>
              <w:rPr>
                <w:sz w:val="18"/>
              </w:rPr>
              <w:t>分减半。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noWrap w:val="0"/>
            <w:vAlign w:val="top"/>
          </w:tcPr>
          <w:p>
            <w:pPr>
              <w:pStyle w:val="108"/>
              <w:pageBreakBefore w:val="0"/>
              <w:topLinePunct w:val="0"/>
              <w:bidi w:val="0"/>
              <w:spacing w:before="119"/>
              <w:ind w:left="107"/>
              <w:outlineLvl w:val="9"/>
              <w:rPr>
                <w:sz w:val="18"/>
              </w:rPr>
            </w:pPr>
            <w:r>
              <w:rPr>
                <w:sz w:val="18"/>
              </w:rPr>
              <w:t>申请立项市局级科</w:t>
            </w:r>
          </w:p>
          <w:p>
            <w:pPr>
              <w:pStyle w:val="108"/>
              <w:pageBreakBefore w:val="0"/>
              <w:topLinePunct w:val="0"/>
              <w:bidi w:val="0"/>
              <w:spacing w:before="6"/>
              <w:outlineLvl w:val="9"/>
              <w:rPr>
                <w:b/>
                <w:sz w:val="18"/>
              </w:rPr>
            </w:pPr>
          </w:p>
          <w:p>
            <w:pPr>
              <w:pStyle w:val="108"/>
              <w:pageBreakBefore w:val="0"/>
              <w:topLinePunct w:val="0"/>
              <w:bidi w:val="0"/>
              <w:ind w:left="107"/>
              <w:outlineLvl w:val="9"/>
              <w:rPr>
                <w:sz w:val="18"/>
              </w:rPr>
            </w:pPr>
            <w:r>
              <w:rPr>
                <w:sz w:val="18"/>
              </w:rPr>
              <w:t>研项目</w:t>
            </w:r>
          </w:p>
        </w:tc>
        <w:tc>
          <w:tcPr>
            <w:tcW w:w="1561" w:type="dxa"/>
            <w:noWrap w:val="0"/>
            <w:vAlign w:val="top"/>
          </w:tcPr>
          <w:p>
            <w:pPr>
              <w:pStyle w:val="108"/>
              <w:pageBreakBefore w:val="0"/>
              <w:topLinePunct w:val="0"/>
              <w:bidi w:val="0"/>
              <w:outlineLvl w:val="9"/>
              <w:rPr>
                <w:rFonts w:ascii="Times New Roman"/>
                <w:sz w:val="18"/>
              </w:rPr>
            </w:pPr>
          </w:p>
        </w:tc>
        <w:tc>
          <w:tcPr>
            <w:tcW w:w="740" w:type="dxa"/>
            <w:noWrap w:val="0"/>
            <w:vAlign w:val="top"/>
          </w:tcPr>
          <w:p>
            <w:pPr>
              <w:pStyle w:val="108"/>
              <w:pageBreakBefore w:val="0"/>
              <w:topLinePunct w:val="0"/>
              <w:bidi w:val="0"/>
              <w:outlineLvl w:val="9"/>
              <w:rPr>
                <w:b/>
                <w:sz w:val="18"/>
              </w:rPr>
            </w:pPr>
          </w:p>
          <w:p>
            <w:pPr>
              <w:pStyle w:val="108"/>
              <w:pageBreakBefore w:val="0"/>
              <w:topLinePunct w:val="0"/>
              <w:bidi w:val="0"/>
              <w:spacing w:before="127"/>
              <w:ind w:right="232"/>
              <w:jc w:val="right"/>
              <w:outlineLvl w:val="9"/>
              <w:rPr>
                <w:rFonts w:ascii="Calibri"/>
                <w:sz w:val="18"/>
              </w:rPr>
            </w:pPr>
            <w:r>
              <w:rPr>
                <w:rFonts w:ascii="Calibri"/>
                <w:sz w:val="18"/>
              </w:rPr>
              <w:t>3/3</w:t>
            </w:r>
          </w:p>
        </w:tc>
        <w:tc>
          <w:tcPr>
            <w:tcW w:w="1946" w:type="dxa"/>
            <w:vMerge w:val="continue"/>
            <w:tcBorders>
              <w:top w:val="nil"/>
            </w:tcBorders>
            <w:noWrap w:val="0"/>
            <w:vAlign w:val="top"/>
          </w:tcPr>
          <w:p>
            <w:pPr>
              <w:pageBreakBefore w:val="0"/>
              <w:topLinePunct w:val="0"/>
              <w:bidi w:val="0"/>
              <w:outlineLvl w:val="9"/>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noWrap w:val="0"/>
            <w:vAlign w:val="top"/>
          </w:tcPr>
          <w:p>
            <w:pPr>
              <w:pStyle w:val="108"/>
              <w:pageBreakBefore w:val="0"/>
              <w:topLinePunct w:val="0"/>
              <w:bidi w:val="0"/>
              <w:spacing w:before="118"/>
              <w:ind w:left="107"/>
              <w:outlineLvl w:val="9"/>
              <w:rPr>
                <w:sz w:val="18"/>
              </w:rPr>
            </w:pPr>
            <w:r>
              <w:rPr>
                <w:sz w:val="18"/>
              </w:rPr>
              <w:t>申请立项院级科研</w:t>
            </w:r>
          </w:p>
          <w:p>
            <w:pPr>
              <w:pStyle w:val="108"/>
              <w:pageBreakBefore w:val="0"/>
              <w:topLinePunct w:val="0"/>
              <w:bidi w:val="0"/>
              <w:spacing w:before="7"/>
              <w:outlineLvl w:val="9"/>
              <w:rPr>
                <w:b/>
                <w:sz w:val="18"/>
              </w:rPr>
            </w:pPr>
          </w:p>
          <w:p>
            <w:pPr>
              <w:pStyle w:val="108"/>
              <w:pageBreakBefore w:val="0"/>
              <w:topLinePunct w:val="0"/>
              <w:bidi w:val="0"/>
              <w:ind w:left="107"/>
              <w:outlineLvl w:val="9"/>
              <w:rPr>
                <w:sz w:val="18"/>
              </w:rPr>
            </w:pPr>
            <w:r>
              <w:rPr>
                <w:sz w:val="18"/>
              </w:rPr>
              <w:t>项目</w:t>
            </w:r>
          </w:p>
        </w:tc>
        <w:tc>
          <w:tcPr>
            <w:tcW w:w="1561" w:type="dxa"/>
            <w:noWrap w:val="0"/>
            <w:vAlign w:val="top"/>
          </w:tcPr>
          <w:p>
            <w:pPr>
              <w:pStyle w:val="108"/>
              <w:pageBreakBefore w:val="0"/>
              <w:topLinePunct w:val="0"/>
              <w:bidi w:val="0"/>
              <w:outlineLvl w:val="9"/>
              <w:rPr>
                <w:rFonts w:ascii="Times New Roman"/>
                <w:sz w:val="18"/>
              </w:rPr>
            </w:pPr>
          </w:p>
        </w:tc>
        <w:tc>
          <w:tcPr>
            <w:tcW w:w="740" w:type="dxa"/>
            <w:noWrap w:val="0"/>
            <w:vAlign w:val="top"/>
          </w:tcPr>
          <w:p>
            <w:pPr>
              <w:pStyle w:val="108"/>
              <w:pageBreakBefore w:val="0"/>
              <w:topLinePunct w:val="0"/>
              <w:bidi w:val="0"/>
              <w:outlineLvl w:val="9"/>
              <w:rPr>
                <w:b/>
                <w:sz w:val="18"/>
              </w:rPr>
            </w:pPr>
          </w:p>
          <w:p>
            <w:pPr>
              <w:pStyle w:val="108"/>
              <w:pageBreakBefore w:val="0"/>
              <w:topLinePunct w:val="0"/>
              <w:bidi w:val="0"/>
              <w:spacing w:before="129"/>
              <w:ind w:right="232"/>
              <w:jc w:val="right"/>
              <w:outlineLvl w:val="9"/>
              <w:rPr>
                <w:rFonts w:ascii="Calibri"/>
                <w:sz w:val="18"/>
              </w:rPr>
            </w:pPr>
            <w:r>
              <w:rPr>
                <w:rFonts w:ascii="Calibri"/>
                <w:sz w:val="18"/>
              </w:rPr>
              <w:t>2/2</w:t>
            </w:r>
          </w:p>
        </w:tc>
        <w:tc>
          <w:tcPr>
            <w:tcW w:w="1946" w:type="dxa"/>
            <w:vMerge w:val="continue"/>
            <w:tcBorders>
              <w:top w:val="nil"/>
            </w:tcBorders>
            <w:noWrap w:val="0"/>
            <w:vAlign w:val="top"/>
          </w:tcPr>
          <w:p>
            <w:pPr>
              <w:pageBreakBefore w:val="0"/>
              <w:topLinePunct w:val="0"/>
              <w:bidi w:val="0"/>
              <w:outlineLvl w:val="9"/>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1132" w:type="dxa"/>
            <w:noWrap w:val="0"/>
            <w:vAlign w:val="top"/>
          </w:tcPr>
          <w:p>
            <w:pPr>
              <w:pStyle w:val="108"/>
              <w:pageBreakBefore w:val="0"/>
              <w:topLinePunct w:val="0"/>
              <w:bidi w:val="0"/>
              <w:outlineLvl w:val="9"/>
              <w:rPr>
                <w:rFonts w:ascii="Times New Roman"/>
                <w:sz w:val="18"/>
              </w:rPr>
            </w:pPr>
          </w:p>
        </w:tc>
        <w:tc>
          <w:tcPr>
            <w:tcW w:w="1345" w:type="dxa"/>
            <w:noWrap w:val="0"/>
            <w:vAlign w:val="top"/>
          </w:tcPr>
          <w:p>
            <w:pPr>
              <w:pStyle w:val="108"/>
              <w:pageBreakBefore w:val="0"/>
              <w:topLinePunct w:val="0"/>
              <w:bidi w:val="0"/>
              <w:outlineLvl w:val="9"/>
              <w:rPr>
                <w:rFonts w:ascii="Times New Roman"/>
                <w:sz w:val="18"/>
              </w:rPr>
            </w:pPr>
          </w:p>
        </w:tc>
        <w:tc>
          <w:tcPr>
            <w:tcW w:w="1798" w:type="dxa"/>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29"/>
              <w:ind w:left="107"/>
              <w:outlineLvl w:val="9"/>
              <w:rPr>
                <w:sz w:val="18"/>
              </w:rPr>
            </w:pPr>
            <w:r>
              <w:rPr>
                <w:sz w:val="18"/>
              </w:rPr>
              <w:t>参与教师课题研究</w:t>
            </w:r>
          </w:p>
        </w:tc>
        <w:tc>
          <w:tcPr>
            <w:tcW w:w="1561" w:type="dxa"/>
            <w:noWrap w:val="0"/>
            <w:vAlign w:val="top"/>
          </w:tcPr>
          <w:p>
            <w:pPr>
              <w:pStyle w:val="108"/>
              <w:pageBreakBefore w:val="0"/>
              <w:topLinePunct w:val="0"/>
              <w:bidi w:val="0"/>
              <w:spacing w:before="118" w:line="487" w:lineRule="auto"/>
              <w:ind w:left="107" w:right="95"/>
              <w:outlineLvl w:val="9"/>
              <w:rPr>
                <w:sz w:val="18"/>
              </w:rPr>
            </w:pPr>
            <w:r>
              <w:rPr>
                <w:spacing w:val="-17"/>
                <w:sz w:val="18"/>
              </w:rPr>
              <w:t xml:space="preserve">撰写 </w:t>
            </w:r>
            <w:r>
              <w:rPr>
                <w:sz w:val="18"/>
              </w:rPr>
              <w:t>2000</w:t>
            </w:r>
            <w:r>
              <w:rPr>
                <w:spacing w:val="-16"/>
                <w:sz w:val="18"/>
              </w:rPr>
              <w:t xml:space="preserve"> 字以上</w:t>
            </w:r>
            <w:r>
              <w:rPr>
                <w:sz w:val="18"/>
              </w:rPr>
              <w:t>实验或研究报 告、设计作品，</w:t>
            </w:r>
          </w:p>
          <w:p>
            <w:pPr>
              <w:pStyle w:val="108"/>
              <w:pageBreakBefore w:val="0"/>
              <w:topLinePunct w:val="0"/>
              <w:bidi w:val="0"/>
              <w:spacing w:line="230" w:lineRule="exact"/>
              <w:ind w:left="107"/>
              <w:outlineLvl w:val="9"/>
              <w:rPr>
                <w:sz w:val="18"/>
              </w:rPr>
            </w:pPr>
            <w:r>
              <w:rPr>
                <w:sz w:val="18"/>
              </w:rPr>
              <w:t>并考核合格</w:t>
            </w:r>
          </w:p>
        </w:tc>
        <w:tc>
          <w:tcPr>
            <w:tcW w:w="740" w:type="dxa"/>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35"/>
              <w:ind w:left="10"/>
              <w:jc w:val="center"/>
              <w:outlineLvl w:val="9"/>
              <w:rPr>
                <w:rFonts w:ascii="Calibri"/>
                <w:sz w:val="18"/>
              </w:rPr>
            </w:pPr>
            <w:r>
              <w:rPr>
                <w:rFonts w:ascii="Calibri"/>
                <w:sz w:val="18"/>
              </w:rPr>
              <w:t>2</w:t>
            </w:r>
          </w:p>
        </w:tc>
        <w:tc>
          <w:tcPr>
            <w:tcW w:w="1946" w:type="dxa"/>
            <w:noWrap w:val="0"/>
            <w:vAlign w:val="top"/>
          </w:tcPr>
          <w:p>
            <w:pPr>
              <w:pStyle w:val="108"/>
              <w:pageBreakBefore w:val="0"/>
              <w:topLinePunct w:val="0"/>
              <w:bidi w:val="0"/>
              <w:outlineLvl w:val="9"/>
              <w:rPr>
                <w:b/>
                <w:sz w:val="20"/>
              </w:rPr>
            </w:pPr>
          </w:p>
          <w:p>
            <w:pPr>
              <w:pStyle w:val="108"/>
              <w:pageBreakBefore w:val="0"/>
              <w:topLinePunct w:val="0"/>
              <w:bidi w:val="0"/>
              <w:outlineLvl w:val="9"/>
              <w:rPr>
                <w:b/>
                <w:sz w:val="20"/>
              </w:rPr>
            </w:pPr>
          </w:p>
          <w:p>
            <w:pPr>
              <w:pStyle w:val="108"/>
              <w:pageBreakBefore w:val="0"/>
              <w:topLinePunct w:val="0"/>
              <w:bidi w:val="0"/>
              <w:spacing w:before="1"/>
              <w:outlineLvl w:val="9"/>
              <w:rPr>
                <w:b/>
                <w:sz w:val="24"/>
              </w:rPr>
            </w:pPr>
          </w:p>
          <w:p>
            <w:pPr>
              <w:pStyle w:val="108"/>
              <w:pageBreakBefore w:val="0"/>
              <w:topLinePunct w:val="0"/>
              <w:bidi w:val="0"/>
              <w:ind w:left="107"/>
              <w:outlineLvl w:val="9"/>
              <w:rPr>
                <w:sz w:val="18"/>
              </w:rPr>
            </w:pPr>
            <w:r>
              <w:rPr>
                <w:sz w:val="18"/>
              </w:rPr>
              <w:t xml:space="preserve">累计不超过 </w:t>
            </w:r>
            <w:r>
              <w:rPr>
                <w:rFonts w:ascii="Calibri" w:eastAsia="Calibri"/>
                <w:sz w:val="18"/>
              </w:rPr>
              <w:t xml:space="preserve">2 </w:t>
            </w:r>
            <w:r>
              <w:rPr>
                <w:sz w:val="18"/>
              </w:rPr>
              <w:t>学分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32" w:type="dxa"/>
            <w:vMerge w:val="restart"/>
            <w:noWrap w:val="0"/>
            <w:vAlign w:val="top"/>
          </w:tcPr>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outlineLvl w:val="9"/>
              <w:rPr>
                <w:b/>
                <w:sz w:val="22"/>
              </w:rPr>
            </w:pPr>
          </w:p>
          <w:p>
            <w:pPr>
              <w:pStyle w:val="108"/>
              <w:pageBreakBefore w:val="0"/>
              <w:topLinePunct w:val="0"/>
              <w:bidi w:val="0"/>
              <w:spacing w:before="11"/>
              <w:outlineLvl w:val="9"/>
              <w:rPr>
                <w:b/>
                <w:sz w:val="22"/>
              </w:rPr>
            </w:pPr>
          </w:p>
          <w:p>
            <w:pPr>
              <w:pStyle w:val="108"/>
              <w:pageBreakBefore w:val="0"/>
              <w:topLinePunct w:val="0"/>
              <w:bidi w:val="0"/>
              <w:ind w:left="124"/>
              <w:outlineLvl w:val="9"/>
              <w:rPr>
                <w:b/>
                <w:sz w:val="22"/>
              </w:rPr>
            </w:pPr>
            <w:r>
              <w:rPr>
                <w:b/>
                <w:sz w:val="22"/>
              </w:rPr>
              <w:t>创业实践</w:t>
            </w:r>
          </w:p>
        </w:tc>
        <w:tc>
          <w:tcPr>
            <w:tcW w:w="1345" w:type="dxa"/>
            <w:vMerge w:val="restart"/>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43"/>
              <w:ind w:left="132"/>
              <w:outlineLvl w:val="9"/>
              <w:rPr>
                <w:b/>
                <w:sz w:val="18"/>
              </w:rPr>
            </w:pPr>
            <w:r>
              <w:rPr>
                <w:b/>
                <w:sz w:val="18"/>
              </w:rPr>
              <w:t>创业大赛获奖</w:t>
            </w:r>
          </w:p>
        </w:tc>
        <w:tc>
          <w:tcPr>
            <w:tcW w:w="1798" w:type="dxa"/>
            <w:noWrap w:val="0"/>
            <w:vAlign w:val="top"/>
          </w:tcPr>
          <w:p>
            <w:pPr>
              <w:pStyle w:val="108"/>
              <w:pageBreakBefore w:val="0"/>
              <w:topLinePunct w:val="0"/>
              <w:bidi w:val="0"/>
              <w:spacing w:before="120"/>
              <w:ind w:left="107"/>
              <w:outlineLvl w:val="9"/>
              <w:rPr>
                <w:sz w:val="18"/>
              </w:rPr>
            </w:pPr>
            <w:r>
              <w:rPr>
                <w:sz w:val="18"/>
              </w:rPr>
              <w:t>国家级（一/二/三等</w:t>
            </w:r>
          </w:p>
          <w:p>
            <w:pPr>
              <w:pStyle w:val="108"/>
              <w:pageBreakBefore w:val="0"/>
              <w:topLinePunct w:val="0"/>
              <w:bidi w:val="0"/>
              <w:spacing w:before="6"/>
              <w:outlineLvl w:val="9"/>
              <w:rPr>
                <w:b/>
                <w:sz w:val="18"/>
              </w:rPr>
            </w:pPr>
          </w:p>
          <w:p>
            <w:pPr>
              <w:pStyle w:val="108"/>
              <w:pageBreakBefore w:val="0"/>
              <w:topLinePunct w:val="0"/>
              <w:bidi w:val="0"/>
              <w:ind w:left="107"/>
              <w:outlineLvl w:val="9"/>
              <w:rPr>
                <w:sz w:val="18"/>
              </w:rPr>
            </w:pPr>
            <w:r>
              <w:rPr>
                <w:sz w:val="18"/>
              </w:rPr>
              <w:t>奖）</w:t>
            </w:r>
          </w:p>
        </w:tc>
        <w:tc>
          <w:tcPr>
            <w:tcW w:w="1561" w:type="dxa"/>
            <w:noWrap w:val="0"/>
            <w:vAlign w:val="top"/>
          </w:tcPr>
          <w:p>
            <w:pPr>
              <w:pStyle w:val="108"/>
              <w:pageBreakBefore w:val="0"/>
              <w:topLinePunct w:val="0"/>
              <w:bidi w:val="0"/>
              <w:outlineLvl w:val="9"/>
              <w:rPr>
                <w:rFonts w:ascii="Times New Roman"/>
                <w:sz w:val="18"/>
              </w:rPr>
            </w:pPr>
          </w:p>
        </w:tc>
        <w:tc>
          <w:tcPr>
            <w:tcW w:w="740" w:type="dxa"/>
            <w:noWrap w:val="0"/>
            <w:vAlign w:val="top"/>
          </w:tcPr>
          <w:p>
            <w:pPr>
              <w:pStyle w:val="108"/>
              <w:pageBreakBefore w:val="0"/>
              <w:topLinePunct w:val="0"/>
              <w:bidi w:val="0"/>
              <w:outlineLvl w:val="9"/>
              <w:rPr>
                <w:b/>
                <w:sz w:val="18"/>
              </w:rPr>
            </w:pPr>
          </w:p>
          <w:p>
            <w:pPr>
              <w:pStyle w:val="108"/>
              <w:pageBreakBefore w:val="0"/>
              <w:topLinePunct w:val="0"/>
              <w:bidi w:val="0"/>
              <w:spacing w:before="128"/>
              <w:ind w:left="98" w:right="88"/>
              <w:jc w:val="center"/>
              <w:outlineLvl w:val="9"/>
              <w:rPr>
                <w:rFonts w:ascii="Calibri"/>
                <w:sz w:val="18"/>
              </w:rPr>
            </w:pPr>
            <w:r>
              <w:rPr>
                <w:rFonts w:ascii="Calibri"/>
                <w:sz w:val="18"/>
              </w:rPr>
              <w:t>10/8/6</w:t>
            </w:r>
          </w:p>
        </w:tc>
        <w:tc>
          <w:tcPr>
            <w:tcW w:w="1946" w:type="dxa"/>
            <w:vMerge w:val="restart"/>
            <w:noWrap w:val="0"/>
            <w:vAlign w:val="top"/>
          </w:tcPr>
          <w:p>
            <w:pPr>
              <w:pStyle w:val="108"/>
              <w:pageBreakBefore w:val="0"/>
              <w:topLinePunct w:val="0"/>
              <w:bidi w:val="0"/>
              <w:outlineLvl w:val="9"/>
              <w:rPr>
                <w:b/>
                <w:sz w:val="18"/>
              </w:rPr>
            </w:pPr>
          </w:p>
          <w:p>
            <w:pPr>
              <w:pStyle w:val="108"/>
              <w:pageBreakBefore w:val="0"/>
              <w:topLinePunct w:val="0"/>
              <w:bidi w:val="0"/>
              <w:spacing w:before="131" w:line="487" w:lineRule="auto"/>
              <w:ind w:left="107" w:right="95"/>
              <w:outlineLvl w:val="9"/>
              <w:rPr>
                <w:sz w:val="18"/>
              </w:rPr>
            </w:pPr>
            <w:r>
              <w:rPr>
                <w:sz w:val="18"/>
              </w:rPr>
              <w:t>提供获奖证书或获奖</w:t>
            </w:r>
            <w:r>
              <w:rPr>
                <w:spacing w:val="-11"/>
                <w:sz w:val="18"/>
              </w:rPr>
              <w:t>文件，不重复计分，负</w:t>
            </w:r>
            <w:r>
              <w:rPr>
                <w:spacing w:val="-10"/>
                <w:sz w:val="18"/>
              </w:rPr>
              <w:t>责人得满分，成员得分</w:t>
            </w:r>
            <w:r>
              <w:rPr>
                <w:sz w:val="18"/>
              </w:rPr>
              <w:t>减半。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noWrap w:val="0"/>
            <w:vAlign w:val="top"/>
          </w:tcPr>
          <w:p>
            <w:pPr>
              <w:pStyle w:val="108"/>
              <w:pageBreakBefore w:val="0"/>
              <w:topLinePunct w:val="0"/>
              <w:bidi w:val="0"/>
              <w:spacing w:before="119"/>
              <w:ind w:left="107"/>
              <w:outlineLvl w:val="9"/>
              <w:rPr>
                <w:sz w:val="18"/>
              </w:rPr>
            </w:pPr>
            <w:r>
              <w:rPr>
                <w:sz w:val="18"/>
              </w:rPr>
              <w:t>市级（一/二/三等</w:t>
            </w:r>
          </w:p>
          <w:p>
            <w:pPr>
              <w:pStyle w:val="108"/>
              <w:pageBreakBefore w:val="0"/>
              <w:topLinePunct w:val="0"/>
              <w:bidi w:val="0"/>
              <w:spacing w:before="7"/>
              <w:outlineLvl w:val="9"/>
              <w:rPr>
                <w:b/>
                <w:sz w:val="18"/>
              </w:rPr>
            </w:pPr>
          </w:p>
          <w:p>
            <w:pPr>
              <w:pStyle w:val="108"/>
              <w:pageBreakBefore w:val="0"/>
              <w:topLinePunct w:val="0"/>
              <w:bidi w:val="0"/>
              <w:ind w:left="107"/>
              <w:outlineLvl w:val="9"/>
              <w:rPr>
                <w:sz w:val="18"/>
              </w:rPr>
            </w:pPr>
            <w:r>
              <w:rPr>
                <w:sz w:val="18"/>
              </w:rPr>
              <w:t>奖）</w:t>
            </w:r>
          </w:p>
        </w:tc>
        <w:tc>
          <w:tcPr>
            <w:tcW w:w="1561" w:type="dxa"/>
            <w:noWrap w:val="0"/>
            <w:vAlign w:val="top"/>
          </w:tcPr>
          <w:p>
            <w:pPr>
              <w:pStyle w:val="108"/>
              <w:pageBreakBefore w:val="0"/>
              <w:topLinePunct w:val="0"/>
              <w:bidi w:val="0"/>
              <w:outlineLvl w:val="9"/>
              <w:rPr>
                <w:rFonts w:ascii="Times New Roman"/>
                <w:sz w:val="18"/>
              </w:rPr>
            </w:pPr>
          </w:p>
        </w:tc>
        <w:tc>
          <w:tcPr>
            <w:tcW w:w="740" w:type="dxa"/>
            <w:noWrap w:val="0"/>
            <w:vAlign w:val="top"/>
          </w:tcPr>
          <w:p>
            <w:pPr>
              <w:pStyle w:val="108"/>
              <w:pageBreakBefore w:val="0"/>
              <w:topLinePunct w:val="0"/>
              <w:bidi w:val="0"/>
              <w:outlineLvl w:val="9"/>
              <w:rPr>
                <w:b/>
                <w:sz w:val="18"/>
              </w:rPr>
            </w:pPr>
          </w:p>
          <w:p>
            <w:pPr>
              <w:pStyle w:val="108"/>
              <w:pageBreakBefore w:val="0"/>
              <w:topLinePunct w:val="0"/>
              <w:bidi w:val="0"/>
              <w:spacing w:before="128"/>
              <w:ind w:left="98" w:right="88"/>
              <w:jc w:val="center"/>
              <w:outlineLvl w:val="9"/>
              <w:rPr>
                <w:rFonts w:ascii="Calibri"/>
                <w:sz w:val="18"/>
              </w:rPr>
            </w:pPr>
            <w:r>
              <w:rPr>
                <w:rFonts w:ascii="Calibri"/>
                <w:sz w:val="18"/>
              </w:rPr>
              <w:t>6/4/2</w:t>
            </w:r>
          </w:p>
        </w:tc>
        <w:tc>
          <w:tcPr>
            <w:tcW w:w="1946" w:type="dxa"/>
            <w:vMerge w:val="continue"/>
            <w:tcBorders>
              <w:top w:val="nil"/>
            </w:tcBorders>
            <w:noWrap w:val="0"/>
            <w:vAlign w:val="top"/>
          </w:tcPr>
          <w:p>
            <w:pPr>
              <w:pageBreakBefore w:val="0"/>
              <w:topLinePunct w:val="0"/>
              <w:bidi w:val="0"/>
              <w:outlineLvl w:val="9"/>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noWrap w:val="0"/>
            <w:vAlign w:val="top"/>
          </w:tcPr>
          <w:p>
            <w:pPr>
              <w:pStyle w:val="108"/>
              <w:pageBreakBefore w:val="0"/>
              <w:topLinePunct w:val="0"/>
              <w:bidi w:val="0"/>
              <w:spacing w:before="119"/>
              <w:ind w:left="107"/>
              <w:outlineLvl w:val="9"/>
              <w:rPr>
                <w:sz w:val="18"/>
              </w:rPr>
            </w:pPr>
            <w:r>
              <w:rPr>
                <w:sz w:val="18"/>
              </w:rPr>
              <w:t>院级（一/二等奖）</w:t>
            </w:r>
          </w:p>
        </w:tc>
        <w:tc>
          <w:tcPr>
            <w:tcW w:w="1561" w:type="dxa"/>
            <w:noWrap w:val="0"/>
            <w:vAlign w:val="top"/>
          </w:tcPr>
          <w:p>
            <w:pPr>
              <w:pStyle w:val="108"/>
              <w:pageBreakBefore w:val="0"/>
              <w:topLinePunct w:val="0"/>
              <w:bidi w:val="0"/>
              <w:outlineLvl w:val="9"/>
              <w:rPr>
                <w:rFonts w:ascii="Times New Roman"/>
                <w:sz w:val="18"/>
              </w:rPr>
            </w:pPr>
          </w:p>
        </w:tc>
        <w:tc>
          <w:tcPr>
            <w:tcW w:w="740" w:type="dxa"/>
            <w:noWrap w:val="0"/>
            <w:vAlign w:val="top"/>
          </w:tcPr>
          <w:p>
            <w:pPr>
              <w:pStyle w:val="108"/>
              <w:pageBreakBefore w:val="0"/>
              <w:topLinePunct w:val="0"/>
              <w:bidi w:val="0"/>
              <w:spacing w:before="125"/>
              <w:ind w:left="96" w:right="88"/>
              <w:jc w:val="center"/>
              <w:outlineLvl w:val="9"/>
              <w:rPr>
                <w:rFonts w:ascii="Calibri"/>
                <w:sz w:val="18"/>
              </w:rPr>
            </w:pPr>
            <w:r>
              <w:rPr>
                <w:rFonts w:ascii="Calibri"/>
                <w:sz w:val="18"/>
              </w:rPr>
              <w:t>2/1</w:t>
            </w:r>
          </w:p>
        </w:tc>
        <w:tc>
          <w:tcPr>
            <w:tcW w:w="1946" w:type="dxa"/>
            <w:vMerge w:val="continue"/>
            <w:tcBorders>
              <w:top w:val="nil"/>
            </w:tcBorders>
            <w:noWrap w:val="0"/>
            <w:vAlign w:val="top"/>
          </w:tcPr>
          <w:p>
            <w:pPr>
              <w:pageBreakBefore w:val="0"/>
              <w:topLinePunct w:val="0"/>
              <w:bidi w:val="0"/>
              <w:outlineLvl w:val="9"/>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0"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restart"/>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5"/>
              <w:outlineLvl w:val="9"/>
              <w:rPr>
                <w:b/>
                <w:sz w:val="14"/>
              </w:rPr>
            </w:pPr>
          </w:p>
          <w:p>
            <w:pPr>
              <w:pStyle w:val="108"/>
              <w:pageBreakBefore w:val="0"/>
              <w:topLinePunct w:val="0"/>
              <w:bidi w:val="0"/>
              <w:ind w:left="312"/>
              <w:outlineLvl w:val="9"/>
              <w:rPr>
                <w:b/>
                <w:sz w:val="18"/>
              </w:rPr>
            </w:pPr>
            <w:r>
              <w:rPr>
                <w:b/>
                <w:sz w:val="18"/>
              </w:rPr>
              <w:t>创业实践</w:t>
            </w:r>
          </w:p>
        </w:tc>
        <w:tc>
          <w:tcPr>
            <w:tcW w:w="1798" w:type="dxa"/>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32"/>
              <w:ind w:left="107"/>
              <w:outlineLvl w:val="9"/>
              <w:rPr>
                <w:sz w:val="18"/>
              </w:rPr>
            </w:pPr>
            <w:r>
              <w:rPr>
                <w:sz w:val="18"/>
              </w:rPr>
              <w:t>成立公司</w:t>
            </w:r>
          </w:p>
        </w:tc>
        <w:tc>
          <w:tcPr>
            <w:tcW w:w="1561" w:type="dxa"/>
            <w:noWrap w:val="0"/>
            <w:vAlign w:val="top"/>
          </w:tcPr>
          <w:p>
            <w:pPr>
              <w:pStyle w:val="108"/>
              <w:pageBreakBefore w:val="0"/>
              <w:topLinePunct w:val="0"/>
              <w:bidi w:val="0"/>
              <w:spacing w:before="119" w:line="487" w:lineRule="auto"/>
              <w:ind w:left="107" w:right="181"/>
              <w:jc w:val="both"/>
              <w:outlineLvl w:val="9"/>
              <w:rPr>
                <w:sz w:val="18"/>
              </w:rPr>
            </w:pPr>
            <w:r>
              <w:rPr>
                <w:sz w:val="18"/>
              </w:rPr>
              <w:t>具有公司法人营业执照，提供财务、税收等相关证明、持续营业</w:t>
            </w:r>
          </w:p>
          <w:p>
            <w:pPr>
              <w:pStyle w:val="108"/>
              <w:pageBreakBefore w:val="0"/>
              <w:topLinePunct w:val="0"/>
              <w:bidi w:val="0"/>
              <w:spacing w:line="230" w:lineRule="exact"/>
              <w:ind w:left="107"/>
              <w:outlineLvl w:val="9"/>
              <w:rPr>
                <w:sz w:val="18"/>
              </w:rPr>
            </w:pPr>
            <w:r>
              <w:rPr>
                <w:sz w:val="18"/>
              </w:rPr>
              <w:t>半年及以上</w:t>
            </w:r>
          </w:p>
        </w:tc>
        <w:tc>
          <w:tcPr>
            <w:tcW w:w="740" w:type="dxa"/>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38"/>
              <w:ind w:left="96" w:right="88"/>
              <w:jc w:val="center"/>
              <w:outlineLvl w:val="9"/>
              <w:rPr>
                <w:rFonts w:ascii="Calibri"/>
                <w:sz w:val="18"/>
              </w:rPr>
            </w:pPr>
            <w:r>
              <w:rPr>
                <w:rFonts w:ascii="Calibri"/>
                <w:sz w:val="18"/>
              </w:rPr>
              <w:t>2~12</w:t>
            </w:r>
          </w:p>
        </w:tc>
        <w:tc>
          <w:tcPr>
            <w:tcW w:w="1946" w:type="dxa"/>
            <w:noWrap w:val="0"/>
            <w:vAlign w:val="top"/>
          </w:tcPr>
          <w:p>
            <w:pPr>
              <w:pStyle w:val="108"/>
              <w:pageBreakBefore w:val="0"/>
              <w:topLinePunct w:val="0"/>
              <w:bidi w:val="0"/>
              <w:outlineLvl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noWrap w:val="0"/>
            <w:vAlign w:val="top"/>
          </w:tcPr>
          <w:p>
            <w:pPr>
              <w:pStyle w:val="108"/>
              <w:pageBreakBefore w:val="0"/>
              <w:topLinePunct w:val="0"/>
              <w:bidi w:val="0"/>
              <w:spacing w:before="118" w:line="487" w:lineRule="auto"/>
              <w:ind w:left="107" w:right="58"/>
              <w:outlineLvl w:val="9"/>
              <w:rPr>
                <w:sz w:val="18"/>
              </w:rPr>
            </w:pPr>
            <w:r>
              <w:rPr>
                <w:spacing w:val="-2"/>
                <w:sz w:val="18"/>
              </w:rPr>
              <w:t>拿到地方创业基金、</w:t>
            </w:r>
            <w:r>
              <w:rPr>
                <w:sz w:val="18"/>
              </w:rPr>
              <w:t>风险投资基金或进 入地方创业基地并</w:t>
            </w:r>
          </w:p>
          <w:p>
            <w:pPr>
              <w:pStyle w:val="108"/>
              <w:pageBreakBefore w:val="0"/>
              <w:topLinePunct w:val="0"/>
              <w:bidi w:val="0"/>
              <w:spacing w:line="230" w:lineRule="exact"/>
              <w:ind w:left="107"/>
              <w:outlineLvl w:val="9"/>
              <w:rPr>
                <w:sz w:val="18"/>
              </w:rPr>
            </w:pPr>
            <w:r>
              <w:rPr>
                <w:sz w:val="18"/>
              </w:rPr>
              <w:t>注册运营</w:t>
            </w:r>
          </w:p>
        </w:tc>
        <w:tc>
          <w:tcPr>
            <w:tcW w:w="1561" w:type="dxa"/>
            <w:noWrap w:val="0"/>
            <w:vAlign w:val="top"/>
          </w:tcPr>
          <w:p>
            <w:pPr>
              <w:pStyle w:val="108"/>
              <w:pageBreakBefore w:val="0"/>
              <w:topLinePunct w:val="0"/>
              <w:bidi w:val="0"/>
              <w:outlineLvl w:val="9"/>
              <w:rPr>
                <w:rFonts w:ascii="Times New Roman"/>
                <w:sz w:val="18"/>
              </w:rPr>
            </w:pPr>
          </w:p>
        </w:tc>
        <w:tc>
          <w:tcPr>
            <w:tcW w:w="740" w:type="dxa"/>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36"/>
              <w:ind w:left="96" w:right="88"/>
              <w:jc w:val="center"/>
              <w:outlineLvl w:val="9"/>
              <w:rPr>
                <w:rFonts w:ascii="Calibri"/>
                <w:sz w:val="18"/>
              </w:rPr>
            </w:pPr>
            <w:r>
              <w:rPr>
                <w:rFonts w:ascii="Calibri"/>
                <w:sz w:val="18"/>
              </w:rPr>
              <w:t>2~12</w:t>
            </w:r>
          </w:p>
        </w:tc>
        <w:tc>
          <w:tcPr>
            <w:tcW w:w="1946" w:type="dxa"/>
            <w:noWrap w:val="0"/>
            <w:vAlign w:val="top"/>
          </w:tcPr>
          <w:p>
            <w:pPr>
              <w:pStyle w:val="108"/>
              <w:pageBreakBefore w:val="0"/>
              <w:topLinePunct w:val="0"/>
              <w:bidi w:val="0"/>
              <w:spacing w:before="118" w:line="487" w:lineRule="auto"/>
              <w:ind w:left="107" w:right="95" w:firstLine="192"/>
              <w:jc w:val="both"/>
              <w:outlineLvl w:val="9"/>
              <w:rPr>
                <w:sz w:val="18"/>
              </w:rPr>
            </w:pPr>
            <w:r>
              <w:rPr>
                <w:spacing w:val="9"/>
                <w:sz w:val="18"/>
              </w:rPr>
              <w:t>二级学院根据风投</w:t>
            </w:r>
            <w:r>
              <w:rPr>
                <w:spacing w:val="-10"/>
                <w:sz w:val="18"/>
              </w:rPr>
              <w:t>基金的金额，制订替换</w:t>
            </w:r>
            <w:r>
              <w:rPr>
                <w:sz w:val="18"/>
              </w:rPr>
              <w:t>学分的分段标准。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24"/>
              <w:ind w:left="107"/>
              <w:outlineLvl w:val="9"/>
              <w:rPr>
                <w:sz w:val="18"/>
              </w:rPr>
            </w:pPr>
            <w:r>
              <w:rPr>
                <w:sz w:val="18"/>
              </w:rPr>
              <w:t>个体户</w:t>
            </w:r>
          </w:p>
        </w:tc>
        <w:tc>
          <w:tcPr>
            <w:tcW w:w="1561" w:type="dxa"/>
            <w:noWrap w:val="0"/>
            <w:vAlign w:val="top"/>
          </w:tcPr>
          <w:p>
            <w:pPr>
              <w:pStyle w:val="108"/>
              <w:pageBreakBefore w:val="0"/>
              <w:topLinePunct w:val="0"/>
              <w:bidi w:val="0"/>
              <w:spacing w:before="118" w:line="487" w:lineRule="auto"/>
              <w:ind w:left="107" w:right="181"/>
              <w:outlineLvl w:val="9"/>
              <w:rPr>
                <w:sz w:val="18"/>
              </w:rPr>
            </w:pPr>
            <w:r>
              <w:rPr>
                <w:sz w:val="18"/>
              </w:rPr>
              <w:t>具有个体工商营业执照，持续营</w:t>
            </w:r>
          </w:p>
          <w:p>
            <w:pPr>
              <w:pStyle w:val="108"/>
              <w:pageBreakBefore w:val="0"/>
              <w:topLinePunct w:val="0"/>
              <w:bidi w:val="0"/>
              <w:spacing w:line="230" w:lineRule="exact"/>
              <w:ind w:left="107"/>
              <w:outlineLvl w:val="9"/>
              <w:rPr>
                <w:sz w:val="18"/>
              </w:rPr>
            </w:pPr>
            <w:r>
              <w:rPr>
                <w:sz w:val="18"/>
              </w:rPr>
              <w:t>业半年及以上</w:t>
            </w:r>
          </w:p>
        </w:tc>
        <w:tc>
          <w:tcPr>
            <w:tcW w:w="740" w:type="dxa"/>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31"/>
              <w:ind w:left="10"/>
              <w:jc w:val="center"/>
              <w:outlineLvl w:val="9"/>
              <w:rPr>
                <w:rFonts w:ascii="Calibri"/>
                <w:sz w:val="18"/>
              </w:rPr>
            </w:pPr>
            <w:r>
              <w:rPr>
                <w:rFonts w:ascii="Calibri"/>
                <w:sz w:val="18"/>
              </w:rPr>
              <w:t>2</w:t>
            </w:r>
          </w:p>
        </w:tc>
        <w:tc>
          <w:tcPr>
            <w:tcW w:w="1946" w:type="dxa"/>
            <w:noWrap w:val="0"/>
            <w:vAlign w:val="top"/>
          </w:tcPr>
          <w:p>
            <w:pPr>
              <w:pStyle w:val="108"/>
              <w:pageBreakBefore w:val="0"/>
              <w:topLinePunct w:val="0"/>
              <w:bidi w:val="0"/>
              <w:outlineLvl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1132" w:type="dxa"/>
            <w:vMerge w:val="continue"/>
            <w:tcBorders>
              <w:top w:val="nil"/>
            </w:tcBorders>
            <w:noWrap w:val="0"/>
            <w:vAlign w:val="top"/>
          </w:tcPr>
          <w:p>
            <w:pPr>
              <w:pageBreakBefore w:val="0"/>
              <w:topLinePunct w:val="0"/>
              <w:bidi w:val="0"/>
              <w:outlineLvl w:val="9"/>
              <w:rPr>
                <w:sz w:val="2"/>
                <w:szCs w:val="2"/>
              </w:rPr>
            </w:pPr>
          </w:p>
        </w:tc>
        <w:tc>
          <w:tcPr>
            <w:tcW w:w="1345" w:type="dxa"/>
            <w:vMerge w:val="continue"/>
            <w:tcBorders>
              <w:top w:val="nil"/>
            </w:tcBorders>
            <w:noWrap w:val="0"/>
            <w:vAlign w:val="top"/>
          </w:tcPr>
          <w:p>
            <w:pPr>
              <w:pageBreakBefore w:val="0"/>
              <w:topLinePunct w:val="0"/>
              <w:bidi w:val="0"/>
              <w:outlineLvl w:val="9"/>
              <w:rPr>
                <w:sz w:val="2"/>
                <w:szCs w:val="2"/>
              </w:rPr>
            </w:pPr>
          </w:p>
        </w:tc>
        <w:tc>
          <w:tcPr>
            <w:tcW w:w="1798" w:type="dxa"/>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29"/>
              <w:ind w:left="107"/>
              <w:outlineLvl w:val="9"/>
              <w:rPr>
                <w:sz w:val="18"/>
              </w:rPr>
            </w:pPr>
            <w:r>
              <w:rPr>
                <w:sz w:val="18"/>
              </w:rPr>
              <w:t>网店</w:t>
            </w:r>
          </w:p>
        </w:tc>
        <w:tc>
          <w:tcPr>
            <w:tcW w:w="1561" w:type="dxa"/>
            <w:noWrap w:val="0"/>
            <w:vAlign w:val="top"/>
          </w:tcPr>
          <w:p>
            <w:pPr>
              <w:pStyle w:val="108"/>
              <w:pageBreakBefore w:val="0"/>
              <w:topLinePunct w:val="0"/>
              <w:bidi w:val="0"/>
              <w:spacing w:before="120" w:line="487" w:lineRule="auto"/>
              <w:ind w:left="107" w:right="181"/>
              <w:jc w:val="both"/>
              <w:outlineLvl w:val="9"/>
              <w:rPr>
                <w:sz w:val="18"/>
              </w:rPr>
            </w:pPr>
            <w:r>
              <w:rPr>
                <w:sz w:val="18"/>
              </w:rPr>
              <w:t>开办网点半年及以上、获得相应等级（三钻及以</w:t>
            </w:r>
          </w:p>
          <w:p>
            <w:pPr>
              <w:pStyle w:val="108"/>
              <w:pageBreakBefore w:val="0"/>
              <w:topLinePunct w:val="0"/>
              <w:bidi w:val="0"/>
              <w:spacing w:line="230" w:lineRule="exact"/>
              <w:ind w:left="107"/>
              <w:jc w:val="both"/>
              <w:outlineLvl w:val="9"/>
              <w:rPr>
                <w:sz w:val="18"/>
              </w:rPr>
            </w:pPr>
            <w:r>
              <w:rPr>
                <w:sz w:val="18"/>
              </w:rPr>
              <w:t>上/1-2 钻）</w:t>
            </w:r>
          </w:p>
        </w:tc>
        <w:tc>
          <w:tcPr>
            <w:tcW w:w="740" w:type="dxa"/>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35"/>
              <w:ind w:left="98" w:right="88"/>
              <w:jc w:val="center"/>
              <w:outlineLvl w:val="9"/>
              <w:rPr>
                <w:rFonts w:ascii="Calibri"/>
                <w:sz w:val="18"/>
              </w:rPr>
            </w:pPr>
            <w:r>
              <w:rPr>
                <w:rFonts w:ascii="Calibri"/>
                <w:sz w:val="18"/>
              </w:rPr>
              <w:t>1/0.5</w:t>
            </w:r>
          </w:p>
        </w:tc>
        <w:tc>
          <w:tcPr>
            <w:tcW w:w="1946" w:type="dxa"/>
            <w:noWrap w:val="0"/>
            <w:vAlign w:val="top"/>
          </w:tcPr>
          <w:p>
            <w:pPr>
              <w:pStyle w:val="108"/>
              <w:pageBreakBefore w:val="0"/>
              <w:topLinePunct w:val="0"/>
              <w:bidi w:val="0"/>
              <w:outlineLvl w:val="9"/>
              <w:rPr>
                <w:rFonts w:ascii="Times New Roman"/>
                <w:sz w:val="18"/>
              </w:rPr>
            </w:pPr>
          </w:p>
        </w:tc>
      </w:tr>
    </w:tbl>
    <w:p>
      <w:pPr>
        <w:pStyle w:val="15"/>
        <w:pageBreakBefore w:val="0"/>
        <w:topLinePunct w:val="0"/>
        <w:bidi w:val="0"/>
        <w:spacing w:before="8"/>
        <w:outlineLvl w:val="9"/>
        <w:rPr>
          <w:b/>
          <w:sz w:val="5"/>
        </w:rPr>
      </w:pPr>
    </w:p>
    <w:p>
      <w:pPr>
        <w:pStyle w:val="15"/>
        <w:pageBreakBefore w:val="0"/>
        <w:topLinePunct w:val="0"/>
        <w:bidi w:val="0"/>
        <w:spacing w:before="70"/>
        <w:ind w:left="640"/>
        <w:jc w:val="left"/>
        <w:outlineLvl w:val="9"/>
        <w:rPr>
          <w:rFonts w:ascii="Calibri" w:hAnsi="Calibri" w:eastAsia="宋体" w:cs="Times New Roman"/>
          <w:b/>
          <w:bCs/>
          <w:spacing w:val="-4"/>
          <w:kern w:val="2"/>
          <w:sz w:val="21"/>
          <w:szCs w:val="22"/>
          <w:lang w:val="en-US" w:eastAsia="zh-CN" w:bidi="ar-SA"/>
        </w:rPr>
      </w:pPr>
      <w:r>
        <w:rPr>
          <w:rFonts w:ascii="Calibri" w:hAnsi="Calibri" w:eastAsia="宋体" w:cs="Times New Roman"/>
          <w:b/>
          <w:bCs/>
          <w:spacing w:val="-4"/>
          <w:kern w:val="2"/>
          <w:sz w:val="21"/>
          <w:szCs w:val="22"/>
          <w:lang w:val="en-US" w:eastAsia="zh-CN" w:bidi="ar-SA"/>
        </w:rPr>
        <w:t>注：</w:t>
      </w:r>
    </w:p>
    <w:p>
      <w:pPr>
        <w:pStyle w:val="52"/>
        <w:pageBreakBefore w:val="0"/>
        <w:numPr>
          <w:ilvl w:val="0"/>
          <w:numId w:val="7"/>
        </w:numPr>
        <w:tabs>
          <w:tab w:val="left" w:pos="852"/>
        </w:tabs>
        <w:topLinePunct w:val="0"/>
        <w:bidi w:val="0"/>
        <w:spacing w:before="170" w:after="0" w:line="240" w:lineRule="auto"/>
        <w:ind w:left="851" w:right="0" w:hanging="212"/>
        <w:jc w:val="left"/>
        <w:outlineLvl w:val="9"/>
        <w:rPr>
          <w:sz w:val="21"/>
        </w:rPr>
      </w:pPr>
      <w:r>
        <w:rPr>
          <w:spacing w:val="-4"/>
          <w:sz w:val="21"/>
        </w:rPr>
        <w:t xml:space="preserve">创新创业成果转换学分累计不超过 </w:t>
      </w:r>
      <w:r>
        <w:rPr>
          <w:sz w:val="21"/>
        </w:rPr>
        <w:t>12</w:t>
      </w:r>
      <w:r>
        <w:rPr>
          <w:spacing w:val="-14"/>
          <w:sz w:val="21"/>
        </w:rPr>
        <w:t xml:space="preserve"> 学分。</w:t>
      </w:r>
    </w:p>
    <w:p>
      <w:pPr>
        <w:pStyle w:val="52"/>
        <w:pageBreakBefore w:val="0"/>
        <w:numPr>
          <w:ilvl w:val="0"/>
          <w:numId w:val="7"/>
        </w:numPr>
        <w:tabs>
          <w:tab w:val="left" w:pos="852"/>
        </w:tabs>
        <w:topLinePunct w:val="0"/>
        <w:bidi w:val="0"/>
        <w:spacing w:before="173" w:after="0" w:line="240" w:lineRule="auto"/>
        <w:ind w:left="851" w:right="0" w:hanging="212"/>
        <w:jc w:val="left"/>
        <w:outlineLvl w:val="9"/>
        <w:rPr>
          <w:sz w:val="21"/>
        </w:rPr>
      </w:pPr>
      <w:r>
        <w:rPr>
          <w:sz w:val="21"/>
        </w:rPr>
        <w:t>创新创业成果可以转换为创新创业类课程学分和相关专业课课程学分。</w:t>
      </w: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r>
        <w:rPr>
          <w:b/>
          <w:bCs/>
          <w:sz w:val="30"/>
          <w:szCs w:val="30"/>
        </w:rPr>
        <w:t>附件 2</w:t>
      </w: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center"/>
        <w:textAlignment w:val="auto"/>
        <w:outlineLvl w:val="9"/>
        <w:rPr>
          <w:b/>
          <w:sz w:val="7"/>
        </w:rPr>
      </w:pPr>
      <w:r>
        <w:rPr>
          <w:b/>
          <w:bCs/>
          <w:sz w:val="30"/>
          <w:szCs w:val="30"/>
        </w:rPr>
        <w:t>上海电子信息职业技术学院创新创业实践学分申请表</w:t>
      </w:r>
    </w:p>
    <w:tbl>
      <w:tblPr>
        <w:tblStyle w:val="37"/>
        <w:tblW w:w="0" w:type="auto"/>
        <w:tblInd w:w="2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3"/>
        <w:gridCol w:w="1631"/>
        <w:gridCol w:w="895"/>
        <w:gridCol w:w="901"/>
        <w:gridCol w:w="711"/>
        <w:gridCol w:w="895"/>
        <w:gridCol w:w="1814"/>
        <w:gridCol w:w="360"/>
        <w:gridCol w:w="2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833" w:type="dxa"/>
            <w:noWrap w:val="0"/>
            <w:vAlign w:val="top"/>
          </w:tcPr>
          <w:p>
            <w:pPr>
              <w:pStyle w:val="108"/>
              <w:pageBreakBefore w:val="0"/>
              <w:topLinePunct w:val="0"/>
              <w:bidi w:val="0"/>
              <w:spacing w:before="130"/>
              <w:ind w:left="34" w:right="21"/>
              <w:jc w:val="center"/>
              <w:outlineLvl w:val="9"/>
              <w:rPr>
                <w:sz w:val="18"/>
              </w:rPr>
            </w:pPr>
            <w:r>
              <w:rPr>
                <w:sz w:val="18"/>
              </w:rPr>
              <w:t>学 院</w:t>
            </w:r>
          </w:p>
        </w:tc>
        <w:tc>
          <w:tcPr>
            <w:tcW w:w="2526" w:type="dxa"/>
            <w:gridSpan w:val="2"/>
            <w:noWrap w:val="0"/>
            <w:vAlign w:val="top"/>
          </w:tcPr>
          <w:p>
            <w:pPr>
              <w:pStyle w:val="108"/>
              <w:pageBreakBefore w:val="0"/>
              <w:topLinePunct w:val="0"/>
              <w:bidi w:val="0"/>
              <w:outlineLvl w:val="9"/>
              <w:rPr>
                <w:rFonts w:ascii="Times New Roman"/>
                <w:sz w:val="18"/>
              </w:rPr>
            </w:pPr>
          </w:p>
        </w:tc>
        <w:tc>
          <w:tcPr>
            <w:tcW w:w="1612" w:type="dxa"/>
            <w:gridSpan w:val="2"/>
            <w:noWrap w:val="0"/>
            <w:vAlign w:val="top"/>
          </w:tcPr>
          <w:p>
            <w:pPr>
              <w:pStyle w:val="108"/>
              <w:pageBreakBefore w:val="0"/>
              <w:topLinePunct w:val="0"/>
              <w:bidi w:val="0"/>
              <w:spacing w:before="130"/>
              <w:ind w:left="444"/>
              <w:outlineLvl w:val="9"/>
              <w:rPr>
                <w:sz w:val="18"/>
              </w:rPr>
            </w:pPr>
            <w:r>
              <w:rPr>
                <w:sz w:val="18"/>
              </w:rPr>
              <w:t>年级专业</w:t>
            </w:r>
          </w:p>
        </w:tc>
        <w:tc>
          <w:tcPr>
            <w:tcW w:w="3349" w:type="dxa"/>
            <w:gridSpan w:val="4"/>
            <w:noWrap w:val="0"/>
            <w:vAlign w:val="top"/>
          </w:tcPr>
          <w:p>
            <w:pPr>
              <w:pStyle w:val="108"/>
              <w:pageBreakBefore w:val="0"/>
              <w:topLinePunct w:val="0"/>
              <w:bidi w:val="0"/>
              <w:outlineLvl w:val="9"/>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833" w:type="dxa"/>
            <w:noWrap w:val="0"/>
            <w:vAlign w:val="top"/>
          </w:tcPr>
          <w:p>
            <w:pPr>
              <w:pStyle w:val="108"/>
              <w:pageBreakBefore w:val="0"/>
              <w:topLinePunct w:val="0"/>
              <w:bidi w:val="0"/>
              <w:spacing w:before="131"/>
              <w:ind w:left="34" w:right="23"/>
              <w:jc w:val="center"/>
              <w:outlineLvl w:val="9"/>
              <w:rPr>
                <w:sz w:val="18"/>
              </w:rPr>
            </w:pPr>
            <w:r>
              <w:rPr>
                <w:sz w:val="18"/>
              </w:rPr>
              <w:t>学生姓名</w:t>
            </w:r>
          </w:p>
        </w:tc>
        <w:tc>
          <w:tcPr>
            <w:tcW w:w="1631" w:type="dxa"/>
            <w:noWrap w:val="0"/>
            <w:vAlign w:val="top"/>
          </w:tcPr>
          <w:p>
            <w:pPr>
              <w:pStyle w:val="108"/>
              <w:pageBreakBefore w:val="0"/>
              <w:topLinePunct w:val="0"/>
              <w:bidi w:val="0"/>
              <w:outlineLvl w:val="9"/>
              <w:rPr>
                <w:rFonts w:ascii="Times New Roman"/>
                <w:sz w:val="18"/>
              </w:rPr>
            </w:pPr>
          </w:p>
        </w:tc>
        <w:tc>
          <w:tcPr>
            <w:tcW w:w="895" w:type="dxa"/>
            <w:noWrap w:val="0"/>
            <w:vAlign w:val="top"/>
          </w:tcPr>
          <w:p>
            <w:pPr>
              <w:pStyle w:val="108"/>
              <w:pageBreakBefore w:val="0"/>
              <w:topLinePunct w:val="0"/>
              <w:bidi w:val="0"/>
              <w:spacing w:before="131"/>
              <w:ind w:left="7"/>
              <w:outlineLvl w:val="9"/>
              <w:rPr>
                <w:sz w:val="18"/>
              </w:rPr>
            </w:pPr>
            <w:r>
              <w:rPr>
                <w:sz w:val="18"/>
              </w:rPr>
              <w:t>学号</w:t>
            </w:r>
          </w:p>
        </w:tc>
        <w:tc>
          <w:tcPr>
            <w:tcW w:w="1612" w:type="dxa"/>
            <w:gridSpan w:val="2"/>
            <w:noWrap w:val="0"/>
            <w:vAlign w:val="top"/>
          </w:tcPr>
          <w:p>
            <w:pPr>
              <w:pStyle w:val="108"/>
              <w:pageBreakBefore w:val="0"/>
              <w:topLinePunct w:val="0"/>
              <w:bidi w:val="0"/>
              <w:outlineLvl w:val="9"/>
              <w:rPr>
                <w:rFonts w:ascii="Times New Roman"/>
                <w:sz w:val="18"/>
              </w:rPr>
            </w:pPr>
          </w:p>
        </w:tc>
        <w:tc>
          <w:tcPr>
            <w:tcW w:w="895" w:type="dxa"/>
            <w:noWrap w:val="0"/>
            <w:vAlign w:val="top"/>
          </w:tcPr>
          <w:p>
            <w:pPr>
              <w:pStyle w:val="108"/>
              <w:pageBreakBefore w:val="0"/>
              <w:topLinePunct w:val="0"/>
              <w:bidi w:val="0"/>
              <w:spacing w:before="131"/>
              <w:ind w:left="176"/>
              <w:outlineLvl w:val="9"/>
              <w:rPr>
                <w:sz w:val="18"/>
              </w:rPr>
            </w:pPr>
            <w:r>
              <w:rPr>
                <w:sz w:val="18"/>
              </w:rPr>
              <w:t>手机号</w:t>
            </w:r>
          </w:p>
        </w:tc>
        <w:tc>
          <w:tcPr>
            <w:tcW w:w="2454" w:type="dxa"/>
            <w:gridSpan w:val="3"/>
            <w:noWrap w:val="0"/>
            <w:vAlign w:val="top"/>
          </w:tcPr>
          <w:p>
            <w:pPr>
              <w:pStyle w:val="108"/>
              <w:pageBreakBefore w:val="0"/>
              <w:topLinePunct w:val="0"/>
              <w:bidi w:val="0"/>
              <w:outlineLvl w:val="9"/>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9" w:hRule="atLeast"/>
        </w:trPr>
        <w:tc>
          <w:tcPr>
            <w:tcW w:w="833" w:type="dxa"/>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4"/>
              </w:rPr>
            </w:pPr>
          </w:p>
          <w:p>
            <w:pPr>
              <w:pStyle w:val="108"/>
              <w:pageBreakBefore w:val="0"/>
              <w:topLinePunct w:val="0"/>
              <w:bidi w:val="0"/>
              <w:spacing w:before="1" w:line="487" w:lineRule="auto"/>
              <w:ind w:left="54" w:right="41"/>
              <w:jc w:val="center"/>
              <w:outlineLvl w:val="9"/>
              <w:rPr>
                <w:sz w:val="18"/>
              </w:rPr>
            </w:pPr>
            <w:r>
              <w:rPr>
                <w:sz w:val="18"/>
              </w:rPr>
              <w:t>申请依据及申请学分数</w:t>
            </w:r>
          </w:p>
        </w:tc>
        <w:tc>
          <w:tcPr>
            <w:tcW w:w="3427" w:type="dxa"/>
            <w:gridSpan w:val="3"/>
            <w:tcBorders>
              <w:right w:val="nil"/>
            </w:tcBorders>
            <w:noWrap w:val="0"/>
            <w:vAlign w:val="top"/>
          </w:tcPr>
          <w:p>
            <w:pPr>
              <w:pStyle w:val="108"/>
              <w:pageBreakBefore w:val="0"/>
              <w:topLinePunct w:val="0"/>
              <w:bidi w:val="0"/>
              <w:spacing w:before="151"/>
              <w:ind w:left="6"/>
              <w:outlineLvl w:val="9"/>
              <w:rPr>
                <w:sz w:val="18"/>
              </w:rPr>
            </w:pPr>
            <w:r>
              <w:rPr>
                <w:sz w:val="18"/>
              </w:rPr>
              <w:t>申请依据：</w:t>
            </w: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8"/>
              <w:outlineLvl w:val="9"/>
              <w:rPr>
                <w:b/>
                <w:sz w:val="21"/>
              </w:rPr>
            </w:pPr>
          </w:p>
          <w:p>
            <w:pPr>
              <w:pStyle w:val="108"/>
              <w:pageBreakBefore w:val="0"/>
              <w:topLinePunct w:val="0"/>
              <w:bidi w:val="0"/>
              <w:spacing w:before="1"/>
              <w:ind w:left="6"/>
              <w:outlineLvl w:val="9"/>
              <w:rPr>
                <w:sz w:val="18"/>
              </w:rPr>
            </w:pPr>
            <w:r>
              <w:rPr>
                <w:sz w:val="18"/>
              </w:rPr>
              <w:t>申请学分数：</w:t>
            </w:r>
          </w:p>
        </w:tc>
        <w:tc>
          <w:tcPr>
            <w:tcW w:w="1606" w:type="dxa"/>
            <w:gridSpan w:val="2"/>
            <w:tcBorders>
              <w:left w:val="nil"/>
              <w:right w:val="nil"/>
            </w:tcBorders>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6"/>
              <w:outlineLvl w:val="9"/>
              <w:rPr>
                <w:b/>
                <w:sz w:val="16"/>
              </w:rPr>
            </w:pPr>
          </w:p>
          <w:p>
            <w:pPr>
              <w:pStyle w:val="108"/>
              <w:pageBreakBefore w:val="0"/>
              <w:topLinePunct w:val="0"/>
              <w:bidi w:val="0"/>
              <w:spacing w:before="1"/>
              <w:ind w:left="366"/>
              <w:outlineLvl w:val="9"/>
              <w:rPr>
                <w:sz w:val="18"/>
              </w:rPr>
            </w:pPr>
            <w:r>
              <w:rPr>
                <w:sz w:val="18"/>
              </w:rPr>
              <w:t>申请人签字：</w:t>
            </w:r>
          </w:p>
        </w:tc>
        <w:tc>
          <w:tcPr>
            <w:tcW w:w="1814" w:type="dxa"/>
            <w:tcBorders>
              <w:left w:val="nil"/>
              <w:right w:val="nil"/>
            </w:tcBorders>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7"/>
              </w:rPr>
            </w:pPr>
          </w:p>
          <w:p>
            <w:pPr>
              <w:pStyle w:val="108"/>
              <w:pageBreakBefore w:val="0"/>
              <w:topLinePunct w:val="0"/>
              <w:bidi w:val="0"/>
              <w:ind w:right="-15"/>
              <w:jc w:val="right"/>
              <w:outlineLvl w:val="9"/>
              <w:rPr>
                <w:rFonts w:hint="default" w:eastAsia="仿宋"/>
                <w:sz w:val="18"/>
                <w:lang w:val="en-US" w:eastAsia="zh-CN"/>
              </w:rPr>
            </w:pPr>
            <w:r>
              <w:rPr>
                <w:rFonts w:hint="eastAsia"/>
                <w:sz w:val="18"/>
                <w:lang w:val="en-US" w:eastAsia="zh-CN"/>
              </w:rPr>
              <w:t xml:space="preserve">    </w:t>
            </w:r>
            <w:r>
              <w:rPr>
                <w:sz w:val="18"/>
              </w:rPr>
              <w:t>年</w:t>
            </w:r>
            <w:r>
              <w:rPr>
                <w:rFonts w:hint="eastAsia"/>
                <w:sz w:val="18"/>
                <w:lang w:val="en-US" w:eastAsia="zh-CN"/>
              </w:rPr>
              <w:t xml:space="preserve">    月      日</w:t>
            </w:r>
          </w:p>
        </w:tc>
        <w:tc>
          <w:tcPr>
            <w:tcW w:w="360" w:type="dxa"/>
            <w:tcBorders>
              <w:left w:val="nil"/>
              <w:right w:val="nil"/>
            </w:tcBorders>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ind w:right="-15"/>
              <w:outlineLvl w:val="9"/>
              <w:rPr>
                <w:sz w:val="18"/>
              </w:rPr>
            </w:pPr>
          </w:p>
        </w:tc>
        <w:tc>
          <w:tcPr>
            <w:tcW w:w="280" w:type="dxa"/>
            <w:tcBorders>
              <w:left w:val="nil"/>
            </w:tcBorders>
            <w:noWrap w:val="0"/>
            <w:vAlign w:val="top"/>
          </w:tcPr>
          <w:p>
            <w:pPr>
              <w:pStyle w:val="108"/>
              <w:pageBreakBefore w:val="0"/>
              <w:topLinePunct w:val="0"/>
              <w:bidi w:val="0"/>
              <w:outlineLvl w:val="9"/>
              <w:rPr>
                <w:rFonts w:hint="default" w:ascii="Times New Roman" w:eastAsia="仿宋"/>
                <w:sz w:val="18"/>
                <w:lang w:val="en-US" w:eastAsia="zh-CN"/>
              </w:rPr>
            </w:pPr>
            <w:r>
              <w:rPr>
                <w:rFonts w:hint="eastAsia" w:ascii="Times New Roman"/>
                <w:sz w:val="18"/>
                <w:lang w:val="en-US" w:eastAsia="zh-CN"/>
              </w:rPr>
              <w:t xml:space="preserve">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08" w:hRule="atLeast"/>
        </w:trPr>
        <w:tc>
          <w:tcPr>
            <w:tcW w:w="833" w:type="dxa"/>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43" w:line="487" w:lineRule="auto"/>
              <w:ind w:left="234" w:right="130" w:hanging="89"/>
              <w:outlineLvl w:val="9"/>
              <w:rPr>
                <w:sz w:val="18"/>
              </w:rPr>
            </w:pPr>
            <w:r>
              <w:rPr>
                <w:sz w:val="18"/>
              </w:rPr>
              <w:t>审核组意见</w:t>
            </w:r>
          </w:p>
        </w:tc>
        <w:tc>
          <w:tcPr>
            <w:tcW w:w="3427" w:type="dxa"/>
            <w:gridSpan w:val="3"/>
            <w:tcBorders>
              <w:right w:val="nil"/>
            </w:tcBorders>
            <w:noWrap w:val="0"/>
            <w:vAlign w:val="top"/>
          </w:tcPr>
          <w:p>
            <w:pPr>
              <w:pStyle w:val="108"/>
              <w:pageBreakBefore w:val="0"/>
              <w:tabs>
                <w:tab w:val="left" w:pos="2346"/>
                <w:tab w:val="left" w:pos="2842"/>
              </w:tabs>
              <w:topLinePunct w:val="0"/>
              <w:bidi w:val="0"/>
              <w:spacing w:before="136" w:line="487" w:lineRule="auto"/>
              <w:ind w:left="6" w:right="532"/>
              <w:jc w:val="both"/>
              <w:outlineLvl w:val="9"/>
              <w:rPr>
                <w:sz w:val="18"/>
              </w:rPr>
            </w:pPr>
            <w:r>
              <w:rPr>
                <w:sz w:val="18"/>
              </w:rPr>
              <w:t>建议学生应获得</w:t>
            </w:r>
            <w:r>
              <w:rPr>
                <w:sz w:val="18"/>
                <w:u w:val="single"/>
              </w:rPr>
              <w:t xml:space="preserve"> </w:t>
            </w:r>
            <w:r>
              <w:rPr>
                <w:sz w:val="18"/>
                <w:u w:val="single"/>
              </w:rPr>
              <w:tab/>
            </w:r>
            <w:r>
              <w:rPr>
                <w:sz w:val="18"/>
              </w:rPr>
              <w:t>学分</w:t>
            </w:r>
            <w:r>
              <w:rPr>
                <w:spacing w:val="-19"/>
                <w:sz w:val="18"/>
              </w:rPr>
              <w:t>。</w:t>
            </w:r>
            <w:r>
              <w:rPr>
                <w:spacing w:val="-1"/>
                <w:sz w:val="18"/>
              </w:rPr>
              <w:t>建</w:t>
            </w:r>
            <w:r>
              <w:rPr>
                <w:sz w:val="18"/>
              </w:rPr>
              <w:t>议置换学分的课程</w:t>
            </w:r>
            <w:r>
              <w:rPr>
                <w:rFonts w:ascii="Times New Roman" w:eastAsia="Times New Roman"/>
                <w:sz w:val="18"/>
                <w:u w:val="single"/>
              </w:rPr>
              <w:t xml:space="preserve"> </w:t>
            </w:r>
            <w:r>
              <w:rPr>
                <w:rFonts w:ascii="Times New Roman" w:eastAsia="Times New Roman"/>
                <w:sz w:val="18"/>
                <w:u w:val="single"/>
              </w:rPr>
              <w:tab/>
            </w:r>
            <w:r>
              <w:rPr>
                <w:rFonts w:ascii="Times New Roman" w:eastAsia="Times New Roman"/>
                <w:sz w:val="18"/>
                <w:u w:val="single"/>
              </w:rPr>
              <w:tab/>
            </w:r>
            <w:r>
              <w:rPr>
                <w:rFonts w:ascii="Times New Roman" w:eastAsia="Times New Roman"/>
                <w:sz w:val="18"/>
                <w:u w:val="single"/>
              </w:rPr>
              <w:t xml:space="preserve"> </w:t>
            </w:r>
            <w:r>
              <w:rPr>
                <w:sz w:val="18"/>
              </w:rPr>
              <w:t>审核组成员签字：</w:t>
            </w:r>
          </w:p>
        </w:tc>
        <w:tc>
          <w:tcPr>
            <w:tcW w:w="1606" w:type="dxa"/>
            <w:gridSpan w:val="2"/>
            <w:tcBorders>
              <w:left w:val="nil"/>
              <w:right w:val="nil"/>
            </w:tcBorders>
            <w:noWrap w:val="0"/>
            <w:vAlign w:val="top"/>
          </w:tcPr>
          <w:p>
            <w:pPr>
              <w:pStyle w:val="108"/>
              <w:pageBreakBefore w:val="0"/>
              <w:topLinePunct w:val="0"/>
              <w:bidi w:val="0"/>
              <w:outlineLvl w:val="9"/>
              <w:rPr>
                <w:rFonts w:ascii="Times New Roman"/>
                <w:sz w:val="18"/>
              </w:rPr>
            </w:pPr>
          </w:p>
        </w:tc>
        <w:tc>
          <w:tcPr>
            <w:tcW w:w="1814" w:type="dxa"/>
            <w:tcBorders>
              <w:left w:val="nil"/>
              <w:right w:val="nil"/>
            </w:tcBorders>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56"/>
              <w:ind w:right="172"/>
              <w:jc w:val="right"/>
              <w:outlineLvl w:val="9"/>
              <w:rPr>
                <w:sz w:val="18"/>
              </w:rPr>
            </w:pPr>
            <w:r>
              <w:rPr>
                <w:sz w:val="18"/>
              </w:rPr>
              <w:t>年</w:t>
            </w:r>
          </w:p>
        </w:tc>
        <w:tc>
          <w:tcPr>
            <w:tcW w:w="360" w:type="dxa"/>
            <w:tcBorders>
              <w:left w:val="nil"/>
              <w:right w:val="nil"/>
            </w:tcBorders>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56"/>
              <w:ind w:left="6"/>
              <w:outlineLvl w:val="9"/>
              <w:rPr>
                <w:sz w:val="18"/>
              </w:rPr>
            </w:pPr>
            <w:r>
              <w:rPr>
                <w:sz w:val="18"/>
              </w:rPr>
              <w:t>月</w:t>
            </w:r>
          </w:p>
        </w:tc>
        <w:tc>
          <w:tcPr>
            <w:tcW w:w="280" w:type="dxa"/>
            <w:tcBorders>
              <w:left w:val="nil"/>
            </w:tcBorders>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56"/>
              <w:ind w:left="6"/>
              <w:outlineLvl w:val="9"/>
              <w:rPr>
                <w:sz w:val="18"/>
              </w:rPr>
            </w:pPr>
            <w:r>
              <w:rPr>
                <w:sz w:val="18"/>
              </w:rPr>
              <w:t>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2" w:hRule="atLeast"/>
        </w:trPr>
        <w:tc>
          <w:tcPr>
            <w:tcW w:w="833" w:type="dxa"/>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10"/>
              <w:outlineLvl w:val="9"/>
              <w:rPr>
                <w:b/>
                <w:sz w:val="12"/>
              </w:rPr>
            </w:pPr>
          </w:p>
          <w:p>
            <w:pPr>
              <w:pStyle w:val="108"/>
              <w:pageBreakBefore w:val="0"/>
              <w:topLinePunct w:val="0"/>
              <w:bidi w:val="0"/>
              <w:spacing w:line="487" w:lineRule="auto"/>
              <w:ind w:left="234" w:right="221"/>
              <w:outlineLvl w:val="9"/>
              <w:rPr>
                <w:sz w:val="18"/>
              </w:rPr>
            </w:pPr>
            <w:r>
              <w:rPr>
                <w:sz w:val="18"/>
              </w:rPr>
              <w:t>学院意见</w:t>
            </w:r>
          </w:p>
        </w:tc>
        <w:tc>
          <w:tcPr>
            <w:tcW w:w="3427" w:type="dxa"/>
            <w:gridSpan w:val="3"/>
            <w:tcBorders>
              <w:right w:val="nil"/>
            </w:tcBorders>
            <w:noWrap w:val="0"/>
            <w:vAlign w:val="top"/>
          </w:tcPr>
          <w:p>
            <w:pPr>
              <w:pStyle w:val="108"/>
              <w:pageBreakBefore w:val="0"/>
              <w:topLinePunct w:val="0"/>
              <w:bidi w:val="0"/>
              <w:outlineLvl w:val="9"/>
              <w:rPr>
                <w:b/>
                <w:sz w:val="20"/>
              </w:rPr>
            </w:pPr>
          </w:p>
          <w:p>
            <w:pPr>
              <w:pStyle w:val="108"/>
              <w:pageBreakBefore w:val="0"/>
              <w:tabs>
                <w:tab w:val="left" w:pos="2526"/>
              </w:tabs>
              <w:topLinePunct w:val="0"/>
              <w:bidi w:val="0"/>
              <w:spacing w:before="129"/>
              <w:ind w:left="6"/>
              <w:outlineLvl w:val="9"/>
              <w:rPr>
                <w:sz w:val="18"/>
              </w:rPr>
            </w:pPr>
            <w:r>
              <w:rPr>
                <w:sz w:val="18"/>
              </w:rPr>
              <w:t>确认学生实际获得</w:t>
            </w:r>
            <w:r>
              <w:rPr>
                <w:sz w:val="18"/>
                <w:u w:val="single"/>
              </w:rPr>
              <w:t xml:space="preserve"> </w:t>
            </w:r>
            <w:r>
              <w:rPr>
                <w:sz w:val="18"/>
                <w:u w:val="single"/>
              </w:rPr>
              <w:tab/>
            </w:r>
            <w:r>
              <w:rPr>
                <w:sz w:val="18"/>
              </w:rPr>
              <w:t>学分。</w:t>
            </w:r>
          </w:p>
          <w:p>
            <w:pPr>
              <w:pStyle w:val="108"/>
              <w:pageBreakBefore w:val="0"/>
              <w:topLinePunct w:val="0"/>
              <w:bidi w:val="0"/>
              <w:outlineLvl w:val="9"/>
              <w:rPr>
                <w:b/>
                <w:sz w:val="20"/>
              </w:rPr>
            </w:pPr>
          </w:p>
          <w:p>
            <w:pPr>
              <w:pStyle w:val="108"/>
              <w:pageBreakBefore w:val="0"/>
              <w:topLinePunct w:val="0"/>
              <w:bidi w:val="0"/>
              <w:outlineLvl w:val="9"/>
              <w:rPr>
                <w:b/>
                <w:sz w:val="20"/>
              </w:rPr>
            </w:pPr>
          </w:p>
          <w:p>
            <w:pPr>
              <w:pStyle w:val="108"/>
              <w:pageBreakBefore w:val="0"/>
              <w:topLinePunct w:val="0"/>
              <w:bidi w:val="0"/>
              <w:outlineLvl w:val="9"/>
              <w:rPr>
                <w:b/>
                <w:sz w:val="15"/>
              </w:rPr>
            </w:pPr>
          </w:p>
          <w:p>
            <w:pPr>
              <w:pStyle w:val="108"/>
              <w:pageBreakBefore w:val="0"/>
              <w:topLinePunct w:val="0"/>
              <w:bidi w:val="0"/>
              <w:spacing w:before="1"/>
              <w:ind w:left="6"/>
              <w:outlineLvl w:val="9"/>
              <w:rPr>
                <w:sz w:val="18"/>
              </w:rPr>
            </w:pPr>
            <w:r>
              <w:rPr>
                <w:sz w:val="18"/>
              </w:rPr>
              <w:t>负责人签字：</w:t>
            </w:r>
          </w:p>
          <w:p>
            <w:pPr>
              <w:pStyle w:val="108"/>
              <w:pageBreakBefore w:val="0"/>
              <w:topLinePunct w:val="0"/>
              <w:bidi w:val="0"/>
              <w:spacing w:before="6"/>
              <w:outlineLvl w:val="9"/>
              <w:rPr>
                <w:b/>
                <w:sz w:val="18"/>
              </w:rPr>
            </w:pPr>
          </w:p>
          <w:p>
            <w:pPr>
              <w:pStyle w:val="108"/>
              <w:pageBreakBefore w:val="0"/>
              <w:topLinePunct w:val="0"/>
              <w:bidi w:val="0"/>
              <w:ind w:left="6"/>
              <w:outlineLvl w:val="9"/>
              <w:rPr>
                <w:sz w:val="18"/>
              </w:rPr>
            </w:pPr>
            <w:r>
              <w:rPr>
                <w:sz w:val="18"/>
              </w:rPr>
              <w:t>（公章）</w:t>
            </w:r>
          </w:p>
        </w:tc>
        <w:tc>
          <w:tcPr>
            <w:tcW w:w="1606" w:type="dxa"/>
            <w:gridSpan w:val="2"/>
            <w:tcBorders>
              <w:left w:val="nil"/>
              <w:right w:val="nil"/>
            </w:tcBorders>
            <w:noWrap w:val="0"/>
            <w:vAlign w:val="top"/>
          </w:tcPr>
          <w:p>
            <w:pPr>
              <w:pStyle w:val="108"/>
              <w:pageBreakBefore w:val="0"/>
              <w:topLinePunct w:val="0"/>
              <w:bidi w:val="0"/>
              <w:outlineLvl w:val="9"/>
              <w:rPr>
                <w:rFonts w:ascii="Times New Roman"/>
                <w:sz w:val="18"/>
              </w:rPr>
            </w:pPr>
          </w:p>
        </w:tc>
        <w:tc>
          <w:tcPr>
            <w:tcW w:w="1814" w:type="dxa"/>
            <w:tcBorders>
              <w:left w:val="nil"/>
              <w:right w:val="nil"/>
            </w:tcBorders>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2"/>
              <w:outlineLvl w:val="9"/>
              <w:rPr>
                <w:b/>
                <w:sz w:val="14"/>
              </w:rPr>
            </w:pPr>
          </w:p>
          <w:p>
            <w:pPr>
              <w:pStyle w:val="108"/>
              <w:pageBreakBefore w:val="0"/>
              <w:topLinePunct w:val="0"/>
              <w:bidi w:val="0"/>
              <w:ind w:right="79"/>
              <w:jc w:val="right"/>
              <w:outlineLvl w:val="9"/>
              <w:rPr>
                <w:sz w:val="18"/>
              </w:rPr>
            </w:pPr>
            <w:r>
              <w:rPr>
                <w:sz w:val="18"/>
              </w:rPr>
              <w:t>年</w:t>
            </w:r>
          </w:p>
        </w:tc>
        <w:tc>
          <w:tcPr>
            <w:tcW w:w="360" w:type="dxa"/>
            <w:tcBorders>
              <w:left w:val="nil"/>
              <w:right w:val="nil"/>
            </w:tcBorders>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2"/>
              <w:outlineLvl w:val="9"/>
              <w:rPr>
                <w:b/>
                <w:sz w:val="14"/>
              </w:rPr>
            </w:pPr>
          </w:p>
          <w:p>
            <w:pPr>
              <w:pStyle w:val="108"/>
              <w:pageBreakBefore w:val="0"/>
              <w:topLinePunct w:val="0"/>
              <w:bidi w:val="0"/>
              <w:ind w:left="98"/>
              <w:outlineLvl w:val="9"/>
              <w:rPr>
                <w:sz w:val="18"/>
              </w:rPr>
            </w:pPr>
            <w:r>
              <w:rPr>
                <w:sz w:val="18"/>
              </w:rPr>
              <w:t>月</w:t>
            </w:r>
          </w:p>
        </w:tc>
        <w:tc>
          <w:tcPr>
            <w:tcW w:w="280" w:type="dxa"/>
            <w:tcBorders>
              <w:left w:val="nil"/>
            </w:tcBorders>
            <w:noWrap w:val="0"/>
            <w:vAlign w:val="top"/>
          </w:tcPr>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outlineLvl w:val="9"/>
              <w:rPr>
                <w:b/>
                <w:sz w:val="18"/>
              </w:rPr>
            </w:pPr>
          </w:p>
          <w:p>
            <w:pPr>
              <w:pStyle w:val="108"/>
              <w:pageBreakBefore w:val="0"/>
              <w:topLinePunct w:val="0"/>
              <w:bidi w:val="0"/>
              <w:spacing w:before="2"/>
              <w:outlineLvl w:val="9"/>
              <w:rPr>
                <w:b/>
                <w:sz w:val="14"/>
              </w:rPr>
            </w:pPr>
          </w:p>
          <w:p>
            <w:pPr>
              <w:pStyle w:val="108"/>
              <w:pageBreakBefore w:val="0"/>
              <w:topLinePunct w:val="0"/>
              <w:bidi w:val="0"/>
              <w:ind w:left="98" w:right="-15"/>
              <w:outlineLvl w:val="9"/>
              <w:rPr>
                <w:sz w:val="18"/>
              </w:rPr>
            </w:pPr>
            <w:r>
              <w:rPr>
                <w:sz w:val="18"/>
              </w:rPr>
              <w:t>日</w:t>
            </w:r>
          </w:p>
        </w:tc>
      </w:tr>
    </w:tbl>
    <w:p>
      <w:pPr>
        <w:pageBreakBefore w:val="0"/>
        <w:topLinePunct w:val="0"/>
        <w:bidi w:val="0"/>
        <w:spacing w:before="125" w:line="372" w:lineRule="auto"/>
        <w:ind w:left="220" w:right="242" w:firstLine="0"/>
        <w:jc w:val="left"/>
        <w:outlineLvl w:val="9"/>
        <w:rPr>
          <w:sz w:val="18"/>
        </w:rPr>
      </w:pPr>
      <w:r>
        <w:rPr>
          <w:sz w:val="18"/>
        </w:rPr>
        <w:t>备注：1.其中“申请依据”按照“上海电子信息职业技术学院创新创业实践学分设置标准”项目填写；2. 学生申请创新创业实践学分时，须同时提交相关支撑材料；3.审核意见确定后，本表由学院存档备案。</w:t>
      </w: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left"/>
        <w:textAlignment w:val="auto"/>
        <w:outlineLvl w:val="9"/>
        <w:rPr>
          <w:b/>
          <w:bCs/>
          <w:sz w:val="30"/>
          <w:szCs w:val="30"/>
        </w:rPr>
      </w:pPr>
      <w:r>
        <w:rPr>
          <w:b/>
          <w:bCs/>
          <w:sz w:val="30"/>
          <w:szCs w:val="30"/>
        </w:rPr>
        <w:t>附件 3</w:t>
      </w:r>
    </w:p>
    <w:p>
      <w:pPr>
        <w:keepNext w:val="0"/>
        <w:keepLines w:val="0"/>
        <w:pageBreakBefore w:val="0"/>
        <w:widowControl w:val="0"/>
        <w:kinsoku w:val="0"/>
        <w:wordWrap/>
        <w:overflowPunct w:val="0"/>
        <w:topLinePunct w:val="0"/>
        <w:autoSpaceDE w:val="0"/>
        <w:autoSpaceDN w:val="0"/>
        <w:bidi w:val="0"/>
        <w:adjustRightInd w:val="0"/>
        <w:snapToGrid w:val="0"/>
        <w:spacing w:before="0" w:after="0" w:line="416" w:lineRule="auto"/>
        <w:jc w:val="center"/>
        <w:textAlignment w:val="auto"/>
        <w:outlineLvl w:val="9"/>
        <w:rPr>
          <w:b/>
          <w:sz w:val="28"/>
        </w:rPr>
      </w:pPr>
      <w:r>
        <w:rPr>
          <w:b/>
          <w:bCs/>
          <w:sz w:val="30"/>
          <w:szCs w:val="30"/>
        </w:rPr>
        <w:t>上海电子信息职业技术学院创新创业实践学分汇总表</w:t>
      </w:r>
    </w:p>
    <w:tbl>
      <w:tblPr>
        <w:tblStyle w:val="37"/>
        <w:tblW w:w="0" w:type="auto"/>
        <w:tblInd w:w="2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6"/>
        <w:gridCol w:w="1010"/>
        <w:gridCol w:w="928"/>
        <w:gridCol w:w="924"/>
        <w:gridCol w:w="1233"/>
        <w:gridCol w:w="1232"/>
        <w:gridCol w:w="1359"/>
        <w:gridCol w:w="8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826" w:type="dxa"/>
            <w:noWrap w:val="0"/>
            <w:vAlign w:val="top"/>
          </w:tcPr>
          <w:p>
            <w:pPr>
              <w:pStyle w:val="108"/>
              <w:pageBreakBefore w:val="0"/>
              <w:topLinePunct w:val="0"/>
              <w:bidi w:val="0"/>
              <w:outlineLvl w:val="9"/>
              <w:rPr>
                <w:b/>
                <w:sz w:val="18"/>
              </w:rPr>
            </w:pPr>
          </w:p>
          <w:p>
            <w:pPr>
              <w:pStyle w:val="108"/>
              <w:pageBreakBefore w:val="0"/>
              <w:topLinePunct w:val="0"/>
              <w:bidi w:val="0"/>
              <w:spacing w:before="121"/>
              <w:ind w:left="52"/>
              <w:outlineLvl w:val="9"/>
              <w:rPr>
                <w:b/>
                <w:sz w:val="18"/>
              </w:rPr>
            </w:pPr>
            <w:r>
              <w:rPr>
                <w:b/>
                <w:sz w:val="18"/>
              </w:rPr>
              <w:t>学生姓名</w:t>
            </w:r>
          </w:p>
        </w:tc>
        <w:tc>
          <w:tcPr>
            <w:tcW w:w="1010" w:type="dxa"/>
            <w:noWrap w:val="0"/>
            <w:vAlign w:val="top"/>
          </w:tcPr>
          <w:p>
            <w:pPr>
              <w:pStyle w:val="108"/>
              <w:pageBreakBefore w:val="0"/>
              <w:topLinePunct w:val="0"/>
              <w:bidi w:val="0"/>
              <w:outlineLvl w:val="9"/>
              <w:rPr>
                <w:b/>
                <w:sz w:val="18"/>
              </w:rPr>
            </w:pPr>
          </w:p>
          <w:p>
            <w:pPr>
              <w:pStyle w:val="108"/>
              <w:pageBreakBefore w:val="0"/>
              <w:topLinePunct w:val="0"/>
              <w:bidi w:val="0"/>
              <w:spacing w:before="121"/>
              <w:ind w:left="325"/>
              <w:outlineLvl w:val="9"/>
              <w:rPr>
                <w:b/>
                <w:sz w:val="18"/>
              </w:rPr>
            </w:pPr>
            <w:r>
              <w:rPr>
                <w:b/>
                <w:sz w:val="18"/>
              </w:rPr>
              <w:t>学号</w:t>
            </w:r>
          </w:p>
        </w:tc>
        <w:tc>
          <w:tcPr>
            <w:tcW w:w="928" w:type="dxa"/>
            <w:noWrap w:val="0"/>
            <w:vAlign w:val="top"/>
          </w:tcPr>
          <w:p>
            <w:pPr>
              <w:pStyle w:val="108"/>
              <w:pageBreakBefore w:val="0"/>
              <w:topLinePunct w:val="0"/>
              <w:bidi w:val="0"/>
              <w:outlineLvl w:val="9"/>
              <w:rPr>
                <w:b/>
                <w:sz w:val="18"/>
              </w:rPr>
            </w:pPr>
          </w:p>
          <w:p>
            <w:pPr>
              <w:pStyle w:val="108"/>
              <w:pageBreakBefore w:val="0"/>
              <w:topLinePunct w:val="0"/>
              <w:bidi w:val="0"/>
              <w:spacing w:before="121"/>
              <w:ind w:left="282"/>
              <w:outlineLvl w:val="9"/>
              <w:rPr>
                <w:b/>
                <w:sz w:val="18"/>
              </w:rPr>
            </w:pPr>
            <w:r>
              <w:rPr>
                <w:b/>
                <w:sz w:val="18"/>
              </w:rPr>
              <w:t>专业</w:t>
            </w:r>
          </w:p>
        </w:tc>
        <w:tc>
          <w:tcPr>
            <w:tcW w:w="924" w:type="dxa"/>
            <w:noWrap w:val="0"/>
            <w:vAlign w:val="top"/>
          </w:tcPr>
          <w:p>
            <w:pPr>
              <w:pStyle w:val="108"/>
              <w:pageBreakBefore w:val="0"/>
              <w:topLinePunct w:val="0"/>
              <w:bidi w:val="0"/>
              <w:outlineLvl w:val="9"/>
              <w:rPr>
                <w:b/>
                <w:sz w:val="18"/>
              </w:rPr>
            </w:pPr>
          </w:p>
          <w:p>
            <w:pPr>
              <w:pStyle w:val="108"/>
              <w:pageBreakBefore w:val="0"/>
              <w:topLinePunct w:val="0"/>
              <w:bidi w:val="0"/>
              <w:spacing w:before="121"/>
              <w:ind w:left="281"/>
              <w:outlineLvl w:val="9"/>
              <w:rPr>
                <w:b/>
                <w:sz w:val="18"/>
              </w:rPr>
            </w:pPr>
            <w:r>
              <w:rPr>
                <w:b/>
                <w:sz w:val="18"/>
              </w:rPr>
              <w:t>年级</w:t>
            </w:r>
          </w:p>
        </w:tc>
        <w:tc>
          <w:tcPr>
            <w:tcW w:w="1233" w:type="dxa"/>
            <w:noWrap w:val="0"/>
            <w:vAlign w:val="top"/>
          </w:tcPr>
          <w:p>
            <w:pPr>
              <w:pStyle w:val="108"/>
              <w:pageBreakBefore w:val="0"/>
              <w:topLinePunct w:val="0"/>
              <w:bidi w:val="0"/>
              <w:spacing w:before="119"/>
              <w:ind w:left="53" w:right="40"/>
              <w:jc w:val="center"/>
              <w:outlineLvl w:val="9"/>
              <w:rPr>
                <w:b/>
                <w:sz w:val="18"/>
              </w:rPr>
            </w:pPr>
            <w:r>
              <w:rPr>
                <w:b/>
                <w:sz w:val="18"/>
              </w:rPr>
              <w:t>创新创业实践</w:t>
            </w:r>
          </w:p>
          <w:p>
            <w:pPr>
              <w:pStyle w:val="108"/>
              <w:pageBreakBefore w:val="0"/>
              <w:topLinePunct w:val="0"/>
              <w:bidi w:val="0"/>
              <w:spacing w:before="7"/>
              <w:outlineLvl w:val="9"/>
              <w:rPr>
                <w:b/>
                <w:sz w:val="18"/>
              </w:rPr>
            </w:pPr>
          </w:p>
          <w:p>
            <w:pPr>
              <w:pStyle w:val="108"/>
              <w:pageBreakBefore w:val="0"/>
              <w:topLinePunct w:val="0"/>
              <w:bidi w:val="0"/>
              <w:ind w:left="51" w:right="40"/>
              <w:jc w:val="center"/>
              <w:outlineLvl w:val="9"/>
              <w:rPr>
                <w:b/>
                <w:sz w:val="18"/>
              </w:rPr>
            </w:pPr>
            <w:r>
              <w:rPr>
                <w:b/>
                <w:sz w:val="18"/>
              </w:rPr>
              <w:t>学分</w:t>
            </w:r>
          </w:p>
        </w:tc>
        <w:tc>
          <w:tcPr>
            <w:tcW w:w="1232" w:type="dxa"/>
            <w:noWrap w:val="0"/>
            <w:vAlign w:val="top"/>
          </w:tcPr>
          <w:p>
            <w:pPr>
              <w:pStyle w:val="108"/>
              <w:pageBreakBefore w:val="0"/>
              <w:topLinePunct w:val="0"/>
              <w:bidi w:val="0"/>
              <w:spacing w:before="119"/>
              <w:ind w:left="55" w:right="37"/>
              <w:jc w:val="center"/>
              <w:outlineLvl w:val="9"/>
              <w:rPr>
                <w:b/>
                <w:sz w:val="18"/>
              </w:rPr>
            </w:pPr>
            <w:r>
              <w:rPr>
                <w:b/>
                <w:sz w:val="18"/>
              </w:rPr>
              <w:t>置换课程名称</w:t>
            </w:r>
          </w:p>
          <w:p>
            <w:pPr>
              <w:pStyle w:val="108"/>
              <w:pageBreakBefore w:val="0"/>
              <w:topLinePunct w:val="0"/>
              <w:bidi w:val="0"/>
              <w:spacing w:before="7"/>
              <w:outlineLvl w:val="9"/>
              <w:rPr>
                <w:b/>
                <w:sz w:val="18"/>
              </w:rPr>
            </w:pPr>
          </w:p>
          <w:p>
            <w:pPr>
              <w:pStyle w:val="108"/>
              <w:pageBreakBefore w:val="0"/>
              <w:topLinePunct w:val="0"/>
              <w:bidi w:val="0"/>
              <w:ind w:left="53" w:right="37"/>
              <w:jc w:val="center"/>
              <w:outlineLvl w:val="9"/>
              <w:rPr>
                <w:b/>
                <w:sz w:val="18"/>
              </w:rPr>
            </w:pPr>
            <w:r>
              <w:rPr>
                <w:b/>
                <w:sz w:val="18"/>
              </w:rPr>
              <w:t>及分数</w:t>
            </w:r>
          </w:p>
        </w:tc>
        <w:tc>
          <w:tcPr>
            <w:tcW w:w="1359" w:type="dxa"/>
            <w:noWrap w:val="0"/>
            <w:vAlign w:val="top"/>
          </w:tcPr>
          <w:p>
            <w:pPr>
              <w:pStyle w:val="108"/>
              <w:pageBreakBefore w:val="0"/>
              <w:topLinePunct w:val="0"/>
              <w:bidi w:val="0"/>
              <w:spacing w:before="119"/>
              <w:ind w:left="187"/>
              <w:outlineLvl w:val="9"/>
              <w:rPr>
                <w:b/>
                <w:sz w:val="18"/>
              </w:rPr>
            </w:pPr>
            <w:r>
              <w:rPr>
                <w:b/>
                <w:w w:val="95"/>
                <w:sz w:val="18"/>
              </w:rPr>
              <w:t>支撑材料</w:t>
            </w:r>
          </w:p>
          <w:p>
            <w:pPr>
              <w:pStyle w:val="108"/>
              <w:pageBreakBefore w:val="0"/>
              <w:topLinePunct w:val="0"/>
              <w:bidi w:val="0"/>
              <w:spacing w:before="7"/>
              <w:outlineLvl w:val="9"/>
              <w:rPr>
                <w:b/>
                <w:sz w:val="18"/>
              </w:rPr>
            </w:pPr>
          </w:p>
          <w:p>
            <w:pPr>
              <w:pStyle w:val="108"/>
              <w:pageBreakBefore w:val="0"/>
              <w:topLinePunct w:val="0"/>
              <w:bidi w:val="0"/>
              <w:ind w:left="187"/>
              <w:outlineLvl w:val="9"/>
              <w:rPr>
                <w:b/>
                <w:sz w:val="18"/>
              </w:rPr>
            </w:pPr>
            <w:r>
              <w:rPr>
                <w:b/>
                <w:w w:val="95"/>
                <w:sz w:val="18"/>
              </w:rPr>
              <w:t>存档编号</w:t>
            </w:r>
          </w:p>
        </w:tc>
        <w:tc>
          <w:tcPr>
            <w:tcW w:w="828" w:type="dxa"/>
            <w:noWrap w:val="0"/>
            <w:vAlign w:val="top"/>
          </w:tcPr>
          <w:p>
            <w:pPr>
              <w:pStyle w:val="108"/>
              <w:pageBreakBefore w:val="0"/>
              <w:topLinePunct w:val="0"/>
              <w:bidi w:val="0"/>
              <w:outlineLvl w:val="9"/>
              <w:rPr>
                <w:b/>
                <w:sz w:val="18"/>
              </w:rPr>
            </w:pPr>
          </w:p>
          <w:p>
            <w:pPr>
              <w:pStyle w:val="108"/>
              <w:pageBreakBefore w:val="0"/>
              <w:topLinePunct w:val="0"/>
              <w:bidi w:val="0"/>
              <w:spacing w:before="121"/>
              <w:ind w:left="54"/>
              <w:outlineLvl w:val="9"/>
              <w:rPr>
                <w:b/>
                <w:sz w:val="18"/>
              </w:rPr>
            </w:pPr>
            <w:r>
              <w:rPr>
                <w:b/>
                <w:sz w:val="18"/>
              </w:rPr>
              <w:t>认定时间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826" w:type="dxa"/>
            <w:noWrap w:val="0"/>
            <w:vAlign w:val="top"/>
          </w:tcPr>
          <w:p>
            <w:pPr>
              <w:pStyle w:val="108"/>
              <w:pageBreakBefore w:val="0"/>
              <w:topLinePunct w:val="0"/>
              <w:bidi w:val="0"/>
              <w:outlineLvl w:val="9"/>
              <w:rPr>
                <w:rFonts w:ascii="Times New Roman"/>
                <w:sz w:val="18"/>
              </w:rPr>
            </w:pPr>
          </w:p>
        </w:tc>
        <w:tc>
          <w:tcPr>
            <w:tcW w:w="1010" w:type="dxa"/>
            <w:noWrap w:val="0"/>
            <w:vAlign w:val="top"/>
          </w:tcPr>
          <w:p>
            <w:pPr>
              <w:pStyle w:val="108"/>
              <w:pageBreakBefore w:val="0"/>
              <w:topLinePunct w:val="0"/>
              <w:bidi w:val="0"/>
              <w:outlineLvl w:val="9"/>
              <w:rPr>
                <w:rFonts w:ascii="Times New Roman"/>
                <w:sz w:val="18"/>
              </w:rPr>
            </w:pPr>
          </w:p>
        </w:tc>
        <w:tc>
          <w:tcPr>
            <w:tcW w:w="928" w:type="dxa"/>
            <w:noWrap w:val="0"/>
            <w:vAlign w:val="top"/>
          </w:tcPr>
          <w:p>
            <w:pPr>
              <w:pStyle w:val="108"/>
              <w:pageBreakBefore w:val="0"/>
              <w:topLinePunct w:val="0"/>
              <w:bidi w:val="0"/>
              <w:outlineLvl w:val="9"/>
              <w:rPr>
                <w:rFonts w:ascii="Times New Roman"/>
                <w:sz w:val="18"/>
              </w:rPr>
            </w:pPr>
          </w:p>
        </w:tc>
        <w:tc>
          <w:tcPr>
            <w:tcW w:w="924" w:type="dxa"/>
            <w:noWrap w:val="0"/>
            <w:vAlign w:val="top"/>
          </w:tcPr>
          <w:p>
            <w:pPr>
              <w:pStyle w:val="108"/>
              <w:pageBreakBefore w:val="0"/>
              <w:topLinePunct w:val="0"/>
              <w:bidi w:val="0"/>
              <w:outlineLvl w:val="9"/>
              <w:rPr>
                <w:rFonts w:ascii="Times New Roman"/>
                <w:sz w:val="18"/>
              </w:rPr>
            </w:pPr>
          </w:p>
        </w:tc>
        <w:tc>
          <w:tcPr>
            <w:tcW w:w="1233" w:type="dxa"/>
            <w:noWrap w:val="0"/>
            <w:vAlign w:val="top"/>
          </w:tcPr>
          <w:p>
            <w:pPr>
              <w:pStyle w:val="108"/>
              <w:pageBreakBefore w:val="0"/>
              <w:topLinePunct w:val="0"/>
              <w:bidi w:val="0"/>
              <w:outlineLvl w:val="9"/>
              <w:rPr>
                <w:rFonts w:ascii="Times New Roman"/>
                <w:sz w:val="18"/>
              </w:rPr>
            </w:pPr>
          </w:p>
        </w:tc>
        <w:tc>
          <w:tcPr>
            <w:tcW w:w="1232" w:type="dxa"/>
            <w:noWrap w:val="0"/>
            <w:vAlign w:val="top"/>
          </w:tcPr>
          <w:p>
            <w:pPr>
              <w:pStyle w:val="108"/>
              <w:pageBreakBefore w:val="0"/>
              <w:topLinePunct w:val="0"/>
              <w:bidi w:val="0"/>
              <w:outlineLvl w:val="9"/>
              <w:rPr>
                <w:rFonts w:ascii="Times New Roman"/>
                <w:sz w:val="18"/>
              </w:rPr>
            </w:pPr>
          </w:p>
        </w:tc>
        <w:tc>
          <w:tcPr>
            <w:tcW w:w="1359" w:type="dxa"/>
            <w:noWrap w:val="0"/>
            <w:vAlign w:val="top"/>
          </w:tcPr>
          <w:p>
            <w:pPr>
              <w:pStyle w:val="108"/>
              <w:pageBreakBefore w:val="0"/>
              <w:topLinePunct w:val="0"/>
              <w:bidi w:val="0"/>
              <w:outlineLvl w:val="9"/>
              <w:rPr>
                <w:rFonts w:ascii="Times New Roman"/>
                <w:sz w:val="18"/>
              </w:rPr>
            </w:pPr>
          </w:p>
        </w:tc>
        <w:tc>
          <w:tcPr>
            <w:tcW w:w="828" w:type="dxa"/>
            <w:noWrap w:val="0"/>
            <w:vAlign w:val="top"/>
          </w:tcPr>
          <w:p>
            <w:pPr>
              <w:pStyle w:val="108"/>
              <w:pageBreakBefore w:val="0"/>
              <w:topLinePunct w:val="0"/>
              <w:bidi w:val="0"/>
              <w:outlineLvl w:val="9"/>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826" w:type="dxa"/>
            <w:noWrap w:val="0"/>
            <w:vAlign w:val="top"/>
          </w:tcPr>
          <w:p>
            <w:pPr>
              <w:pStyle w:val="108"/>
              <w:pageBreakBefore w:val="0"/>
              <w:topLinePunct w:val="0"/>
              <w:bidi w:val="0"/>
              <w:outlineLvl w:val="9"/>
              <w:rPr>
                <w:rFonts w:ascii="Times New Roman"/>
                <w:sz w:val="18"/>
              </w:rPr>
            </w:pPr>
          </w:p>
        </w:tc>
        <w:tc>
          <w:tcPr>
            <w:tcW w:w="1010" w:type="dxa"/>
            <w:noWrap w:val="0"/>
            <w:vAlign w:val="top"/>
          </w:tcPr>
          <w:p>
            <w:pPr>
              <w:pStyle w:val="108"/>
              <w:pageBreakBefore w:val="0"/>
              <w:topLinePunct w:val="0"/>
              <w:bidi w:val="0"/>
              <w:outlineLvl w:val="9"/>
              <w:rPr>
                <w:rFonts w:ascii="Times New Roman"/>
                <w:sz w:val="18"/>
              </w:rPr>
            </w:pPr>
          </w:p>
        </w:tc>
        <w:tc>
          <w:tcPr>
            <w:tcW w:w="928" w:type="dxa"/>
            <w:noWrap w:val="0"/>
            <w:vAlign w:val="top"/>
          </w:tcPr>
          <w:p>
            <w:pPr>
              <w:pStyle w:val="108"/>
              <w:pageBreakBefore w:val="0"/>
              <w:topLinePunct w:val="0"/>
              <w:bidi w:val="0"/>
              <w:outlineLvl w:val="9"/>
              <w:rPr>
                <w:rFonts w:ascii="Times New Roman"/>
                <w:sz w:val="18"/>
              </w:rPr>
            </w:pPr>
          </w:p>
        </w:tc>
        <w:tc>
          <w:tcPr>
            <w:tcW w:w="924" w:type="dxa"/>
            <w:noWrap w:val="0"/>
            <w:vAlign w:val="top"/>
          </w:tcPr>
          <w:p>
            <w:pPr>
              <w:pStyle w:val="108"/>
              <w:pageBreakBefore w:val="0"/>
              <w:topLinePunct w:val="0"/>
              <w:bidi w:val="0"/>
              <w:outlineLvl w:val="9"/>
              <w:rPr>
                <w:rFonts w:ascii="Times New Roman"/>
                <w:sz w:val="18"/>
              </w:rPr>
            </w:pPr>
          </w:p>
        </w:tc>
        <w:tc>
          <w:tcPr>
            <w:tcW w:w="1233" w:type="dxa"/>
            <w:noWrap w:val="0"/>
            <w:vAlign w:val="top"/>
          </w:tcPr>
          <w:p>
            <w:pPr>
              <w:pStyle w:val="108"/>
              <w:pageBreakBefore w:val="0"/>
              <w:topLinePunct w:val="0"/>
              <w:bidi w:val="0"/>
              <w:outlineLvl w:val="9"/>
              <w:rPr>
                <w:rFonts w:ascii="Times New Roman"/>
                <w:sz w:val="18"/>
              </w:rPr>
            </w:pPr>
          </w:p>
        </w:tc>
        <w:tc>
          <w:tcPr>
            <w:tcW w:w="1232" w:type="dxa"/>
            <w:noWrap w:val="0"/>
            <w:vAlign w:val="top"/>
          </w:tcPr>
          <w:p>
            <w:pPr>
              <w:pStyle w:val="108"/>
              <w:pageBreakBefore w:val="0"/>
              <w:topLinePunct w:val="0"/>
              <w:bidi w:val="0"/>
              <w:outlineLvl w:val="9"/>
              <w:rPr>
                <w:rFonts w:ascii="Times New Roman"/>
                <w:sz w:val="18"/>
              </w:rPr>
            </w:pPr>
          </w:p>
        </w:tc>
        <w:tc>
          <w:tcPr>
            <w:tcW w:w="1359" w:type="dxa"/>
            <w:noWrap w:val="0"/>
            <w:vAlign w:val="top"/>
          </w:tcPr>
          <w:p>
            <w:pPr>
              <w:pStyle w:val="108"/>
              <w:pageBreakBefore w:val="0"/>
              <w:topLinePunct w:val="0"/>
              <w:bidi w:val="0"/>
              <w:outlineLvl w:val="9"/>
              <w:rPr>
                <w:rFonts w:ascii="Times New Roman"/>
                <w:sz w:val="18"/>
              </w:rPr>
            </w:pPr>
          </w:p>
        </w:tc>
        <w:tc>
          <w:tcPr>
            <w:tcW w:w="828" w:type="dxa"/>
            <w:noWrap w:val="0"/>
            <w:vAlign w:val="top"/>
          </w:tcPr>
          <w:p>
            <w:pPr>
              <w:pStyle w:val="108"/>
              <w:pageBreakBefore w:val="0"/>
              <w:topLinePunct w:val="0"/>
              <w:bidi w:val="0"/>
              <w:outlineLvl w:val="9"/>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826" w:type="dxa"/>
            <w:noWrap w:val="0"/>
            <w:vAlign w:val="top"/>
          </w:tcPr>
          <w:p>
            <w:pPr>
              <w:pStyle w:val="108"/>
              <w:pageBreakBefore w:val="0"/>
              <w:topLinePunct w:val="0"/>
              <w:bidi w:val="0"/>
              <w:outlineLvl w:val="9"/>
              <w:rPr>
                <w:rFonts w:ascii="Times New Roman"/>
                <w:sz w:val="18"/>
              </w:rPr>
            </w:pPr>
          </w:p>
        </w:tc>
        <w:tc>
          <w:tcPr>
            <w:tcW w:w="1010" w:type="dxa"/>
            <w:noWrap w:val="0"/>
            <w:vAlign w:val="top"/>
          </w:tcPr>
          <w:p>
            <w:pPr>
              <w:pStyle w:val="108"/>
              <w:pageBreakBefore w:val="0"/>
              <w:topLinePunct w:val="0"/>
              <w:bidi w:val="0"/>
              <w:outlineLvl w:val="9"/>
              <w:rPr>
                <w:rFonts w:ascii="Times New Roman"/>
                <w:sz w:val="18"/>
              </w:rPr>
            </w:pPr>
          </w:p>
        </w:tc>
        <w:tc>
          <w:tcPr>
            <w:tcW w:w="928" w:type="dxa"/>
            <w:noWrap w:val="0"/>
            <w:vAlign w:val="top"/>
          </w:tcPr>
          <w:p>
            <w:pPr>
              <w:pStyle w:val="108"/>
              <w:pageBreakBefore w:val="0"/>
              <w:topLinePunct w:val="0"/>
              <w:bidi w:val="0"/>
              <w:outlineLvl w:val="9"/>
              <w:rPr>
                <w:rFonts w:ascii="Times New Roman"/>
                <w:sz w:val="18"/>
              </w:rPr>
            </w:pPr>
          </w:p>
        </w:tc>
        <w:tc>
          <w:tcPr>
            <w:tcW w:w="924" w:type="dxa"/>
            <w:noWrap w:val="0"/>
            <w:vAlign w:val="top"/>
          </w:tcPr>
          <w:p>
            <w:pPr>
              <w:pStyle w:val="108"/>
              <w:pageBreakBefore w:val="0"/>
              <w:topLinePunct w:val="0"/>
              <w:bidi w:val="0"/>
              <w:outlineLvl w:val="9"/>
              <w:rPr>
                <w:rFonts w:ascii="Times New Roman"/>
                <w:sz w:val="18"/>
              </w:rPr>
            </w:pPr>
          </w:p>
        </w:tc>
        <w:tc>
          <w:tcPr>
            <w:tcW w:w="1233" w:type="dxa"/>
            <w:noWrap w:val="0"/>
            <w:vAlign w:val="top"/>
          </w:tcPr>
          <w:p>
            <w:pPr>
              <w:pStyle w:val="108"/>
              <w:pageBreakBefore w:val="0"/>
              <w:topLinePunct w:val="0"/>
              <w:bidi w:val="0"/>
              <w:outlineLvl w:val="9"/>
              <w:rPr>
                <w:rFonts w:ascii="Times New Roman"/>
                <w:sz w:val="18"/>
              </w:rPr>
            </w:pPr>
          </w:p>
        </w:tc>
        <w:tc>
          <w:tcPr>
            <w:tcW w:w="1232" w:type="dxa"/>
            <w:noWrap w:val="0"/>
            <w:vAlign w:val="top"/>
          </w:tcPr>
          <w:p>
            <w:pPr>
              <w:pStyle w:val="108"/>
              <w:pageBreakBefore w:val="0"/>
              <w:topLinePunct w:val="0"/>
              <w:bidi w:val="0"/>
              <w:outlineLvl w:val="9"/>
              <w:rPr>
                <w:rFonts w:ascii="Times New Roman"/>
                <w:sz w:val="18"/>
              </w:rPr>
            </w:pPr>
          </w:p>
        </w:tc>
        <w:tc>
          <w:tcPr>
            <w:tcW w:w="1359" w:type="dxa"/>
            <w:noWrap w:val="0"/>
            <w:vAlign w:val="top"/>
          </w:tcPr>
          <w:p>
            <w:pPr>
              <w:pStyle w:val="108"/>
              <w:pageBreakBefore w:val="0"/>
              <w:topLinePunct w:val="0"/>
              <w:bidi w:val="0"/>
              <w:outlineLvl w:val="9"/>
              <w:rPr>
                <w:rFonts w:ascii="Times New Roman"/>
                <w:sz w:val="18"/>
              </w:rPr>
            </w:pPr>
          </w:p>
        </w:tc>
        <w:tc>
          <w:tcPr>
            <w:tcW w:w="828" w:type="dxa"/>
            <w:noWrap w:val="0"/>
            <w:vAlign w:val="top"/>
          </w:tcPr>
          <w:p>
            <w:pPr>
              <w:pStyle w:val="108"/>
              <w:pageBreakBefore w:val="0"/>
              <w:topLinePunct w:val="0"/>
              <w:bidi w:val="0"/>
              <w:outlineLvl w:val="9"/>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826" w:type="dxa"/>
            <w:noWrap w:val="0"/>
            <w:vAlign w:val="top"/>
          </w:tcPr>
          <w:p>
            <w:pPr>
              <w:pStyle w:val="108"/>
              <w:pageBreakBefore w:val="0"/>
              <w:topLinePunct w:val="0"/>
              <w:bidi w:val="0"/>
              <w:outlineLvl w:val="9"/>
              <w:rPr>
                <w:rFonts w:ascii="Times New Roman"/>
                <w:sz w:val="18"/>
              </w:rPr>
            </w:pPr>
          </w:p>
        </w:tc>
        <w:tc>
          <w:tcPr>
            <w:tcW w:w="1010" w:type="dxa"/>
            <w:noWrap w:val="0"/>
            <w:vAlign w:val="top"/>
          </w:tcPr>
          <w:p>
            <w:pPr>
              <w:pStyle w:val="108"/>
              <w:pageBreakBefore w:val="0"/>
              <w:topLinePunct w:val="0"/>
              <w:bidi w:val="0"/>
              <w:outlineLvl w:val="9"/>
              <w:rPr>
                <w:rFonts w:ascii="Times New Roman"/>
                <w:sz w:val="18"/>
              </w:rPr>
            </w:pPr>
          </w:p>
        </w:tc>
        <w:tc>
          <w:tcPr>
            <w:tcW w:w="928" w:type="dxa"/>
            <w:noWrap w:val="0"/>
            <w:vAlign w:val="top"/>
          </w:tcPr>
          <w:p>
            <w:pPr>
              <w:pStyle w:val="108"/>
              <w:pageBreakBefore w:val="0"/>
              <w:topLinePunct w:val="0"/>
              <w:bidi w:val="0"/>
              <w:outlineLvl w:val="9"/>
              <w:rPr>
                <w:rFonts w:ascii="Times New Roman"/>
                <w:sz w:val="18"/>
              </w:rPr>
            </w:pPr>
          </w:p>
        </w:tc>
        <w:tc>
          <w:tcPr>
            <w:tcW w:w="924" w:type="dxa"/>
            <w:noWrap w:val="0"/>
            <w:vAlign w:val="top"/>
          </w:tcPr>
          <w:p>
            <w:pPr>
              <w:pStyle w:val="108"/>
              <w:pageBreakBefore w:val="0"/>
              <w:topLinePunct w:val="0"/>
              <w:bidi w:val="0"/>
              <w:outlineLvl w:val="9"/>
              <w:rPr>
                <w:rFonts w:ascii="Times New Roman"/>
                <w:sz w:val="18"/>
              </w:rPr>
            </w:pPr>
          </w:p>
        </w:tc>
        <w:tc>
          <w:tcPr>
            <w:tcW w:w="1233" w:type="dxa"/>
            <w:noWrap w:val="0"/>
            <w:vAlign w:val="top"/>
          </w:tcPr>
          <w:p>
            <w:pPr>
              <w:pStyle w:val="108"/>
              <w:pageBreakBefore w:val="0"/>
              <w:topLinePunct w:val="0"/>
              <w:bidi w:val="0"/>
              <w:outlineLvl w:val="9"/>
              <w:rPr>
                <w:rFonts w:ascii="Times New Roman"/>
                <w:sz w:val="18"/>
              </w:rPr>
            </w:pPr>
          </w:p>
        </w:tc>
        <w:tc>
          <w:tcPr>
            <w:tcW w:w="1232" w:type="dxa"/>
            <w:noWrap w:val="0"/>
            <w:vAlign w:val="top"/>
          </w:tcPr>
          <w:p>
            <w:pPr>
              <w:pStyle w:val="108"/>
              <w:pageBreakBefore w:val="0"/>
              <w:topLinePunct w:val="0"/>
              <w:bidi w:val="0"/>
              <w:outlineLvl w:val="9"/>
              <w:rPr>
                <w:rFonts w:ascii="Times New Roman"/>
                <w:sz w:val="18"/>
              </w:rPr>
            </w:pPr>
          </w:p>
        </w:tc>
        <w:tc>
          <w:tcPr>
            <w:tcW w:w="1359" w:type="dxa"/>
            <w:noWrap w:val="0"/>
            <w:vAlign w:val="top"/>
          </w:tcPr>
          <w:p>
            <w:pPr>
              <w:pStyle w:val="108"/>
              <w:pageBreakBefore w:val="0"/>
              <w:topLinePunct w:val="0"/>
              <w:bidi w:val="0"/>
              <w:outlineLvl w:val="9"/>
              <w:rPr>
                <w:rFonts w:ascii="Times New Roman"/>
                <w:sz w:val="18"/>
              </w:rPr>
            </w:pPr>
          </w:p>
        </w:tc>
        <w:tc>
          <w:tcPr>
            <w:tcW w:w="828" w:type="dxa"/>
            <w:noWrap w:val="0"/>
            <w:vAlign w:val="top"/>
          </w:tcPr>
          <w:p>
            <w:pPr>
              <w:pStyle w:val="108"/>
              <w:pageBreakBefore w:val="0"/>
              <w:topLinePunct w:val="0"/>
              <w:bidi w:val="0"/>
              <w:outlineLvl w:val="9"/>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826" w:type="dxa"/>
            <w:noWrap w:val="0"/>
            <w:vAlign w:val="top"/>
          </w:tcPr>
          <w:p>
            <w:pPr>
              <w:pStyle w:val="108"/>
              <w:pageBreakBefore w:val="0"/>
              <w:topLinePunct w:val="0"/>
              <w:bidi w:val="0"/>
              <w:outlineLvl w:val="9"/>
              <w:rPr>
                <w:rFonts w:ascii="Times New Roman"/>
                <w:sz w:val="18"/>
              </w:rPr>
            </w:pPr>
          </w:p>
        </w:tc>
        <w:tc>
          <w:tcPr>
            <w:tcW w:w="1010" w:type="dxa"/>
            <w:noWrap w:val="0"/>
            <w:vAlign w:val="top"/>
          </w:tcPr>
          <w:p>
            <w:pPr>
              <w:pStyle w:val="108"/>
              <w:pageBreakBefore w:val="0"/>
              <w:topLinePunct w:val="0"/>
              <w:bidi w:val="0"/>
              <w:outlineLvl w:val="9"/>
              <w:rPr>
                <w:rFonts w:ascii="Times New Roman"/>
                <w:sz w:val="18"/>
              </w:rPr>
            </w:pPr>
          </w:p>
        </w:tc>
        <w:tc>
          <w:tcPr>
            <w:tcW w:w="928" w:type="dxa"/>
            <w:noWrap w:val="0"/>
            <w:vAlign w:val="top"/>
          </w:tcPr>
          <w:p>
            <w:pPr>
              <w:pStyle w:val="108"/>
              <w:pageBreakBefore w:val="0"/>
              <w:topLinePunct w:val="0"/>
              <w:bidi w:val="0"/>
              <w:outlineLvl w:val="9"/>
              <w:rPr>
                <w:rFonts w:ascii="Times New Roman"/>
                <w:sz w:val="18"/>
              </w:rPr>
            </w:pPr>
          </w:p>
        </w:tc>
        <w:tc>
          <w:tcPr>
            <w:tcW w:w="924" w:type="dxa"/>
            <w:noWrap w:val="0"/>
            <w:vAlign w:val="top"/>
          </w:tcPr>
          <w:p>
            <w:pPr>
              <w:pStyle w:val="108"/>
              <w:pageBreakBefore w:val="0"/>
              <w:topLinePunct w:val="0"/>
              <w:bidi w:val="0"/>
              <w:outlineLvl w:val="9"/>
              <w:rPr>
                <w:rFonts w:ascii="Times New Roman"/>
                <w:sz w:val="18"/>
              </w:rPr>
            </w:pPr>
          </w:p>
        </w:tc>
        <w:tc>
          <w:tcPr>
            <w:tcW w:w="1233" w:type="dxa"/>
            <w:noWrap w:val="0"/>
            <w:vAlign w:val="top"/>
          </w:tcPr>
          <w:p>
            <w:pPr>
              <w:pStyle w:val="108"/>
              <w:pageBreakBefore w:val="0"/>
              <w:topLinePunct w:val="0"/>
              <w:bidi w:val="0"/>
              <w:outlineLvl w:val="9"/>
              <w:rPr>
                <w:rFonts w:ascii="Times New Roman"/>
                <w:sz w:val="18"/>
              </w:rPr>
            </w:pPr>
          </w:p>
        </w:tc>
        <w:tc>
          <w:tcPr>
            <w:tcW w:w="1232" w:type="dxa"/>
            <w:noWrap w:val="0"/>
            <w:vAlign w:val="top"/>
          </w:tcPr>
          <w:p>
            <w:pPr>
              <w:pStyle w:val="108"/>
              <w:pageBreakBefore w:val="0"/>
              <w:topLinePunct w:val="0"/>
              <w:bidi w:val="0"/>
              <w:outlineLvl w:val="9"/>
              <w:rPr>
                <w:rFonts w:ascii="Times New Roman"/>
                <w:sz w:val="18"/>
              </w:rPr>
            </w:pPr>
          </w:p>
        </w:tc>
        <w:tc>
          <w:tcPr>
            <w:tcW w:w="1359" w:type="dxa"/>
            <w:noWrap w:val="0"/>
            <w:vAlign w:val="top"/>
          </w:tcPr>
          <w:p>
            <w:pPr>
              <w:pStyle w:val="108"/>
              <w:pageBreakBefore w:val="0"/>
              <w:topLinePunct w:val="0"/>
              <w:bidi w:val="0"/>
              <w:outlineLvl w:val="9"/>
              <w:rPr>
                <w:rFonts w:ascii="Times New Roman"/>
                <w:sz w:val="18"/>
              </w:rPr>
            </w:pPr>
          </w:p>
        </w:tc>
        <w:tc>
          <w:tcPr>
            <w:tcW w:w="828" w:type="dxa"/>
            <w:noWrap w:val="0"/>
            <w:vAlign w:val="top"/>
          </w:tcPr>
          <w:p>
            <w:pPr>
              <w:pStyle w:val="108"/>
              <w:pageBreakBefore w:val="0"/>
              <w:topLinePunct w:val="0"/>
              <w:bidi w:val="0"/>
              <w:outlineLvl w:val="9"/>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826" w:type="dxa"/>
            <w:noWrap w:val="0"/>
            <w:vAlign w:val="top"/>
          </w:tcPr>
          <w:p>
            <w:pPr>
              <w:pStyle w:val="108"/>
              <w:pageBreakBefore w:val="0"/>
              <w:topLinePunct w:val="0"/>
              <w:bidi w:val="0"/>
              <w:outlineLvl w:val="9"/>
              <w:rPr>
                <w:rFonts w:ascii="Times New Roman"/>
                <w:sz w:val="18"/>
              </w:rPr>
            </w:pPr>
          </w:p>
        </w:tc>
        <w:tc>
          <w:tcPr>
            <w:tcW w:w="1010" w:type="dxa"/>
            <w:noWrap w:val="0"/>
            <w:vAlign w:val="top"/>
          </w:tcPr>
          <w:p>
            <w:pPr>
              <w:pStyle w:val="108"/>
              <w:pageBreakBefore w:val="0"/>
              <w:topLinePunct w:val="0"/>
              <w:bidi w:val="0"/>
              <w:outlineLvl w:val="9"/>
              <w:rPr>
                <w:rFonts w:ascii="Times New Roman"/>
                <w:sz w:val="18"/>
              </w:rPr>
            </w:pPr>
          </w:p>
        </w:tc>
        <w:tc>
          <w:tcPr>
            <w:tcW w:w="928" w:type="dxa"/>
            <w:noWrap w:val="0"/>
            <w:vAlign w:val="top"/>
          </w:tcPr>
          <w:p>
            <w:pPr>
              <w:pStyle w:val="108"/>
              <w:pageBreakBefore w:val="0"/>
              <w:topLinePunct w:val="0"/>
              <w:bidi w:val="0"/>
              <w:outlineLvl w:val="9"/>
              <w:rPr>
                <w:rFonts w:ascii="Times New Roman"/>
                <w:sz w:val="18"/>
              </w:rPr>
            </w:pPr>
          </w:p>
        </w:tc>
        <w:tc>
          <w:tcPr>
            <w:tcW w:w="924" w:type="dxa"/>
            <w:noWrap w:val="0"/>
            <w:vAlign w:val="top"/>
          </w:tcPr>
          <w:p>
            <w:pPr>
              <w:pStyle w:val="108"/>
              <w:pageBreakBefore w:val="0"/>
              <w:topLinePunct w:val="0"/>
              <w:bidi w:val="0"/>
              <w:outlineLvl w:val="9"/>
              <w:rPr>
                <w:rFonts w:ascii="Times New Roman"/>
                <w:sz w:val="18"/>
              </w:rPr>
            </w:pPr>
          </w:p>
        </w:tc>
        <w:tc>
          <w:tcPr>
            <w:tcW w:w="1233" w:type="dxa"/>
            <w:noWrap w:val="0"/>
            <w:vAlign w:val="top"/>
          </w:tcPr>
          <w:p>
            <w:pPr>
              <w:pStyle w:val="108"/>
              <w:pageBreakBefore w:val="0"/>
              <w:topLinePunct w:val="0"/>
              <w:bidi w:val="0"/>
              <w:outlineLvl w:val="9"/>
              <w:rPr>
                <w:rFonts w:ascii="Times New Roman"/>
                <w:sz w:val="18"/>
              </w:rPr>
            </w:pPr>
          </w:p>
        </w:tc>
        <w:tc>
          <w:tcPr>
            <w:tcW w:w="1232" w:type="dxa"/>
            <w:noWrap w:val="0"/>
            <w:vAlign w:val="top"/>
          </w:tcPr>
          <w:p>
            <w:pPr>
              <w:pStyle w:val="108"/>
              <w:pageBreakBefore w:val="0"/>
              <w:topLinePunct w:val="0"/>
              <w:bidi w:val="0"/>
              <w:outlineLvl w:val="9"/>
              <w:rPr>
                <w:rFonts w:ascii="Times New Roman"/>
                <w:sz w:val="18"/>
              </w:rPr>
            </w:pPr>
          </w:p>
        </w:tc>
        <w:tc>
          <w:tcPr>
            <w:tcW w:w="1359" w:type="dxa"/>
            <w:noWrap w:val="0"/>
            <w:vAlign w:val="top"/>
          </w:tcPr>
          <w:p>
            <w:pPr>
              <w:pStyle w:val="108"/>
              <w:pageBreakBefore w:val="0"/>
              <w:topLinePunct w:val="0"/>
              <w:bidi w:val="0"/>
              <w:outlineLvl w:val="9"/>
              <w:rPr>
                <w:rFonts w:ascii="Times New Roman"/>
                <w:sz w:val="18"/>
              </w:rPr>
            </w:pPr>
          </w:p>
        </w:tc>
        <w:tc>
          <w:tcPr>
            <w:tcW w:w="828" w:type="dxa"/>
            <w:noWrap w:val="0"/>
            <w:vAlign w:val="top"/>
          </w:tcPr>
          <w:p>
            <w:pPr>
              <w:pStyle w:val="108"/>
              <w:pageBreakBefore w:val="0"/>
              <w:topLinePunct w:val="0"/>
              <w:bidi w:val="0"/>
              <w:outlineLvl w:val="9"/>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826" w:type="dxa"/>
            <w:noWrap w:val="0"/>
            <w:vAlign w:val="top"/>
          </w:tcPr>
          <w:p>
            <w:pPr>
              <w:pStyle w:val="108"/>
              <w:pageBreakBefore w:val="0"/>
              <w:topLinePunct w:val="0"/>
              <w:bidi w:val="0"/>
              <w:outlineLvl w:val="9"/>
              <w:rPr>
                <w:rFonts w:ascii="Times New Roman"/>
                <w:sz w:val="18"/>
              </w:rPr>
            </w:pPr>
          </w:p>
        </w:tc>
        <w:tc>
          <w:tcPr>
            <w:tcW w:w="1010" w:type="dxa"/>
            <w:noWrap w:val="0"/>
            <w:vAlign w:val="top"/>
          </w:tcPr>
          <w:p>
            <w:pPr>
              <w:pStyle w:val="108"/>
              <w:pageBreakBefore w:val="0"/>
              <w:topLinePunct w:val="0"/>
              <w:bidi w:val="0"/>
              <w:outlineLvl w:val="9"/>
              <w:rPr>
                <w:rFonts w:ascii="Times New Roman"/>
                <w:sz w:val="18"/>
              </w:rPr>
            </w:pPr>
          </w:p>
        </w:tc>
        <w:tc>
          <w:tcPr>
            <w:tcW w:w="928" w:type="dxa"/>
            <w:noWrap w:val="0"/>
            <w:vAlign w:val="top"/>
          </w:tcPr>
          <w:p>
            <w:pPr>
              <w:pStyle w:val="108"/>
              <w:pageBreakBefore w:val="0"/>
              <w:topLinePunct w:val="0"/>
              <w:bidi w:val="0"/>
              <w:outlineLvl w:val="9"/>
              <w:rPr>
                <w:rFonts w:ascii="Times New Roman"/>
                <w:sz w:val="18"/>
              </w:rPr>
            </w:pPr>
          </w:p>
        </w:tc>
        <w:tc>
          <w:tcPr>
            <w:tcW w:w="924" w:type="dxa"/>
            <w:noWrap w:val="0"/>
            <w:vAlign w:val="top"/>
          </w:tcPr>
          <w:p>
            <w:pPr>
              <w:pStyle w:val="108"/>
              <w:pageBreakBefore w:val="0"/>
              <w:topLinePunct w:val="0"/>
              <w:bidi w:val="0"/>
              <w:outlineLvl w:val="9"/>
              <w:rPr>
                <w:rFonts w:ascii="Times New Roman"/>
                <w:sz w:val="18"/>
              </w:rPr>
            </w:pPr>
          </w:p>
        </w:tc>
        <w:tc>
          <w:tcPr>
            <w:tcW w:w="1233" w:type="dxa"/>
            <w:noWrap w:val="0"/>
            <w:vAlign w:val="top"/>
          </w:tcPr>
          <w:p>
            <w:pPr>
              <w:pStyle w:val="108"/>
              <w:pageBreakBefore w:val="0"/>
              <w:topLinePunct w:val="0"/>
              <w:bidi w:val="0"/>
              <w:outlineLvl w:val="9"/>
              <w:rPr>
                <w:rFonts w:ascii="Times New Roman"/>
                <w:sz w:val="18"/>
              </w:rPr>
            </w:pPr>
          </w:p>
        </w:tc>
        <w:tc>
          <w:tcPr>
            <w:tcW w:w="1232" w:type="dxa"/>
            <w:noWrap w:val="0"/>
            <w:vAlign w:val="top"/>
          </w:tcPr>
          <w:p>
            <w:pPr>
              <w:pStyle w:val="108"/>
              <w:pageBreakBefore w:val="0"/>
              <w:topLinePunct w:val="0"/>
              <w:bidi w:val="0"/>
              <w:outlineLvl w:val="9"/>
              <w:rPr>
                <w:rFonts w:ascii="Times New Roman"/>
                <w:sz w:val="18"/>
              </w:rPr>
            </w:pPr>
          </w:p>
        </w:tc>
        <w:tc>
          <w:tcPr>
            <w:tcW w:w="1359" w:type="dxa"/>
            <w:noWrap w:val="0"/>
            <w:vAlign w:val="top"/>
          </w:tcPr>
          <w:p>
            <w:pPr>
              <w:pStyle w:val="108"/>
              <w:pageBreakBefore w:val="0"/>
              <w:topLinePunct w:val="0"/>
              <w:bidi w:val="0"/>
              <w:outlineLvl w:val="9"/>
              <w:rPr>
                <w:rFonts w:ascii="Times New Roman"/>
                <w:sz w:val="18"/>
              </w:rPr>
            </w:pPr>
          </w:p>
        </w:tc>
        <w:tc>
          <w:tcPr>
            <w:tcW w:w="828" w:type="dxa"/>
            <w:noWrap w:val="0"/>
            <w:vAlign w:val="top"/>
          </w:tcPr>
          <w:p>
            <w:pPr>
              <w:pStyle w:val="108"/>
              <w:pageBreakBefore w:val="0"/>
              <w:topLinePunct w:val="0"/>
              <w:bidi w:val="0"/>
              <w:outlineLvl w:val="9"/>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8" w:hRule="atLeast"/>
        </w:trPr>
        <w:tc>
          <w:tcPr>
            <w:tcW w:w="826" w:type="dxa"/>
            <w:noWrap w:val="0"/>
            <w:vAlign w:val="top"/>
          </w:tcPr>
          <w:p>
            <w:pPr>
              <w:pStyle w:val="108"/>
              <w:pageBreakBefore w:val="0"/>
              <w:topLinePunct w:val="0"/>
              <w:bidi w:val="0"/>
              <w:outlineLvl w:val="9"/>
              <w:rPr>
                <w:rFonts w:ascii="Times New Roman"/>
                <w:sz w:val="18"/>
              </w:rPr>
            </w:pPr>
          </w:p>
        </w:tc>
        <w:tc>
          <w:tcPr>
            <w:tcW w:w="1010" w:type="dxa"/>
            <w:noWrap w:val="0"/>
            <w:vAlign w:val="top"/>
          </w:tcPr>
          <w:p>
            <w:pPr>
              <w:pStyle w:val="108"/>
              <w:pageBreakBefore w:val="0"/>
              <w:topLinePunct w:val="0"/>
              <w:bidi w:val="0"/>
              <w:outlineLvl w:val="9"/>
              <w:rPr>
                <w:rFonts w:ascii="Times New Roman"/>
                <w:sz w:val="18"/>
              </w:rPr>
            </w:pPr>
          </w:p>
        </w:tc>
        <w:tc>
          <w:tcPr>
            <w:tcW w:w="928" w:type="dxa"/>
            <w:noWrap w:val="0"/>
            <w:vAlign w:val="top"/>
          </w:tcPr>
          <w:p>
            <w:pPr>
              <w:pStyle w:val="108"/>
              <w:pageBreakBefore w:val="0"/>
              <w:topLinePunct w:val="0"/>
              <w:bidi w:val="0"/>
              <w:outlineLvl w:val="9"/>
              <w:rPr>
                <w:rFonts w:ascii="Times New Roman"/>
                <w:sz w:val="18"/>
              </w:rPr>
            </w:pPr>
          </w:p>
        </w:tc>
        <w:tc>
          <w:tcPr>
            <w:tcW w:w="924" w:type="dxa"/>
            <w:noWrap w:val="0"/>
            <w:vAlign w:val="top"/>
          </w:tcPr>
          <w:p>
            <w:pPr>
              <w:pStyle w:val="108"/>
              <w:pageBreakBefore w:val="0"/>
              <w:topLinePunct w:val="0"/>
              <w:bidi w:val="0"/>
              <w:outlineLvl w:val="9"/>
              <w:rPr>
                <w:rFonts w:ascii="Times New Roman"/>
                <w:sz w:val="18"/>
              </w:rPr>
            </w:pPr>
          </w:p>
        </w:tc>
        <w:tc>
          <w:tcPr>
            <w:tcW w:w="1233" w:type="dxa"/>
            <w:noWrap w:val="0"/>
            <w:vAlign w:val="top"/>
          </w:tcPr>
          <w:p>
            <w:pPr>
              <w:pStyle w:val="108"/>
              <w:pageBreakBefore w:val="0"/>
              <w:topLinePunct w:val="0"/>
              <w:bidi w:val="0"/>
              <w:outlineLvl w:val="9"/>
              <w:rPr>
                <w:rFonts w:ascii="Times New Roman"/>
                <w:sz w:val="18"/>
              </w:rPr>
            </w:pPr>
          </w:p>
        </w:tc>
        <w:tc>
          <w:tcPr>
            <w:tcW w:w="1232" w:type="dxa"/>
            <w:noWrap w:val="0"/>
            <w:vAlign w:val="top"/>
          </w:tcPr>
          <w:p>
            <w:pPr>
              <w:pStyle w:val="108"/>
              <w:pageBreakBefore w:val="0"/>
              <w:topLinePunct w:val="0"/>
              <w:bidi w:val="0"/>
              <w:outlineLvl w:val="9"/>
              <w:rPr>
                <w:rFonts w:ascii="Times New Roman"/>
                <w:sz w:val="18"/>
              </w:rPr>
            </w:pPr>
          </w:p>
        </w:tc>
        <w:tc>
          <w:tcPr>
            <w:tcW w:w="1359" w:type="dxa"/>
            <w:noWrap w:val="0"/>
            <w:vAlign w:val="top"/>
          </w:tcPr>
          <w:p>
            <w:pPr>
              <w:pStyle w:val="108"/>
              <w:pageBreakBefore w:val="0"/>
              <w:topLinePunct w:val="0"/>
              <w:bidi w:val="0"/>
              <w:outlineLvl w:val="9"/>
              <w:rPr>
                <w:rFonts w:ascii="Times New Roman"/>
                <w:sz w:val="18"/>
              </w:rPr>
            </w:pPr>
          </w:p>
        </w:tc>
        <w:tc>
          <w:tcPr>
            <w:tcW w:w="828" w:type="dxa"/>
            <w:noWrap w:val="0"/>
            <w:vAlign w:val="top"/>
          </w:tcPr>
          <w:p>
            <w:pPr>
              <w:pStyle w:val="108"/>
              <w:pageBreakBefore w:val="0"/>
              <w:topLinePunct w:val="0"/>
              <w:bidi w:val="0"/>
              <w:outlineLvl w:val="9"/>
              <w:rPr>
                <w:rFonts w:ascii="Times New Roman"/>
                <w:sz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trPr>
        <w:tc>
          <w:tcPr>
            <w:tcW w:w="826" w:type="dxa"/>
            <w:noWrap w:val="0"/>
            <w:vAlign w:val="top"/>
          </w:tcPr>
          <w:p>
            <w:pPr>
              <w:pStyle w:val="108"/>
              <w:pageBreakBefore w:val="0"/>
              <w:topLinePunct w:val="0"/>
              <w:bidi w:val="0"/>
              <w:outlineLvl w:val="9"/>
              <w:rPr>
                <w:rFonts w:ascii="Times New Roman"/>
                <w:sz w:val="18"/>
              </w:rPr>
            </w:pPr>
          </w:p>
        </w:tc>
        <w:tc>
          <w:tcPr>
            <w:tcW w:w="1010" w:type="dxa"/>
            <w:noWrap w:val="0"/>
            <w:vAlign w:val="top"/>
          </w:tcPr>
          <w:p>
            <w:pPr>
              <w:pStyle w:val="108"/>
              <w:pageBreakBefore w:val="0"/>
              <w:topLinePunct w:val="0"/>
              <w:bidi w:val="0"/>
              <w:outlineLvl w:val="9"/>
              <w:rPr>
                <w:rFonts w:ascii="Times New Roman"/>
                <w:sz w:val="18"/>
              </w:rPr>
            </w:pPr>
          </w:p>
        </w:tc>
        <w:tc>
          <w:tcPr>
            <w:tcW w:w="928" w:type="dxa"/>
            <w:noWrap w:val="0"/>
            <w:vAlign w:val="top"/>
          </w:tcPr>
          <w:p>
            <w:pPr>
              <w:pStyle w:val="108"/>
              <w:pageBreakBefore w:val="0"/>
              <w:topLinePunct w:val="0"/>
              <w:bidi w:val="0"/>
              <w:outlineLvl w:val="9"/>
              <w:rPr>
                <w:rFonts w:ascii="Times New Roman"/>
                <w:sz w:val="18"/>
              </w:rPr>
            </w:pPr>
          </w:p>
        </w:tc>
        <w:tc>
          <w:tcPr>
            <w:tcW w:w="924" w:type="dxa"/>
            <w:noWrap w:val="0"/>
            <w:vAlign w:val="top"/>
          </w:tcPr>
          <w:p>
            <w:pPr>
              <w:pStyle w:val="108"/>
              <w:pageBreakBefore w:val="0"/>
              <w:topLinePunct w:val="0"/>
              <w:bidi w:val="0"/>
              <w:outlineLvl w:val="9"/>
              <w:rPr>
                <w:rFonts w:ascii="Times New Roman"/>
                <w:sz w:val="18"/>
              </w:rPr>
            </w:pPr>
          </w:p>
        </w:tc>
        <w:tc>
          <w:tcPr>
            <w:tcW w:w="1233" w:type="dxa"/>
            <w:noWrap w:val="0"/>
            <w:vAlign w:val="top"/>
          </w:tcPr>
          <w:p>
            <w:pPr>
              <w:pStyle w:val="108"/>
              <w:pageBreakBefore w:val="0"/>
              <w:topLinePunct w:val="0"/>
              <w:bidi w:val="0"/>
              <w:outlineLvl w:val="9"/>
              <w:rPr>
                <w:rFonts w:ascii="Times New Roman"/>
                <w:sz w:val="18"/>
              </w:rPr>
            </w:pPr>
          </w:p>
        </w:tc>
        <w:tc>
          <w:tcPr>
            <w:tcW w:w="1232" w:type="dxa"/>
            <w:noWrap w:val="0"/>
            <w:vAlign w:val="top"/>
          </w:tcPr>
          <w:p>
            <w:pPr>
              <w:pStyle w:val="108"/>
              <w:pageBreakBefore w:val="0"/>
              <w:topLinePunct w:val="0"/>
              <w:bidi w:val="0"/>
              <w:outlineLvl w:val="9"/>
              <w:rPr>
                <w:rFonts w:ascii="Times New Roman"/>
                <w:sz w:val="18"/>
              </w:rPr>
            </w:pPr>
          </w:p>
        </w:tc>
        <w:tc>
          <w:tcPr>
            <w:tcW w:w="1359" w:type="dxa"/>
            <w:noWrap w:val="0"/>
            <w:vAlign w:val="top"/>
          </w:tcPr>
          <w:p>
            <w:pPr>
              <w:pStyle w:val="108"/>
              <w:pageBreakBefore w:val="0"/>
              <w:topLinePunct w:val="0"/>
              <w:bidi w:val="0"/>
              <w:outlineLvl w:val="9"/>
              <w:rPr>
                <w:rFonts w:ascii="Times New Roman"/>
                <w:sz w:val="18"/>
              </w:rPr>
            </w:pPr>
          </w:p>
        </w:tc>
        <w:tc>
          <w:tcPr>
            <w:tcW w:w="828" w:type="dxa"/>
            <w:noWrap w:val="0"/>
            <w:vAlign w:val="top"/>
          </w:tcPr>
          <w:p>
            <w:pPr>
              <w:pStyle w:val="108"/>
              <w:pageBreakBefore w:val="0"/>
              <w:topLinePunct w:val="0"/>
              <w:bidi w:val="0"/>
              <w:outlineLvl w:val="9"/>
              <w:rPr>
                <w:rFonts w:ascii="Times New Roman"/>
                <w:sz w:val="18"/>
              </w:rPr>
            </w:pPr>
          </w:p>
        </w:tc>
      </w:tr>
    </w:tbl>
    <w:p>
      <w:pPr>
        <w:pStyle w:val="15"/>
        <w:pageBreakBefore w:val="0"/>
        <w:topLinePunct w:val="0"/>
        <w:bidi w:val="0"/>
        <w:outlineLvl w:val="9"/>
        <w:rPr>
          <w:b/>
          <w:sz w:val="20"/>
        </w:rPr>
      </w:pPr>
    </w:p>
    <w:p>
      <w:pPr>
        <w:pStyle w:val="15"/>
        <w:pageBreakBefore w:val="0"/>
        <w:topLinePunct w:val="0"/>
        <w:bidi w:val="0"/>
        <w:spacing w:before="9"/>
        <w:outlineLvl w:val="9"/>
        <w:rPr>
          <w:b/>
          <w:sz w:val="17"/>
        </w:rPr>
      </w:pPr>
    </w:p>
    <w:p>
      <w:pPr>
        <w:pageBreakBefore w:val="0"/>
        <w:topLinePunct w:val="0"/>
        <w:bidi w:val="0"/>
        <w:spacing w:before="0"/>
        <w:ind w:left="220" w:right="0" w:firstLine="0"/>
        <w:jc w:val="left"/>
        <w:outlineLvl w:val="9"/>
        <w:rPr>
          <w:sz w:val="18"/>
        </w:rPr>
      </w:pPr>
      <w:r>
        <w:rPr>
          <w:b/>
          <w:sz w:val="18"/>
        </w:rPr>
        <w:t>学院</w:t>
      </w:r>
      <w:r>
        <w:rPr>
          <w:sz w:val="18"/>
        </w:rPr>
        <w:t>（公章）：</w:t>
      </w:r>
    </w:p>
    <w:p>
      <w:pPr>
        <w:pStyle w:val="15"/>
        <w:pageBreakBefore w:val="0"/>
        <w:topLinePunct w:val="0"/>
        <w:bidi w:val="0"/>
        <w:outlineLvl w:val="9"/>
        <w:rPr>
          <w:sz w:val="18"/>
        </w:rPr>
      </w:pPr>
    </w:p>
    <w:p>
      <w:pPr>
        <w:pStyle w:val="15"/>
        <w:pageBreakBefore w:val="0"/>
        <w:topLinePunct w:val="0"/>
        <w:bidi w:val="0"/>
        <w:outlineLvl w:val="9"/>
        <w:rPr>
          <w:sz w:val="18"/>
        </w:rPr>
      </w:pPr>
    </w:p>
    <w:p>
      <w:pPr>
        <w:pStyle w:val="15"/>
        <w:pageBreakBefore w:val="0"/>
        <w:topLinePunct w:val="0"/>
        <w:bidi w:val="0"/>
        <w:outlineLvl w:val="9"/>
        <w:rPr>
          <w:sz w:val="18"/>
        </w:rPr>
      </w:pPr>
    </w:p>
    <w:p>
      <w:pPr>
        <w:pageBreakBefore w:val="0"/>
        <w:topLinePunct w:val="0"/>
        <w:bidi w:val="0"/>
        <w:spacing w:before="148"/>
        <w:ind w:left="220" w:right="0" w:firstLine="0"/>
        <w:jc w:val="left"/>
        <w:outlineLvl w:val="9"/>
        <w:rPr>
          <w:b/>
          <w:sz w:val="18"/>
        </w:rPr>
      </w:pPr>
      <w:r>
        <w:rPr>
          <w:b/>
          <w:sz w:val="18"/>
        </w:rPr>
        <w:t>学院负责人签字：</w:t>
      </w:r>
    </w:p>
    <w:p>
      <w:pPr>
        <w:pStyle w:val="15"/>
        <w:pageBreakBefore w:val="0"/>
        <w:topLinePunct w:val="0"/>
        <w:bidi w:val="0"/>
        <w:outlineLvl w:val="9"/>
        <w:rPr>
          <w:b/>
          <w:sz w:val="18"/>
        </w:rPr>
      </w:pPr>
    </w:p>
    <w:p>
      <w:pPr>
        <w:pStyle w:val="15"/>
        <w:pageBreakBefore w:val="0"/>
        <w:topLinePunct w:val="0"/>
        <w:bidi w:val="0"/>
        <w:outlineLvl w:val="9"/>
        <w:rPr>
          <w:b/>
          <w:sz w:val="18"/>
        </w:rPr>
      </w:pPr>
    </w:p>
    <w:p>
      <w:pPr>
        <w:pStyle w:val="15"/>
        <w:pageBreakBefore w:val="0"/>
        <w:topLinePunct w:val="0"/>
        <w:bidi w:val="0"/>
        <w:outlineLvl w:val="9"/>
        <w:rPr>
          <w:b/>
          <w:sz w:val="18"/>
        </w:rPr>
      </w:pPr>
    </w:p>
    <w:p>
      <w:pPr>
        <w:pageBreakBefore w:val="0"/>
        <w:topLinePunct w:val="0"/>
        <w:bidi w:val="0"/>
        <w:spacing w:before="148"/>
        <w:ind w:left="220" w:right="0" w:firstLine="0"/>
        <w:jc w:val="left"/>
        <w:outlineLvl w:val="9"/>
        <w:rPr>
          <w:b/>
          <w:sz w:val="18"/>
        </w:rPr>
      </w:pPr>
      <w:r>
        <w:rPr>
          <w:b/>
          <w:sz w:val="18"/>
        </w:rPr>
        <w:t>备注：本表一式两份，一份报教务处备案，一份由学院存档。</w:t>
      </w:r>
    </w:p>
    <w:p>
      <w:pPr>
        <w:pStyle w:val="15"/>
        <w:pageBreakBefore w:val="0"/>
        <w:topLinePunct w:val="0"/>
        <w:bidi w:val="0"/>
        <w:outlineLvl w:val="9"/>
        <w:rPr>
          <w:rFonts w:hint="eastAsia" w:eastAsia="宋体"/>
          <w:b/>
          <w:sz w:val="20"/>
          <w:lang w:eastAsia="zh-CN"/>
        </w:rPr>
      </w:pPr>
    </w:p>
    <w:p>
      <w:pPr>
        <w:pStyle w:val="15"/>
        <w:pageBreakBefore w:val="0"/>
        <w:topLinePunct w:val="0"/>
        <w:bidi w:val="0"/>
        <w:outlineLvl w:val="9"/>
        <w:rPr>
          <w:b/>
          <w:sz w:val="20"/>
        </w:rPr>
      </w:pPr>
    </w:p>
    <w:p>
      <w:pPr>
        <w:pStyle w:val="15"/>
        <w:pageBreakBefore w:val="0"/>
        <w:topLinePunct w:val="0"/>
        <w:bidi w:val="0"/>
        <w:outlineLvl w:val="9"/>
        <w:rPr>
          <w:b/>
          <w:sz w:val="20"/>
        </w:rPr>
      </w:pPr>
    </w:p>
    <w:p>
      <w:pPr>
        <w:pStyle w:val="15"/>
        <w:pageBreakBefore w:val="0"/>
        <w:topLinePunct w:val="0"/>
        <w:bidi w:val="0"/>
        <w:outlineLvl w:val="9"/>
        <w:rPr>
          <w:b/>
          <w:sz w:val="20"/>
        </w:rPr>
      </w:pPr>
    </w:p>
    <w:p>
      <w:pPr>
        <w:pStyle w:val="15"/>
        <w:pageBreakBefore w:val="0"/>
        <w:topLinePunct w:val="0"/>
        <w:bidi w:val="0"/>
        <w:outlineLvl w:val="9"/>
        <w:rPr>
          <w:b/>
          <w:sz w:val="20"/>
        </w:rPr>
      </w:pPr>
    </w:p>
    <w:p>
      <w:pPr>
        <w:pStyle w:val="15"/>
        <w:pageBreakBefore w:val="0"/>
        <w:topLinePunct w:val="0"/>
        <w:bidi w:val="0"/>
        <w:outlineLvl w:val="9"/>
        <w:rPr>
          <w:b/>
          <w:sz w:val="20"/>
        </w:rPr>
      </w:pPr>
    </w:p>
    <w:p>
      <w:pPr>
        <w:pStyle w:val="15"/>
        <w:pageBreakBefore w:val="0"/>
        <w:topLinePunct w:val="0"/>
        <w:bidi w:val="0"/>
        <w:outlineLvl w:val="9"/>
        <w:rPr>
          <w:b/>
          <w:sz w:val="20"/>
        </w:rPr>
      </w:pPr>
    </w:p>
    <w:p>
      <w:pPr>
        <w:pStyle w:val="15"/>
        <w:pageBreakBefore w:val="0"/>
        <w:topLinePunct w:val="0"/>
        <w:bidi w:val="0"/>
        <w:outlineLvl w:val="9"/>
        <w:rPr>
          <w:b/>
          <w:sz w:val="20"/>
        </w:rPr>
      </w:pPr>
    </w:p>
    <w:p>
      <w:pPr>
        <w:pStyle w:val="15"/>
        <w:pageBreakBefore w:val="0"/>
        <w:topLinePunct w:val="0"/>
        <w:bidi w:val="0"/>
        <w:outlineLvl w:val="9"/>
        <w:rPr>
          <w:b/>
          <w:sz w:val="20"/>
        </w:rPr>
      </w:pPr>
    </w:p>
    <w:p>
      <w:pPr>
        <w:pStyle w:val="15"/>
        <w:pageBreakBefore w:val="0"/>
        <w:topLinePunct w:val="0"/>
        <w:bidi w:val="0"/>
        <w:outlineLvl w:val="9"/>
        <w:rPr>
          <w:b/>
          <w:sz w:val="20"/>
        </w:rPr>
      </w:pPr>
    </w:p>
    <w:p>
      <w:pPr>
        <w:pStyle w:val="15"/>
        <w:pageBreakBefore w:val="0"/>
        <w:topLinePunct w:val="0"/>
        <w:bidi w:val="0"/>
        <w:outlineLvl w:val="9"/>
        <w:rPr>
          <w:b/>
          <w:sz w:val="20"/>
        </w:rPr>
      </w:pPr>
    </w:p>
    <w:p>
      <w:pPr>
        <w:pStyle w:val="15"/>
        <w:pageBreakBefore w:val="0"/>
        <w:topLinePunct w:val="0"/>
        <w:bidi w:val="0"/>
        <w:outlineLvl w:val="9"/>
        <w:rPr>
          <w:b/>
          <w:sz w:val="20"/>
        </w:rPr>
      </w:pPr>
    </w:p>
    <w:p>
      <w:pPr>
        <w:pStyle w:val="15"/>
        <w:pageBreakBefore w:val="0"/>
        <w:topLinePunct w:val="0"/>
        <w:bidi w:val="0"/>
        <w:outlineLvl w:val="9"/>
        <w:rPr>
          <w:b/>
          <w:sz w:val="20"/>
        </w:rPr>
      </w:pPr>
    </w:p>
    <w:p>
      <w:pPr>
        <w:pageBreakBefore w:val="0"/>
        <w:topLinePunct w:val="0"/>
        <w:bidi w:val="0"/>
        <w:jc w:val="both"/>
        <w:outlineLvl w:val="9"/>
        <w:rPr>
          <w:rFonts w:hint="eastAsia" w:eastAsiaTheme="minorEastAsia"/>
          <w:color w:val="FF0000"/>
          <w:sz w:val="24"/>
          <w:lang w:eastAsia="zh-CN"/>
        </w:rPr>
      </w:pPr>
      <w:bookmarkStart w:id="232" w:name="_Toc14359"/>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jc w:val="both"/>
        <w:outlineLvl w:val="9"/>
        <w:rPr>
          <w:sz w:val="24"/>
        </w:rPr>
      </w:pPr>
    </w:p>
    <w:p>
      <w:pPr>
        <w:pageBreakBefore w:val="0"/>
        <w:topLinePunct w:val="0"/>
        <w:bidi w:val="0"/>
        <w:spacing w:before="120" w:beforeLines="50"/>
        <w:jc w:val="both"/>
        <w:outlineLvl w:val="9"/>
        <w:rPr>
          <w:sz w:val="24"/>
        </w:rPr>
      </w:pPr>
    </w:p>
    <w:p>
      <w:pPr>
        <w:pageBreakBefore w:val="0"/>
        <w:topLinePunct w:val="0"/>
        <w:bidi w:val="0"/>
        <w:spacing w:before="120" w:beforeLines="50"/>
        <w:jc w:val="both"/>
        <w:outlineLvl w:val="9"/>
        <w:rPr>
          <w:sz w:val="24"/>
        </w:rPr>
      </w:pPr>
    </w:p>
    <w:p>
      <w:pPr>
        <w:pageBreakBefore w:val="0"/>
        <w:topLinePunct w:val="0"/>
        <w:bidi w:val="0"/>
        <w:jc w:val="center"/>
        <w:outlineLvl w:val="9"/>
        <w:rPr>
          <w:rFonts w:hint="eastAsia" w:eastAsia="仿宋_GB2312"/>
          <w:sz w:val="32"/>
          <w:szCs w:val="32"/>
          <w:lang w:eastAsia="zh-CN"/>
        </w:rPr>
      </w:pPr>
      <w:r>
        <w:rPr>
          <w:rFonts w:hint="eastAsia" w:eastAsia="仿宋_GB2312"/>
          <w:color w:val="000000"/>
          <w:kern w:val="0"/>
          <w:sz w:val="32"/>
          <w:szCs w:val="28"/>
        </w:rPr>
        <w:t>沪电信职院</w:t>
      </w:r>
      <w:r>
        <w:rPr>
          <w:rFonts w:hint="eastAsia" w:ascii="仿宋_GB2312" w:eastAsia="仿宋_GB2312"/>
          <w:color w:val="000000"/>
          <w:kern w:val="0"/>
          <w:sz w:val="32"/>
          <w:szCs w:val="28"/>
        </w:rPr>
        <w:t>〔2019〕</w:t>
      </w:r>
      <w:r>
        <w:rPr>
          <w:rFonts w:hint="eastAsia" w:ascii="仿宋_GB2312" w:eastAsia="仿宋_GB2312"/>
          <w:color w:val="000000"/>
          <w:kern w:val="0"/>
          <w:sz w:val="32"/>
          <w:szCs w:val="28"/>
          <w:lang w:val="en-US" w:eastAsia="zh-CN"/>
        </w:rPr>
        <w:t>26</w:t>
      </w:r>
      <w:r>
        <w:rPr>
          <w:rFonts w:hint="eastAsia" w:ascii="仿宋_GB2312" w:eastAsia="仿宋_GB2312"/>
          <w:color w:val="000000"/>
          <w:kern w:val="0"/>
          <w:sz w:val="32"/>
          <w:szCs w:val="28"/>
        </w:rPr>
        <w:t xml:space="preserve">号  </w:t>
      </w:r>
      <w:r>
        <w:rPr>
          <w:rFonts w:hint="eastAsia" w:ascii="仿宋_GB2312" w:eastAsia="仿宋_GB2312"/>
          <w:color w:val="000000"/>
          <w:kern w:val="0"/>
          <w:sz w:val="32"/>
          <w:szCs w:val="28"/>
          <w:lang w:val="en-US" w:eastAsia="zh-CN"/>
        </w:rPr>
        <w:t xml:space="preserve"> </w:t>
      </w:r>
    </w:p>
    <w:p>
      <w:pPr>
        <w:pageBreakBefore w:val="0"/>
        <w:topLinePunct w:val="0"/>
        <w:bidi w:val="0"/>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pageBreakBefore w:val="0"/>
        <w:topLinePunct w:val="0"/>
        <w:bidi w:val="0"/>
        <w:spacing w:line="360" w:lineRule="auto"/>
        <w:ind w:firstLine="721" w:firstLineChars="200"/>
        <w:jc w:val="center"/>
        <w:outlineLvl w:val="9"/>
        <w:rPr>
          <w:rFonts w:hint="eastAsia" w:ascii="华文中宋" w:hAnsi="华文中宋" w:eastAsia="华文中宋" w:cs="华文中宋"/>
          <w:b/>
          <w:bCs/>
          <w:sz w:val="36"/>
          <w:szCs w:val="36"/>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sz w:val="36"/>
          <w:szCs w:val="36"/>
        </w:rPr>
      </w:pPr>
      <w:bookmarkStart w:id="233" w:name="_Toc19824"/>
      <w:r>
        <w:rPr>
          <w:rFonts w:hint="eastAsia" w:ascii="黑体" w:hAnsi="黑体" w:eastAsia="黑体" w:cs="黑体"/>
          <w:b/>
          <w:sz w:val="36"/>
          <w:szCs w:val="36"/>
        </w:rPr>
        <w:t>关于印发《上海电子信息职业技术学院教学督导员工作管理办法（修订）》的通知</w:t>
      </w:r>
      <w:bookmarkEnd w:id="233"/>
    </w:p>
    <w:p>
      <w:pPr>
        <w:pageBreakBefore w:val="0"/>
        <w:topLinePunct w:val="0"/>
        <w:bidi w:val="0"/>
        <w:spacing w:line="360" w:lineRule="auto"/>
        <w:jc w:val="center"/>
        <w:outlineLvl w:val="9"/>
        <w:rPr>
          <w:rFonts w:hint="eastAsia" w:ascii="华文中宋" w:hAnsi="华文中宋" w:eastAsia="华文中宋" w:cs="华文中宋"/>
          <w:b/>
          <w:sz w:val="36"/>
          <w:szCs w:val="36"/>
        </w:rPr>
      </w:pP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现将《上海电子信息职业技术学院教学督导员工作管理办法》印发给你们，请结合本部门工作实际，认真研究执行。</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附件：上海电子信息职业技术学院教学督导员工作管理办法</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00" w:lineRule="exact"/>
        <w:ind w:right="48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2019年3月13日</w:t>
      </w:r>
    </w:p>
    <w:p>
      <w:pPr>
        <w:pageBreakBefore w:val="0"/>
        <w:topLinePunct w:val="0"/>
        <w:bidi w:val="0"/>
        <w:spacing w:line="480" w:lineRule="exact"/>
        <w:jc w:val="both"/>
        <w:outlineLvl w:val="9"/>
        <w:rPr>
          <w:rFonts w:hint="eastAsia" w:ascii="仿宋_GB2312" w:hAnsi="仿宋_GB2312" w:eastAsia="仿宋_GB2312" w:cs="仿宋_GB2312"/>
          <w:b/>
          <w:bCs/>
          <w:color w:val="000000"/>
          <w:kern w:val="0"/>
          <w:sz w:val="32"/>
          <w:szCs w:val="32"/>
          <w:lang w:val="en-US" w:eastAsia="zh-CN"/>
        </w:rPr>
      </w:pPr>
    </w:p>
    <w:p>
      <w:pPr>
        <w:pageBreakBefore w:val="0"/>
        <w:topLinePunct w:val="0"/>
        <w:bidi w:val="0"/>
        <w:spacing w:line="480" w:lineRule="exact"/>
        <w:jc w:val="both"/>
        <w:outlineLvl w:val="9"/>
        <w:rPr>
          <w:rFonts w:hint="eastAsia" w:ascii="仿宋_GB2312" w:hAnsi="仿宋_GB2312" w:eastAsia="仿宋_GB2312" w:cs="仿宋_GB2312"/>
          <w:b/>
          <w:bCs/>
          <w:color w:val="000000"/>
          <w:kern w:val="0"/>
          <w:sz w:val="32"/>
          <w:szCs w:val="32"/>
          <w:lang w:val="en-US" w:eastAsia="zh-CN"/>
        </w:rPr>
      </w:pPr>
      <w:r>
        <w:rPr>
          <w:rFonts w:hint="eastAsia" w:ascii="仿宋_GB2312" w:hAnsi="仿宋_GB2312" w:eastAsia="仿宋_GB2312" w:cs="仿宋_GB2312"/>
          <w:kern w:val="2"/>
          <w:sz w:val="28"/>
          <w:szCs w:val="28"/>
          <w:highlight w:val="none"/>
          <w:lang w:val="en-US" w:eastAsia="zh-CN" w:bidi="ar-SA"/>
        </w:rPr>
        <w:t xml:space="preserve">附件 </w:t>
      </w:r>
      <w:r>
        <w:rPr>
          <w:rFonts w:hint="eastAsia" w:ascii="仿宋_GB2312" w:hAnsi="仿宋_GB2312" w:eastAsia="仿宋_GB2312" w:cs="仿宋_GB2312"/>
          <w:b/>
          <w:bCs/>
          <w:color w:val="000000"/>
          <w:kern w:val="0"/>
          <w:sz w:val="32"/>
          <w:szCs w:val="32"/>
          <w:lang w:val="en-US" w:eastAsia="zh-CN"/>
        </w:rPr>
        <w:t xml:space="preserve"> </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上海电子信息职业技术学院教学督导员</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工作管理办法</w:t>
      </w:r>
      <w:bookmarkEnd w:id="232"/>
      <w:r>
        <w:rPr>
          <w:rFonts w:hint="eastAsia" w:ascii="黑体" w:hAnsi="黑体" w:eastAsia="黑体" w:cs="黑体"/>
          <w:b/>
          <w:bCs/>
          <w:sz w:val="36"/>
          <w:szCs w:val="36"/>
        </w:rPr>
        <w:t>（修订）</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健全学校教学质量监控体系，更好地开展教学督导工作，加强教学督导队伍建设，使我校教学督导工作更具科学性、公正性、权威性，需成立学校教学督导组，根据专业门类和学科特点，聘请学校领导、行业企业专家、教育教学专家和特聘督导员担任学校督导组成员。</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一、教学督导员的聘任</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校级教学督导员由学校聘任；教学单位教学督导员由各教学单位负责人聘任并报教务处备案。</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1．聘任条件</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思想政治觉悟好，综合素养高，教学经验丰富、教学成绩突出、学术造诣较深、为人正直、具有先进的职教理念和较强的教改意识的教育教学专家、行业企业专家。</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2．聘期</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教学督导员的聘期为两年。</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二、教学督导员的管理</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教务处负责校级教学督导员的管理及考核，各教学单位负责本单位教学督导员的管理及考核。</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三、校教学督导员</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1．教学督导员职责，按规范要求开展督导工作：</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1）对各教学单位制订的专业人才培养方案、课程标准、各类教学文件、教学进度等的实施情况进行检查和指导；</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2）对教师的课堂教学和实践教学的质量进行检查、评价和指导；</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3）教学检查和评价的信息，及改进教学工作的意见和建议，及时向教务处反馈；</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4）教学督导员每学期按要求开展督导工作，听课一般10人次以上，听课后应及时与任课教师交流意见，并及时提交听课相关记录；</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5）教学督导员应将学期督导工作进行总结，撰写综述报告，提交教务处，每月应提交一至二份教学督导工作意见或建议，注意总结推广教学经验。</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2．教学督导员应不断加强学习，了解高等职业教育发展趋势，更新教育观念，及时了解学校专业建设和教学改革动态。</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3．教学督导员可根据需要参加相关教学工作会议，查阅相关教学文件资料，参与相关的教学活动。各教学单位要为教学督导员开展工作提供方便。</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4．按时参加教学督导员工作会议。</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四、教学单位督导员</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教学单位督导员按单位要求开展教学督导工作：</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1．教学单位督导员职责</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1）深入教学第一线，对本单位教师的课堂教学、实践教学质量进行经常性的检查、评价和指导。检查本单位教风和学风情况，及时反馈教学质量信息并撰写分析报告，对教师的教学业务水平进行客观公正评价。</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2）对本单位教师的课后辅导、答疑、作业批改、考试命题、考试的考风和考纪、阅卷及教学秩序等方面的质量进行检查、评价和指导。</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2．教学单位督导员的教学检查和评价信息以及改进教学工作的意见和建议，及时反馈给本单位督导组。</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五、待遇</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1．在职教学督导员根据完成教学督导任务的实际情况，由所在部门结合考核情况给付。</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2．非在职教学督导员按800元/天（税后）支付报酬。</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六、附则</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本办法从发布之日起执行，由教务处负责解释。原《上海电子信息职业技术学院教学督导员工作管理办法》（沪电信职院〔2018〕134号）即行废止。</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附件1．教学督导员基本情况备案表</w:t>
      </w:r>
    </w:p>
    <w:p>
      <w:pPr>
        <w:pageBreakBefore w:val="0"/>
        <w:numPr>
          <w:ilvl w:val="0"/>
          <w:numId w:val="0"/>
        </w:numPr>
        <w:topLinePunct w:val="0"/>
        <w:bidi w:val="0"/>
        <w:spacing w:line="560" w:lineRule="exact"/>
        <w:ind w:firstLine="1120" w:firstLineChars="4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2.教学督导员审批表</w:t>
      </w:r>
    </w:p>
    <w:p>
      <w:pPr>
        <w:pageBreakBefore w:val="0"/>
        <w:numPr>
          <w:ilvl w:val="0"/>
          <w:numId w:val="0"/>
        </w:numPr>
        <w:topLinePunct w:val="0"/>
        <w:bidi w:val="0"/>
        <w:spacing w:line="560" w:lineRule="exact"/>
        <w:ind w:firstLine="1120" w:firstLineChars="4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3．教学督导员聘用流程图</w:t>
      </w:r>
    </w:p>
    <w:p>
      <w:pPr>
        <w:pageBreakBefore w:val="0"/>
        <w:topLinePunct w:val="0"/>
        <w:bidi w:val="0"/>
        <w:spacing w:line="560" w:lineRule="exact"/>
        <w:ind w:firstLine="620" w:firstLineChars="200"/>
        <w:outlineLvl w:val="9"/>
        <w:rPr>
          <w:rFonts w:hint="eastAsia" w:ascii="仿宋_GB2312" w:hAnsi="仿宋_GB2312" w:eastAsia="仿宋_GB2312" w:cs="仿宋_GB2312"/>
          <w:color w:val="1F1F1F"/>
          <w:spacing w:val="15"/>
          <w:kern w:val="0"/>
          <w:sz w:val="28"/>
          <w:szCs w:val="28"/>
        </w:rPr>
      </w:pPr>
    </w:p>
    <w:p>
      <w:pPr>
        <w:pageBreakBefore w:val="0"/>
        <w:topLinePunct w:val="0"/>
        <w:bidi w:val="0"/>
        <w:spacing w:line="560" w:lineRule="exact"/>
        <w:ind w:firstLine="700" w:firstLineChars="200"/>
        <w:outlineLvl w:val="9"/>
        <w:rPr>
          <w:rFonts w:hint="eastAsia" w:eastAsia="仿宋_GB2312" w:cs="Times New Roman"/>
          <w:color w:val="1F1F1F"/>
          <w:spacing w:val="15"/>
          <w:kern w:val="0"/>
          <w:sz w:val="32"/>
          <w:szCs w:val="32"/>
        </w:rPr>
      </w:pPr>
    </w:p>
    <w:p>
      <w:pPr>
        <w:pageBreakBefore w:val="0"/>
        <w:topLinePunct w:val="0"/>
        <w:bidi w:val="0"/>
        <w:spacing w:line="560" w:lineRule="exact"/>
        <w:ind w:firstLine="700" w:firstLineChars="200"/>
        <w:outlineLvl w:val="9"/>
        <w:rPr>
          <w:rFonts w:hint="eastAsia" w:eastAsia="仿宋_GB2312" w:cs="Times New Roman"/>
          <w:color w:val="1F1F1F"/>
          <w:spacing w:val="15"/>
          <w:kern w:val="0"/>
          <w:sz w:val="32"/>
          <w:szCs w:val="32"/>
        </w:rPr>
      </w:pPr>
    </w:p>
    <w:p>
      <w:pPr>
        <w:pageBreakBefore w:val="0"/>
        <w:topLinePunct w:val="0"/>
        <w:bidi w:val="0"/>
        <w:spacing w:line="560" w:lineRule="exact"/>
        <w:ind w:firstLine="700" w:firstLineChars="200"/>
        <w:outlineLvl w:val="9"/>
        <w:rPr>
          <w:rFonts w:hint="eastAsia" w:eastAsia="仿宋_GB2312" w:cs="Times New Roman"/>
          <w:color w:val="1F1F1F"/>
          <w:spacing w:val="15"/>
          <w:kern w:val="0"/>
          <w:sz w:val="32"/>
          <w:szCs w:val="32"/>
        </w:rPr>
      </w:pPr>
    </w:p>
    <w:p>
      <w:pPr>
        <w:pageBreakBefore w:val="0"/>
        <w:topLinePunct w:val="0"/>
        <w:bidi w:val="0"/>
        <w:spacing w:line="560" w:lineRule="exact"/>
        <w:ind w:firstLine="700" w:firstLineChars="200"/>
        <w:outlineLvl w:val="9"/>
        <w:rPr>
          <w:rFonts w:hint="eastAsia" w:eastAsia="仿宋_GB2312" w:cs="Times New Roman"/>
          <w:color w:val="1F1F1F"/>
          <w:spacing w:val="15"/>
          <w:kern w:val="0"/>
          <w:sz w:val="32"/>
          <w:szCs w:val="32"/>
        </w:rPr>
      </w:pPr>
    </w:p>
    <w:p>
      <w:pPr>
        <w:pageBreakBefore w:val="0"/>
        <w:topLinePunct w:val="0"/>
        <w:bidi w:val="0"/>
        <w:spacing w:line="560" w:lineRule="exact"/>
        <w:ind w:firstLine="700" w:firstLineChars="200"/>
        <w:outlineLvl w:val="9"/>
        <w:rPr>
          <w:rFonts w:hint="eastAsia" w:eastAsia="仿宋_GB2312" w:cs="Times New Roman"/>
          <w:color w:val="1F1F1F"/>
          <w:spacing w:val="15"/>
          <w:kern w:val="0"/>
          <w:sz w:val="32"/>
          <w:szCs w:val="32"/>
        </w:rPr>
      </w:pPr>
    </w:p>
    <w:p>
      <w:pPr>
        <w:pageBreakBefore w:val="0"/>
        <w:topLinePunct w:val="0"/>
        <w:bidi w:val="0"/>
        <w:spacing w:line="560" w:lineRule="exact"/>
        <w:ind w:firstLine="700" w:firstLineChars="200"/>
        <w:outlineLvl w:val="9"/>
        <w:rPr>
          <w:rFonts w:hint="eastAsia" w:eastAsia="仿宋_GB2312" w:cs="Times New Roman"/>
          <w:color w:val="1F1F1F"/>
          <w:spacing w:val="15"/>
          <w:kern w:val="0"/>
          <w:sz w:val="32"/>
          <w:szCs w:val="32"/>
        </w:rPr>
      </w:pPr>
    </w:p>
    <w:p>
      <w:pPr>
        <w:pageBreakBefore w:val="0"/>
        <w:topLinePunct w:val="0"/>
        <w:bidi w:val="0"/>
        <w:spacing w:line="560" w:lineRule="exact"/>
        <w:ind w:firstLine="700" w:firstLineChars="200"/>
        <w:outlineLvl w:val="9"/>
        <w:rPr>
          <w:rFonts w:hint="eastAsia" w:eastAsia="仿宋_GB2312" w:cs="Times New Roman"/>
          <w:color w:val="1F1F1F"/>
          <w:spacing w:val="15"/>
          <w:kern w:val="0"/>
          <w:sz w:val="32"/>
          <w:szCs w:val="32"/>
        </w:rPr>
      </w:pPr>
    </w:p>
    <w:p>
      <w:pPr>
        <w:pageBreakBefore w:val="0"/>
        <w:topLinePunct w:val="0"/>
        <w:bidi w:val="0"/>
        <w:spacing w:line="560" w:lineRule="exact"/>
        <w:ind w:firstLine="700" w:firstLineChars="200"/>
        <w:outlineLvl w:val="9"/>
        <w:rPr>
          <w:rFonts w:hint="eastAsia" w:eastAsia="仿宋_GB2312" w:cs="Times New Roman"/>
          <w:color w:val="1F1F1F"/>
          <w:spacing w:val="15"/>
          <w:kern w:val="0"/>
          <w:sz w:val="32"/>
          <w:szCs w:val="32"/>
        </w:rPr>
      </w:pPr>
    </w:p>
    <w:p>
      <w:pPr>
        <w:pageBreakBefore w:val="0"/>
        <w:topLinePunct w:val="0"/>
        <w:bidi w:val="0"/>
        <w:jc w:val="left"/>
        <w:outlineLvl w:val="9"/>
        <w:rPr>
          <w:rFonts w:eastAsia="仿宋"/>
          <w:bCs/>
          <w:sz w:val="30"/>
          <w:szCs w:val="30"/>
        </w:rPr>
      </w:pPr>
    </w:p>
    <w:p>
      <w:pPr>
        <w:pageBreakBefore w:val="0"/>
        <w:topLinePunct w:val="0"/>
        <w:bidi w:val="0"/>
        <w:jc w:val="left"/>
        <w:outlineLvl w:val="9"/>
        <w:rPr>
          <w:rFonts w:eastAsia="方正舒体"/>
          <w:sz w:val="32"/>
          <w:szCs w:val="32"/>
        </w:rPr>
      </w:pPr>
      <w:r>
        <w:rPr>
          <w:rFonts w:eastAsia="仿宋"/>
          <w:bCs/>
          <w:sz w:val="30"/>
          <w:szCs w:val="30"/>
        </w:rPr>
        <w:t xml:space="preserve">附件1        </w:t>
      </w:r>
      <w:r>
        <w:rPr>
          <w:rFonts w:eastAsia="方正舒体"/>
          <w:sz w:val="32"/>
          <w:szCs w:val="32"/>
        </w:rPr>
        <w:t>上海电子信息职业技术学院</w:t>
      </w:r>
    </w:p>
    <w:p>
      <w:pPr>
        <w:pageBreakBefore w:val="0"/>
        <w:topLinePunct w:val="0"/>
        <w:bidi w:val="0"/>
        <w:outlineLvl w:val="9"/>
        <w:rPr>
          <w:b/>
          <w:bCs/>
          <w:sz w:val="30"/>
          <w:szCs w:val="30"/>
        </w:rPr>
      </w:pPr>
      <w:r>
        <w:rPr>
          <w:rFonts w:eastAsia="方正舒体"/>
          <w:bCs/>
          <w:sz w:val="30"/>
          <w:szCs w:val="30"/>
        </w:rPr>
        <w:t xml:space="preserve">              </w:t>
      </w:r>
      <w:r>
        <w:rPr>
          <w:rFonts w:eastAsia="仿宋"/>
          <w:b/>
          <w:bCs/>
          <w:sz w:val="30"/>
          <w:szCs w:val="30"/>
        </w:rPr>
        <w:t>教学督导员基本情况备案表</w:t>
      </w:r>
    </w:p>
    <w:tbl>
      <w:tblPr>
        <w:tblStyle w:val="37"/>
        <w:tblW w:w="9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1162"/>
        <w:gridCol w:w="812"/>
        <w:gridCol w:w="846"/>
        <w:gridCol w:w="1132"/>
        <w:gridCol w:w="216"/>
        <w:gridCol w:w="1552"/>
        <w:gridCol w:w="120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top w:val="double" w:color="auto" w:sz="4" w:space="0"/>
              <w:left w:val="doub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姓   名</w:t>
            </w:r>
          </w:p>
        </w:tc>
        <w:tc>
          <w:tcPr>
            <w:tcW w:w="1162" w:type="dxa"/>
            <w:tcBorders>
              <w:top w:val="double" w:color="auto" w:sz="4" w:space="0"/>
            </w:tcBorders>
            <w:noWrap w:val="0"/>
            <w:vAlign w:val="center"/>
          </w:tcPr>
          <w:p>
            <w:pPr>
              <w:pageBreakBefore w:val="0"/>
              <w:topLinePunct w:val="0"/>
              <w:bidi w:val="0"/>
              <w:outlineLvl w:val="9"/>
              <w:rPr>
                <w:rFonts w:eastAsia="仿宋"/>
                <w:color w:val="000000"/>
              </w:rPr>
            </w:pPr>
          </w:p>
        </w:tc>
        <w:tc>
          <w:tcPr>
            <w:tcW w:w="812" w:type="dxa"/>
            <w:tcBorders>
              <w:top w:val="doub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性 别</w:t>
            </w:r>
          </w:p>
        </w:tc>
        <w:tc>
          <w:tcPr>
            <w:tcW w:w="846" w:type="dxa"/>
            <w:tcBorders>
              <w:top w:val="double" w:color="auto" w:sz="4" w:space="0"/>
            </w:tcBorders>
            <w:noWrap w:val="0"/>
            <w:vAlign w:val="center"/>
          </w:tcPr>
          <w:p>
            <w:pPr>
              <w:pageBreakBefore w:val="0"/>
              <w:topLinePunct w:val="0"/>
              <w:bidi w:val="0"/>
              <w:jc w:val="center"/>
              <w:outlineLvl w:val="9"/>
              <w:rPr>
                <w:rFonts w:eastAsia="仿宋"/>
                <w:color w:val="000000"/>
              </w:rPr>
            </w:pPr>
          </w:p>
        </w:tc>
        <w:tc>
          <w:tcPr>
            <w:tcW w:w="1132" w:type="dxa"/>
            <w:tcBorders>
              <w:top w:val="doub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出生年月</w:t>
            </w:r>
          </w:p>
        </w:tc>
        <w:tc>
          <w:tcPr>
            <w:tcW w:w="1768" w:type="dxa"/>
            <w:gridSpan w:val="2"/>
            <w:tcBorders>
              <w:top w:val="double" w:color="auto" w:sz="4" w:space="0"/>
            </w:tcBorders>
            <w:noWrap w:val="0"/>
            <w:vAlign w:val="center"/>
          </w:tcPr>
          <w:p>
            <w:pPr>
              <w:pageBreakBefore w:val="0"/>
              <w:topLinePunct w:val="0"/>
              <w:bidi w:val="0"/>
              <w:jc w:val="center"/>
              <w:outlineLvl w:val="9"/>
              <w:rPr>
                <w:rFonts w:eastAsia="仿宋"/>
                <w:color w:val="000000"/>
              </w:rPr>
            </w:pPr>
          </w:p>
        </w:tc>
        <w:tc>
          <w:tcPr>
            <w:tcW w:w="1201" w:type="dxa"/>
            <w:tcBorders>
              <w:top w:val="double" w:color="auto" w:sz="4" w:space="0"/>
              <w:right w:val="sing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学历/学位</w:t>
            </w:r>
          </w:p>
        </w:tc>
        <w:tc>
          <w:tcPr>
            <w:tcW w:w="1417" w:type="dxa"/>
            <w:tcBorders>
              <w:top w:val="double" w:color="auto" w:sz="4" w:space="0"/>
              <w:left w:val="single" w:color="auto" w:sz="4" w:space="0"/>
              <w:right w:val="doub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职称/职业资格</w:t>
            </w:r>
          </w:p>
        </w:tc>
        <w:tc>
          <w:tcPr>
            <w:tcW w:w="2820" w:type="dxa"/>
            <w:gridSpan w:val="3"/>
            <w:noWrap w:val="0"/>
            <w:vAlign w:val="center"/>
          </w:tcPr>
          <w:p>
            <w:pPr>
              <w:pageBreakBefore w:val="0"/>
              <w:topLinePunct w:val="0"/>
              <w:bidi w:val="0"/>
              <w:jc w:val="center"/>
              <w:outlineLvl w:val="9"/>
              <w:rPr>
                <w:rFonts w:eastAsia="仿宋"/>
                <w:color w:val="000000"/>
              </w:rPr>
            </w:pPr>
          </w:p>
        </w:tc>
        <w:tc>
          <w:tcPr>
            <w:tcW w:w="1132" w:type="dxa"/>
            <w:noWrap w:val="0"/>
            <w:vAlign w:val="center"/>
          </w:tcPr>
          <w:p>
            <w:pPr>
              <w:pageBreakBefore w:val="0"/>
              <w:topLinePunct w:val="0"/>
              <w:bidi w:val="0"/>
              <w:jc w:val="center"/>
              <w:outlineLvl w:val="9"/>
              <w:rPr>
                <w:rFonts w:eastAsia="仿宋"/>
                <w:color w:val="000000"/>
              </w:rPr>
            </w:pPr>
            <w:r>
              <w:rPr>
                <w:rFonts w:eastAsia="仿宋"/>
                <w:color w:val="000000"/>
              </w:rPr>
              <w:t>发证单位</w:t>
            </w:r>
          </w:p>
        </w:tc>
        <w:tc>
          <w:tcPr>
            <w:tcW w:w="1768" w:type="dxa"/>
            <w:gridSpan w:val="2"/>
            <w:noWrap w:val="0"/>
            <w:vAlign w:val="center"/>
          </w:tcPr>
          <w:p>
            <w:pPr>
              <w:pageBreakBefore w:val="0"/>
              <w:topLinePunct w:val="0"/>
              <w:bidi w:val="0"/>
              <w:jc w:val="center"/>
              <w:outlineLvl w:val="9"/>
              <w:rPr>
                <w:rFonts w:eastAsia="仿宋"/>
                <w:color w:val="000000"/>
              </w:rPr>
            </w:pPr>
          </w:p>
        </w:tc>
        <w:tc>
          <w:tcPr>
            <w:tcW w:w="1201" w:type="dxa"/>
            <w:tcBorders>
              <w:bottom w:val="nil"/>
              <w:right w:val="sing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获取时间</w:t>
            </w:r>
          </w:p>
        </w:tc>
        <w:tc>
          <w:tcPr>
            <w:tcW w:w="1417" w:type="dxa"/>
            <w:tcBorders>
              <w:left w:val="single" w:color="auto" w:sz="4" w:space="0"/>
              <w:bottom w:val="nil"/>
              <w:right w:val="double" w:color="auto" w:sz="4" w:space="0"/>
            </w:tcBorders>
            <w:noWrap w:val="0"/>
            <w:vAlign w:val="center"/>
          </w:tcPr>
          <w:p>
            <w:pPr>
              <w:pageBreakBefore w:val="0"/>
              <w:topLinePunct w:val="0"/>
              <w:bidi w:val="0"/>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毕业学校</w:t>
            </w:r>
          </w:p>
        </w:tc>
        <w:tc>
          <w:tcPr>
            <w:tcW w:w="2820" w:type="dxa"/>
            <w:gridSpan w:val="3"/>
            <w:tcBorders>
              <w:top w:val="single" w:color="auto" w:sz="4" w:space="0"/>
              <w:right w:val="single" w:color="auto" w:sz="4" w:space="0"/>
            </w:tcBorders>
            <w:noWrap w:val="0"/>
            <w:vAlign w:val="center"/>
          </w:tcPr>
          <w:p>
            <w:pPr>
              <w:pageBreakBefore w:val="0"/>
              <w:topLinePunct w:val="0"/>
              <w:bidi w:val="0"/>
              <w:jc w:val="center"/>
              <w:outlineLvl w:val="9"/>
              <w:rPr>
                <w:rFonts w:eastAsia="仿宋"/>
                <w:color w:val="000000"/>
              </w:rPr>
            </w:pPr>
          </w:p>
        </w:tc>
        <w:tc>
          <w:tcPr>
            <w:tcW w:w="1132" w:type="dxa"/>
            <w:tcBorders>
              <w:top w:val="single" w:color="auto" w:sz="4" w:space="0"/>
              <w:left w:val="single" w:color="auto" w:sz="4" w:space="0"/>
              <w:right w:val="sing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专业</w:t>
            </w:r>
          </w:p>
        </w:tc>
        <w:tc>
          <w:tcPr>
            <w:tcW w:w="1768" w:type="dxa"/>
            <w:gridSpan w:val="2"/>
            <w:tcBorders>
              <w:top w:val="single" w:color="auto" w:sz="4" w:space="0"/>
              <w:left w:val="single" w:color="auto" w:sz="4" w:space="0"/>
              <w:right w:val="single" w:color="auto" w:sz="4" w:space="0"/>
            </w:tcBorders>
            <w:noWrap w:val="0"/>
            <w:vAlign w:val="center"/>
          </w:tcPr>
          <w:p>
            <w:pPr>
              <w:pageBreakBefore w:val="0"/>
              <w:topLinePunct w:val="0"/>
              <w:bidi w:val="0"/>
              <w:jc w:val="center"/>
              <w:outlineLvl w:val="9"/>
              <w:rPr>
                <w:rFonts w:eastAsia="仿宋"/>
                <w:color w:val="000000"/>
              </w:rPr>
            </w:pPr>
          </w:p>
        </w:tc>
        <w:tc>
          <w:tcPr>
            <w:tcW w:w="1201" w:type="dxa"/>
            <w:tcBorders>
              <w:top w:val="single" w:color="auto" w:sz="4" w:space="0"/>
              <w:left w:val="single" w:color="auto" w:sz="4" w:space="0"/>
              <w:right w:val="sing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专业特长</w:t>
            </w:r>
          </w:p>
        </w:tc>
        <w:tc>
          <w:tcPr>
            <w:tcW w:w="1417" w:type="dxa"/>
            <w:tcBorders>
              <w:top w:val="single" w:color="auto" w:sz="4" w:space="0"/>
              <w:left w:val="single" w:color="auto" w:sz="4" w:space="0"/>
              <w:right w:val="double" w:color="auto" w:sz="4" w:space="0"/>
            </w:tcBorders>
            <w:noWrap w:val="0"/>
            <w:vAlign w:val="center"/>
          </w:tcPr>
          <w:p>
            <w:pPr>
              <w:pageBreakBefore w:val="0"/>
              <w:topLinePunct w:val="0"/>
              <w:bidi w:val="0"/>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716" w:type="dxa"/>
            <w:gridSpan w:val="2"/>
            <w:vMerge w:val="restart"/>
            <w:tcBorders>
              <w:left w:val="doub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现（原）工作单位、部门</w:t>
            </w:r>
          </w:p>
          <w:p>
            <w:pPr>
              <w:pageBreakBefore w:val="0"/>
              <w:topLinePunct w:val="0"/>
              <w:bidi w:val="0"/>
              <w:jc w:val="center"/>
              <w:outlineLvl w:val="9"/>
              <w:rPr>
                <w:rFonts w:eastAsia="仿宋"/>
                <w:color w:val="000000"/>
              </w:rPr>
            </w:pPr>
            <w:r>
              <w:rPr>
                <w:rFonts w:eastAsia="仿宋"/>
                <w:color w:val="000000"/>
              </w:rPr>
              <w:t>(□在职 □退休)</w:t>
            </w:r>
          </w:p>
        </w:tc>
        <w:tc>
          <w:tcPr>
            <w:tcW w:w="4558" w:type="dxa"/>
            <w:gridSpan w:val="5"/>
            <w:vMerge w:val="restart"/>
            <w:tcBorders>
              <w:top w:val="nil"/>
              <w:right w:val="single" w:color="auto" w:sz="4" w:space="0"/>
            </w:tcBorders>
            <w:noWrap w:val="0"/>
            <w:vAlign w:val="center"/>
          </w:tcPr>
          <w:p>
            <w:pPr>
              <w:pageBreakBefore w:val="0"/>
              <w:topLinePunct w:val="0"/>
              <w:bidi w:val="0"/>
              <w:jc w:val="center"/>
              <w:outlineLvl w:val="9"/>
              <w:rPr>
                <w:rFonts w:eastAsia="仿宋"/>
                <w:color w:val="000000"/>
              </w:rPr>
            </w:pPr>
          </w:p>
        </w:tc>
        <w:tc>
          <w:tcPr>
            <w:tcW w:w="1201" w:type="dxa"/>
            <w:tcBorders>
              <w:top w:val="nil"/>
              <w:left w:val="single" w:color="auto" w:sz="4" w:space="0"/>
              <w:right w:val="sing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联系电话</w:t>
            </w:r>
          </w:p>
        </w:tc>
        <w:tc>
          <w:tcPr>
            <w:tcW w:w="1417" w:type="dxa"/>
            <w:tcBorders>
              <w:top w:val="nil"/>
              <w:left w:val="single" w:color="auto" w:sz="4" w:space="0"/>
              <w:right w:val="double" w:color="auto" w:sz="4" w:space="0"/>
            </w:tcBorders>
            <w:noWrap w:val="0"/>
            <w:vAlign w:val="center"/>
          </w:tcPr>
          <w:p>
            <w:pPr>
              <w:pageBreakBefore w:val="0"/>
              <w:topLinePunct w:val="0"/>
              <w:bidi w:val="0"/>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716" w:type="dxa"/>
            <w:gridSpan w:val="2"/>
            <w:vMerge w:val="continue"/>
            <w:tcBorders>
              <w:left w:val="double" w:color="auto" w:sz="4" w:space="0"/>
            </w:tcBorders>
            <w:noWrap w:val="0"/>
            <w:vAlign w:val="center"/>
          </w:tcPr>
          <w:p>
            <w:pPr>
              <w:pageBreakBefore w:val="0"/>
              <w:topLinePunct w:val="0"/>
              <w:bidi w:val="0"/>
              <w:jc w:val="center"/>
              <w:outlineLvl w:val="9"/>
              <w:rPr>
                <w:rFonts w:eastAsia="仿宋"/>
                <w:color w:val="000000"/>
              </w:rPr>
            </w:pPr>
          </w:p>
        </w:tc>
        <w:tc>
          <w:tcPr>
            <w:tcW w:w="4558" w:type="dxa"/>
            <w:gridSpan w:val="5"/>
            <w:vMerge w:val="continue"/>
            <w:tcBorders>
              <w:right w:val="single" w:color="auto" w:sz="4" w:space="0"/>
            </w:tcBorders>
            <w:noWrap w:val="0"/>
            <w:vAlign w:val="center"/>
          </w:tcPr>
          <w:p>
            <w:pPr>
              <w:pageBreakBefore w:val="0"/>
              <w:topLinePunct w:val="0"/>
              <w:bidi w:val="0"/>
              <w:jc w:val="center"/>
              <w:outlineLvl w:val="9"/>
              <w:rPr>
                <w:rFonts w:eastAsia="仿宋"/>
                <w:color w:val="000000"/>
              </w:rPr>
            </w:pPr>
          </w:p>
        </w:tc>
        <w:tc>
          <w:tcPr>
            <w:tcW w:w="1201" w:type="dxa"/>
            <w:tcBorders>
              <w:top w:val="nil"/>
              <w:left w:val="single" w:color="auto" w:sz="4" w:space="0"/>
              <w:right w:val="sing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E-mail</w:t>
            </w:r>
          </w:p>
        </w:tc>
        <w:tc>
          <w:tcPr>
            <w:tcW w:w="1417" w:type="dxa"/>
            <w:tcBorders>
              <w:left w:val="single" w:color="auto" w:sz="4" w:space="0"/>
              <w:right w:val="double" w:color="auto" w:sz="4" w:space="0"/>
            </w:tcBorders>
            <w:noWrap w:val="0"/>
            <w:vAlign w:val="center"/>
          </w:tcPr>
          <w:p>
            <w:pPr>
              <w:pageBreakBefore w:val="0"/>
              <w:topLinePunct w:val="0"/>
              <w:bidi w:val="0"/>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716" w:type="dxa"/>
            <w:gridSpan w:val="2"/>
            <w:tcBorders>
              <w:left w:val="doub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高校教师资格证书</w:t>
            </w:r>
          </w:p>
        </w:tc>
        <w:tc>
          <w:tcPr>
            <w:tcW w:w="1658" w:type="dxa"/>
            <w:gridSpan w:val="2"/>
            <w:noWrap w:val="0"/>
            <w:vAlign w:val="center"/>
          </w:tcPr>
          <w:p>
            <w:pPr>
              <w:pageBreakBefore w:val="0"/>
              <w:topLinePunct w:val="0"/>
              <w:bidi w:val="0"/>
              <w:jc w:val="center"/>
              <w:outlineLvl w:val="9"/>
              <w:rPr>
                <w:rFonts w:eastAsia="仿宋"/>
                <w:color w:val="000000"/>
              </w:rPr>
            </w:pPr>
            <w:r>
              <w:rPr>
                <w:rFonts w:eastAsia="仿宋"/>
                <w:color w:val="000000"/>
              </w:rPr>
              <w:t>□有  □无</w:t>
            </w:r>
          </w:p>
        </w:tc>
        <w:tc>
          <w:tcPr>
            <w:tcW w:w="1132" w:type="dxa"/>
            <w:tcBorders>
              <w:top w:val="nil"/>
            </w:tcBorders>
            <w:noWrap w:val="0"/>
            <w:vAlign w:val="center"/>
          </w:tcPr>
          <w:p>
            <w:pPr>
              <w:pageBreakBefore w:val="0"/>
              <w:topLinePunct w:val="0"/>
              <w:bidi w:val="0"/>
              <w:jc w:val="center"/>
              <w:outlineLvl w:val="9"/>
              <w:rPr>
                <w:rFonts w:eastAsia="仿宋"/>
                <w:color w:val="000000"/>
              </w:rPr>
            </w:pPr>
            <w:r>
              <w:rPr>
                <w:rFonts w:eastAsia="仿宋"/>
                <w:color w:val="000000"/>
              </w:rPr>
              <w:t>发证单位</w:t>
            </w:r>
          </w:p>
        </w:tc>
        <w:tc>
          <w:tcPr>
            <w:tcW w:w="1768" w:type="dxa"/>
            <w:gridSpan w:val="2"/>
            <w:tcBorders>
              <w:top w:val="single" w:color="auto" w:sz="4" w:space="0"/>
              <w:right w:val="single" w:color="auto" w:sz="4" w:space="0"/>
            </w:tcBorders>
            <w:noWrap w:val="0"/>
            <w:vAlign w:val="center"/>
          </w:tcPr>
          <w:p>
            <w:pPr>
              <w:pageBreakBefore w:val="0"/>
              <w:topLinePunct w:val="0"/>
              <w:bidi w:val="0"/>
              <w:outlineLvl w:val="9"/>
              <w:rPr>
                <w:rFonts w:eastAsia="仿宋"/>
                <w:color w:val="000000"/>
              </w:rPr>
            </w:pPr>
          </w:p>
        </w:tc>
        <w:tc>
          <w:tcPr>
            <w:tcW w:w="1201" w:type="dxa"/>
            <w:tcBorders>
              <w:top w:val="single" w:color="auto" w:sz="4" w:space="0"/>
              <w:left w:val="single" w:color="auto" w:sz="4" w:space="0"/>
              <w:right w:val="single" w:color="auto" w:sz="4" w:space="0"/>
            </w:tcBorders>
            <w:noWrap w:val="0"/>
            <w:vAlign w:val="center"/>
          </w:tcPr>
          <w:p>
            <w:pPr>
              <w:pageBreakBefore w:val="0"/>
              <w:topLinePunct w:val="0"/>
              <w:bidi w:val="0"/>
              <w:outlineLvl w:val="9"/>
              <w:rPr>
                <w:rFonts w:eastAsia="仿宋"/>
                <w:color w:val="000000"/>
              </w:rPr>
            </w:pPr>
            <w:r>
              <w:rPr>
                <w:rFonts w:eastAsia="仿宋"/>
                <w:color w:val="000000"/>
              </w:rPr>
              <w:t>获取时间</w:t>
            </w:r>
          </w:p>
        </w:tc>
        <w:tc>
          <w:tcPr>
            <w:tcW w:w="1417" w:type="dxa"/>
            <w:tcBorders>
              <w:top w:val="single" w:color="auto" w:sz="4" w:space="0"/>
              <w:left w:val="single" w:color="auto" w:sz="4" w:space="0"/>
              <w:right w:val="double" w:color="auto" w:sz="4" w:space="0"/>
            </w:tcBorders>
            <w:noWrap w:val="0"/>
            <w:vAlign w:val="center"/>
          </w:tcPr>
          <w:p>
            <w:pPr>
              <w:pageBreakBefore w:val="0"/>
              <w:topLinePunct w:val="0"/>
              <w:bidi w:val="0"/>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892" w:type="dxa"/>
            <w:gridSpan w:val="9"/>
            <w:tcBorders>
              <w:left w:val="double" w:color="auto" w:sz="4" w:space="0"/>
              <w:right w:val="double" w:color="auto" w:sz="4" w:space="0"/>
            </w:tcBorders>
            <w:noWrap w:val="0"/>
            <w:vAlign w:val="center"/>
          </w:tcPr>
          <w:p>
            <w:pPr>
              <w:pageBreakBefore w:val="0"/>
              <w:topLinePunct w:val="0"/>
              <w:bidi w:val="0"/>
              <w:outlineLvl w:val="9"/>
              <w:rPr>
                <w:rFonts w:eastAsia="仿宋"/>
                <w:color w:val="000000"/>
              </w:rPr>
            </w:pPr>
            <w:r>
              <w:rPr>
                <w:rFonts w:eastAsia="仿宋"/>
                <w:color w:val="000000"/>
              </w:rPr>
              <w:t>督导来源（□行业企业 □校内返聘 □其他高校教师）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892" w:type="dxa"/>
            <w:gridSpan w:val="9"/>
            <w:tcBorders>
              <w:left w:val="double" w:color="auto" w:sz="4" w:space="0"/>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r>
              <w:rPr>
                <w:rFonts w:eastAsia="仿宋"/>
                <w:color w:val="000000"/>
              </w:rPr>
              <w:t xml:space="preserve">个 人 主 要 简 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rPr>
                <w:rFonts w:eastAsia="仿宋"/>
                <w:color w:val="000000"/>
              </w:rPr>
            </w:pPr>
            <w:r>
              <w:rPr>
                <w:rFonts w:eastAsia="仿宋"/>
                <w:color w:val="000000"/>
              </w:rPr>
              <w:t>时    间</w:t>
            </w: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rPr>
                <w:rFonts w:eastAsia="仿宋"/>
                <w:color w:val="000000"/>
              </w:rPr>
            </w:pPr>
            <w:r>
              <w:rPr>
                <w:rFonts w:eastAsia="仿宋"/>
                <w:color w:val="000000"/>
              </w:rPr>
              <w:t>学 习 或 工 作 单 位</w:t>
            </w:r>
          </w:p>
        </w:tc>
        <w:tc>
          <w:tcPr>
            <w:tcW w:w="4170"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r>
              <w:rPr>
                <w:rFonts w:eastAsia="仿宋"/>
                <w:color w:val="000000"/>
              </w:rPr>
              <w:t xml:space="preserve">专 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70"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70"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70"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70"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70"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892" w:type="dxa"/>
            <w:gridSpan w:val="9"/>
            <w:tcBorders>
              <w:left w:val="double" w:color="auto" w:sz="4" w:space="0"/>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r>
              <w:rPr>
                <w:rFonts w:eastAsia="仿宋"/>
                <w:color w:val="000000"/>
              </w:rPr>
              <w:t>教 学 工 作 经 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rPr>
                <w:rFonts w:eastAsia="仿宋"/>
                <w:color w:val="000000"/>
              </w:rPr>
            </w:pPr>
            <w:r>
              <w:rPr>
                <w:rFonts w:eastAsia="仿宋"/>
                <w:color w:val="000000"/>
              </w:rPr>
              <w:t>时    间</w:t>
            </w: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rPr>
                <w:rFonts w:eastAsia="仿宋"/>
                <w:color w:val="000000"/>
              </w:rPr>
            </w:pPr>
            <w:r>
              <w:rPr>
                <w:rFonts w:eastAsia="仿宋"/>
                <w:color w:val="000000"/>
              </w:rPr>
              <w:t>教 学 工 作 单 位</w:t>
            </w:r>
          </w:p>
        </w:tc>
        <w:tc>
          <w:tcPr>
            <w:tcW w:w="4170"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r>
              <w:rPr>
                <w:rFonts w:eastAsia="仿宋"/>
                <w:color w:val="000000"/>
              </w:rPr>
              <w:t>授 课 课 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70"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70"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70"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4170"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rPr>
                <w:rFonts w:eastAsia="仿宋"/>
                <w:color w:val="000000"/>
              </w:rPr>
            </w:pPr>
            <w:r>
              <w:rPr>
                <w:rFonts w:eastAsia="仿宋"/>
                <w:color w:val="000000"/>
              </w:rPr>
              <w:t>时    间</w:t>
            </w:r>
          </w:p>
        </w:tc>
        <w:tc>
          <w:tcPr>
            <w:tcW w:w="8338" w:type="dxa"/>
            <w:gridSpan w:val="8"/>
            <w:tcBorders>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r>
              <w:rPr>
                <w:rFonts w:eastAsia="仿宋"/>
                <w:color w:val="000000"/>
              </w:rPr>
              <w:t>科 研 业 绩 与 进 修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8338" w:type="dxa"/>
            <w:gridSpan w:val="8"/>
            <w:tcBorders>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bottom w:val="sing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8338" w:type="dxa"/>
            <w:gridSpan w:val="8"/>
            <w:tcBorders>
              <w:bottom w:val="single" w:color="auto" w:sz="4" w:space="0"/>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bottom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c>
          <w:tcPr>
            <w:tcW w:w="8338" w:type="dxa"/>
            <w:gridSpan w:val="8"/>
            <w:tcBorders>
              <w:bottom w:val="double" w:color="auto" w:sz="4" w:space="0"/>
              <w:right w:val="double" w:color="auto" w:sz="4" w:space="0"/>
            </w:tcBorders>
            <w:noWrap w:val="0"/>
            <w:vAlign w:val="center"/>
          </w:tcPr>
          <w:p>
            <w:pPr>
              <w:pageBreakBefore w:val="0"/>
              <w:topLinePunct w:val="0"/>
              <w:bidi w:val="0"/>
              <w:spacing w:line="240" w:lineRule="atLeast"/>
              <w:jc w:val="center"/>
              <w:outlineLvl w:val="9"/>
              <w:rPr>
                <w:rFonts w:eastAsia="仿宋"/>
                <w:color w:val="000000"/>
              </w:rPr>
            </w:pPr>
          </w:p>
        </w:tc>
      </w:tr>
    </w:tbl>
    <w:p>
      <w:pPr>
        <w:pageBreakBefore w:val="0"/>
        <w:topLinePunct w:val="0"/>
        <w:bidi w:val="0"/>
        <w:spacing w:after="120"/>
        <w:outlineLvl w:val="9"/>
        <w:rPr>
          <w:rFonts w:eastAsia="仿宋"/>
          <w:color w:val="000000"/>
        </w:rPr>
      </w:pPr>
      <w:r>
        <w:rPr>
          <w:rFonts w:eastAsia="仿宋"/>
          <w:color w:val="000000"/>
        </w:rPr>
        <w:t>注：第一次聘用填写，第二次及以后聘用不需填写。</w:t>
      </w:r>
    </w:p>
    <w:p>
      <w:pPr>
        <w:pageBreakBefore w:val="0"/>
        <w:topLinePunct w:val="0"/>
        <w:bidi w:val="0"/>
        <w:jc w:val="left"/>
        <w:outlineLvl w:val="9"/>
        <w:rPr>
          <w:rFonts w:eastAsia="黑体"/>
          <w:bCs/>
          <w:sz w:val="30"/>
          <w:szCs w:val="30"/>
        </w:rPr>
      </w:pPr>
      <w:r>
        <w:rPr>
          <w:rFonts w:eastAsia="仿宋"/>
          <w:bCs/>
          <w:sz w:val="30"/>
          <w:szCs w:val="30"/>
        </w:rPr>
        <w:t xml:space="preserve">附件2         </w:t>
      </w:r>
      <w:r>
        <w:rPr>
          <w:rFonts w:eastAsia="方正舒体"/>
          <w:sz w:val="32"/>
          <w:szCs w:val="32"/>
        </w:rPr>
        <w:t>上海电子信息职业技术学院</w:t>
      </w:r>
    </w:p>
    <w:p>
      <w:pPr>
        <w:pageBreakBefore w:val="0"/>
        <w:topLinePunct w:val="0"/>
        <w:bidi w:val="0"/>
        <w:spacing w:after="120"/>
        <w:outlineLvl w:val="9"/>
        <w:rPr>
          <w:rFonts w:eastAsia="仿宋"/>
          <w:b/>
          <w:bCs/>
          <w:sz w:val="32"/>
          <w:szCs w:val="32"/>
        </w:rPr>
      </w:pPr>
      <w:r>
        <w:rPr>
          <w:rFonts w:eastAsia="仿宋"/>
          <w:bCs/>
          <w:sz w:val="30"/>
          <w:szCs w:val="30"/>
        </w:rPr>
        <w:t xml:space="preserve">                   </w:t>
      </w:r>
      <w:r>
        <w:rPr>
          <w:rFonts w:eastAsia="仿宋"/>
          <w:b/>
          <w:bCs/>
          <w:sz w:val="30"/>
          <w:szCs w:val="30"/>
        </w:rPr>
        <w:t>教学</w:t>
      </w:r>
      <w:r>
        <w:rPr>
          <w:rFonts w:eastAsia="仿宋"/>
          <w:b/>
          <w:bCs/>
          <w:sz w:val="32"/>
          <w:szCs w:val="32"/>
        </w:rPr>
        <w:t>督导员审批表</w:t>
      </w:r>
    </w:p>
    <w:p>
      <w:pPr>
        <w:pageBreakBefore w:val="0"/>
        <w:topLinePunct w:val="0"/>
        <w:bidi w:val="0"/>
        <w:spacing w:after="120"/>
        <w:outlineLvl w:val="9"/>
        <w:rPr>
          <w:rFonts w:eastAsia="仿宋"/>
          <w:color w:val="000000"/>
        </w:rPr>
      </w:pPr>
      <w:r>
        <w:rPr>
          <w:rFonts w:eastAsia="仿宋"/>
          <w:color w:val="000000"/>
        </w:rPr>
        <w:t>聘用部门：                                            20    ~20    学年第   学期</w:t>
      </w:r>
    </w:p>
    <w:tbl>
      <w:tblPr>
        <w:tblStyle w:val="37"/>
        <w:tblW w:w="9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000"/>
        <w:gridCol w:w="812"/>
        <w:gridCol w:w="846"/>
        <w:gridCol w:w="1132"/>
        <w:gridCol w:w="1768"/>
        <w:gridCol w:w="126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64" w:type="dxa"/>
            <w:tcBorders>
              <w:top w:val="double" w:color="auto" w:sz="4" w:space="0"/>
              <w:left w:val="doub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姓   名</w:t>
            </w:r>
          </w:p>
        </w:tc>
        <w:tc>
          <w:tcPr>
            <w:tcW w:w="1000" w:type="dxa"/>
            <w:tcBorders>
              <w:top w:val="double" w:color="auto" w:sz="4" w:space="0"/>
            </w:tcBorders>
            <w:noWrap w:val="0"/>
            <w:vAlign w:val="center"/>
          </w:tcPr>
          <w:p>
            <w:pPr>
              <w:pageBreakBefore w:val="0"/>
              <w:topLinePunct w:val="0"/>
              <w:bidi w:val="0"/>
              <w:jc w:val="center"/>
              <w:outlineLvl w:val="9"/>
              <w:rPr>
                <w:rFonts w:eastAsia="仿宋"/>
                <w:color w:val="000000"/>
              </w:rPr>
            </w:pPr>
          </w:p>
          <w:p>
            <w:pPr>
              <w:pageBreakBefore w:val="0"/>
              <w:topLinePunct w:val="0"/>
              <w:bidi w:val="0"/>
              <w:jc w:val="center"/>
              <w:outlineLvl w:val="9"/>
              <w:rPr>
                <w:rFonts w:eastAsia="仿宋"/>
                <w:color w:val="000000"/>
              </w:rPr>
            </w:pPr>
          </w:p>
        </w:tc>
        <w:tc>
          <w:tcPr>
            <w:tcW w:w="812" w:type="dxa"/>
            <w:tcBorders>
              <w:top w:val="doub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性 别</w:t>
            </w:r>
          </w:p>
        </w:tc>
        <w:tc>
          <w:tcPr>
            <w:tcW w:w="846" w:type="dxa"/>
            <w:tcBorders>
              <w:top w:val="double" w:color="auto" w:sz="4" w:space="0"/>
            </w:tcBorders>
            <w:noWrap w:val="0"/>
            <w:vAlign w:val="center"/>
          </w:tcPr>
          <w:p>
            <w:pPr>
              <w:pageBreakBefore w:val="0"/>
              <w:topLinePunct w:val="0"/>
              <w:bidi w:val="0"/>
              <w:jc w:val="center"/>
              <w:outlineLvl w:val="9"/>
              <w:rPr>
                <w:rFonts w:eastAsia="仿宋"/>
                <w:color w:val="000000"/>
              </w:rPr>
            </w:pPr>
          </w:p>
        </w:tc>
        <w:tc>
          <w:tcPr>
            <w:tcW w:w="1132" w:type="dxa"/>
            <w:tcBorders>
              <w:top w:val="doub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出生年月</w:t>
            </w:r>
          </w:p>
        </w:tc>
        <w:tc>
          <w:tcPr>
            <w:tcW w:w="1768" w:type="dxa"/>
            <w:tcBorders>
              <w:top w:val="double" w:color="auto" w:sz="4" w:space="0"/>
            </w:tcBorders>
            <w:noWrap w:val="0"/>
            <w:vAlign w:val="center"/>
          </w:tcPr>
          <w:p>
            <w:pPr>
              <w:pageBreakBefore w:val="0"/>
              <w:topLinePunct w:val="0"/>
              <w:bidi w:val="0"/>
              <w:jc w:val="center"/>
              <w:outlineLvl w:val="9"/>
              <w:rPr>
                <w:rFonts w:eastAsia="仿宋"/>
                <w:color w:val="000000"/>
              </w:rPr>
            </w:pPr>
          </w:p>
        </w:tc>
        <w:tc>
          <w:tcPr>
            <w:tcW w:w="1260" w:type="dxa"/>
            <w:tcBorders>
              <w:top w:val="double" w:color="auto" w:sz="4" w:space="0"/>
              <w:right w:val="sing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学历/学位</w:t>
            </w:r>
          </w:p>
        </w:tc>
        <w:tc>
          <w:tcPr>
            <w:tcW w:w="1417" w:type="dxa"/>
            <w:tcBorders>
              <w:top w:val="double" w:color="auto" w:sz="4" w:space="0"/>
              <w:left w:val="single" w:color="auto" w:sz="4" w:space="0"/>
              <w:right w:val="doub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64" w:type="dxa"/>
            <w:tcBorders>
              <w:left w:val="doub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职称/职业资格</w:t>
            </w:r>
          </w:p>
        </w:tc>
        <w:tc>
          <w:tcPr>
            <w:tcW w:w="2658" w:type="dxa"/>
            <w:gridSpan w:val="3"/>
            <w:noWrap w:val="0"/>
            <w:vAlign w:val="center"/>
          </w:tcPr>
          <w:p>
            <w:pPr>
              <w:pageBreakBefore w:val="0"/>
              <w:topLinePunct w:val="0"/>
              <w:bidi w:val="0"/>
              <w:jc w:val="center"/>
              <w:outlineLvl w:val="9"/>
              <w:rPr>
                <w:rFonts w:eastAsia="仿宋"/>
                <w:color w:val="000000"/>
              </w:rPr>
            </w:pPr>
          </w:p>
        </w:tc>
        <w:tc>
          <w:tcPr>
            <w:tcW w:w="1132" w:type="dxa"/>
            <w:noWrap w:val="0"/>
            <w:vAlign w:val="center"/>
          </w:tcPr>
          <w:p>
            <w:pPr>
              <w:pageBreakBefore w:val="0"/>
              <w:topLinePunct w:val="0"/>
              <w:bidi w:val="0"/>
              <w:jc w:val="center"/>
              <w:outlineLvl w:val="9"/>
              <w:rPr>
                <w:rFonts w:eastAsia="仿宋"/>
                <w:color w:val="000000"/>
              </w:rPr>
            </w:pPr>
            <w:r>
              <w:rPr>
                <w:rFonts w:eastAsia="仿宋"/>
                <w:color w:val="000000"/>
              </w:rPr>
              <w:t>发证单位</w:t>
            </w:r>
          </w:p>
        </w:tc>
        <w:tc>
          <w:tcPr>
            <w:tcW w:w="1768" w:type="dxa"/>
            <w:noWrap w:val="0"/>
            <w:vAlign w:val="center"/>
          </w:tcPr>
          <w:p>
            <w:pPr>
              <w:pageBreakBefore w:val="0"/>
              <w:topLinePunct w:val="0"/>
              <w:bidi w:val="0"/>
              <w:jc w:val="center"/>
              <w:outlineLvl w:val="9"/>
              <w:rPr>
                <w:rFonts w:eastAsia="仿宋"/>
                <w:color w:val="000000"/>
              </w:rPr>
            </w:pPr>
          </w:p>
        </w:tc>
        <w:tc>
          <w:tcPr>
            <w:tcW w:w="1260" w:type="dxa"/>
            <w:tcBorders>
              <w:bottom w:val="nil"/>
              <w:right w:val="sing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获取时间</w:t>
            </w:r>
          </w:p>
        </w:tc>
        <w:tc>
          <w:tcPr>
            <w:tcW w:w="1417" w:type="dxa"/>
            <w:tcBorders>
              <w:left w:val="single" w:color="auto" w:sz="4" w:space="0"/>
              <w:bottom w:val="nil"/>
              <w:right w:val="double" w:color="auto" w:sz="4" w:space="0"/>
            </w:tcBorders>
            <w:noWrap w:val="0"/>
            <w:vAlign w:val="center"/>
          </w:tcPr>
          <w:p>
            <w:pPr>
              <w:pageBreakBefore w:val="0"/>
              <w:topLinePunct w:val="0"/>
              <w:bidi w:val="0"/>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64" w:type="dxa"/>
            <w:tcBorders>
              <w:left w:val="doub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毕业学校</w:t>
            </w:r>
          </w:p>
        </w:tc>
        <w:tc>
          <w:tcPr>
            <w:tcW w:w="2658" w:type="dxa"/>
            <w:gridSpan w:val="3"/>
            <w:tcBorders>
              <w:top w:val="single" w:color="auto" w:sz="4" w:space="0"/>
              <w:right w:val="single" w:color="auto" w:sz="4" w:space="0"/>
            </w:tcBorders>
            <w:noWrap w:val="0"/>
            <w:vAlign w:val="center"/>
          </w:tcPr>
          <w:p>
            <w:pPr>
              <w:pageBreakBefore w:val="0"/>
              <w:topLinePunct w:val="0"/>
              <w:bidi w:val="0"/>
              <w:jc w:val="center"/>
              <w:outlineLvl w:val="9"/>
              <w:rPr>
                <w:rFonts w:eastAsia="仿宋"/>
                <w:color w:val="000000"/>
              </w:rPr>
            </w:pPr>
          </w:p>
        </w:tc>
        <w:tc>
          <w:tcPr>
            <w:tcW w:w="1132" w:type="dxa"/>
            <w:tcBorders>
              <w:top w:val="single" w:color="auto" w:sz="4" w:space="0"/>
              <w:left w:val="single" w:color="auto" w:sz="4" w:space="0"/>
              <w:right w:val="sing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专业</w:t>
            </w:r>
          </w:p>
        </w:tc>
        <w:tc>
          <w:tcPr>
            <w:tcW w:w="1768" w:type="dxa"/>
            <w:tcBorders>
              <w:top w:val="single" w:color="auto" w:sz="4" w:space="0"/>
              <w:left w:val="single" w:color="auto" w:sz="4" w:space="0"/>
              <w:right w:val="single" w:color="auto" w:sz="4" w:space="0"/>
            </w:tcBorders>
            <w:noWrap w:val="0"/>
            <w:vAlign w:val="center"/>
          </w:tcPr>
          <w:p>
            <w:pPr>
              <w:pageBreakBefore w:val="0"/>
              <w:topLinePunct w:val="0"/>
              <w:bidi w:val="0"/>
              <w:jc w:val="center"/>
              <w:outlineLvl w:val="9"/>
              <w:rPr>
                <w:rFonts w:eastAsia="仿宋"/>
                <w:color w:val="000000"/>
              </w:rPr>
            </w:pPr>
          </w:p>
        </w:tc>
        <w:tc>
          <w:tcPr>
            <w:tcW w:w="1260" w:type="dxa"/>
            <w:tcBorders>
              <w:top w:val="single" w:color="auto" w:sz="4" w:space="0"/>
              <w:left w:val="single" w:color="auto" w:sz="4" w:space="0"/>
              <w:right w:val="sing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专业特长</w:t>
            </w:r>
          </w:p>
        </w:tc>
        <w:tc>
          <w:tcPr>
            <w:tcW w:w="1417" w:type="dxa"/>
            <w:tcBorders>
              <w:top w:val="single" w:color="auto" w:sz="4" w:space="0"/>
              <w:left w:val="single" w:color="auto" w:sz="4" w:space="0"/>
              <w:right w:val="double" w:color="auto" w:sz="4" w:space="0"/>
            </w:tcBorders>
            <w:noWrap w:val="0"/>
            <w:vAlign w:val="center"/>
          </w:tcPr>
          <w:p>
            <w:pPr>
              <w:pageBreakBefore w:val="0"/>
              <w:topLinePunct w:val="0"/>
              <w:bidi w:val="0"/>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664" w:type="dxa"/>
            <w:gridSpan w:val="2"/>
            <w:vMerge w:val="restart"/>
            <w:tcBorders>
              <w:left w:val="doub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现（原）工作单位、部门</w:t>
            </w:r>
          </w:p>
          <w:p>
            <w:pPr>
              <w:pageBreakBefore w:val="0"/>
              <w:topLinePunct w:val="0"/>
              <w:bidi w:val="0"/>
              <w:jc w:val="center"/>
              <w:outlineLvl w:val="9"/>
              <w:rPr>
                <w:rFonts w:eastAsia="仿宋"/>
                <w:color w:val="000000"/>
              </w:rPr>
            </w:pPr>
            <w:r>
              <w:rPr>
                <w:rFonts w:eastAsia="仿宋"/>
                <w:color w:val="000000"/>
              </w:rPr>
              <w:t>(□在职 □退休)</w:t>
            </w:r>
          </w:p>
        </w:tc>
        <w:tc>
          <w:tcPr>
            <w:tcW w:w="4558" w:type="dxa"/>
            <w:gridSpan w:val="4"/>
            <w:vMerge w:val="restart"/>
            <w:tcBorders>
              <w:top w:val="nil"/>
              <w:right w:val="single" w:color="auto" w:sz="4" w:space="0"/>
            </w:tcBorders>
            <w:noWrap w:val="0"/>
            <w:vAlign w:val="center"/>
          </w:tcPr>
          <w:p>
            <w:pPr>
              <w:pageBreakBefore w:val="0"/>
              <w:topLinePunct w:val="0"/>
              <w:bidi w:val="0"/>
              <w:jc w:val="center"/>
              <w:outlineLvl w:val="9"/>
              <w:rPr>
                <w:rFonts w:eastAsia="仿宋"/>
                <w:color w:val="000000"/>
              </w:rPr>
            </w:pPr>
          </w:p>
        </w:tc>
        <w:tc>
          <w:tcPr>
            <w:tcW w:w="1260" w:type="dxa"/>
            <w:tcBorders>
              <w:top w:val="nil"/>
              <w:left w:val="single" w:color="auto" w:sz="4" w:space="0"/>
              <w:right w:val="sing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联系电话</w:t>
            </w:r>
          </w:p>
        </w:tc>
        <w:tc>
          <w:tcPr>
            <w:tcW w:w="1417" w:type="dxa"/>
            <w:tcBorders>
              <w:top w:val="nil"/>
              <w:left w:val="single" w:color="auto" w:sz="4" w:space="0"/>
              <w:right w:val="double" w:color="auto" w:sz="4" w:space="0"/>
            </w:tcBorders>
            <w:noWrap w:val="0"/>
            <w:vAlign w:val="center"/>
          </w:tcPr>
          <w:p>
            <w:pPr>
              <w:pageBreakBefore w:val="0"/>
              <w:topLinePunct w:val="0"/>
              <w:bidi w:val="0"/>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664" w:type="dxa"/>
            <w:gridSpan w:val="2"/>
            <w:vMerge w:val="continue"/>
            <w:tcBorders>
              <w:left w:val="double" w:color="auto" w:sz="4" w:space="0"/>
            </w:tcBorders>
            <w:noWrap w:val="0"/>
            <w:vAlign w:val="center"/>
          </w:tcPr>
          <w:p>
            <w:pPr>
              <w:pageBreakBefore w:val="0"/>
              <w:topLinePunct w:val="0"/>
              <w:bidi w:val="0"/>
              <w:jc w:val="center"/>
              <w:outlineLvl w:val="9"/>
              <w:rPr>
                <w:rFonts w:eastAsia="仿宋"/>
                <w:color w:val="000000"/>
              </w:rPr>
            </w:pPr>
          </w:p>
        </w:tc>
        <w:tc>
          <w:tcPr>
            <w:tcW w:w="4558" w:type="dxa"/>
            <w:gridSpan w:val="4"/>
            <w:vMerge w:val="continue"/>
            <w:tcBorders>
              <w:right w:val="single" w:color="auto" w:sz="4" w:space="0"/>
            </w:tcBorders>
            <w:noWrap w:val="0"/>
            <w:vAlign w:val="center"/>
          </w:tcPr>
          <w:p>
            <w:pPr>
              <w:pageBreakBefore w:val="0"/>
              <w:topLinePunct w:val="0"/>
              <w:bidi w:val="0"/>
              <w:jc w:val="center"/>
              <w:outlineLvl w:val="9"/>
              <w:rPr>
                <w:rFonts w:eastAsia="仿宋"/>
                <w:color w:val="000000"/>
              </w:rPr>
            </w:pPr>
          </w:p>
        </w:tc>
        <w:tc>
          <w:tcPr>
            <w:tcW w:w="1260" w:type="dxa"/>
            <w:tcBorders>
              <w:top w:val="nil"/>
              <w:left w:val="single" w:color="auto" w:sz="4" w:space="0"/>
              <w:right w:val="sing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E-mail</w:t>
            </w:r>
          </w:p>
        </w:tc>
        <w:tc>
          <w:tcPr>
            <w:tcW w:w="1417" w:type="dxa"/>
            <w:tcBorders>
              <w:left w:val="single" w:color="auto" w:sz="4" w:space="0"/>
              <w:right w:val="double" w:color="auto" w:sz="4" w:space="0"/>
            </w:tcBorders>
            <w:noWrap w:val="0"/>
            <w:vAlign w:val="center"/>
          </w:tcPr>
          <w:p>
            <w:pPr>
              <w:pageBreakBefore w:val="0"/>
              <w:topLinePunct w:val="0"/>
              <w:bidi w:val="0"/>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664" w:type="dxa"/>
            <w:gridSpan w:val="2"/>
            <w:tcBorders>
              <w:left w:val="doub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高校教师资格证书</w:t>
            </w:r>
          </w:p>
        </w:tc>
        <w:tc>
          <w:tcPr>
            <w:tcW w:w="1658" w:type="dxa"/>
            <w:gridSpan w:val="2"/>
            <w:noWrap w:val="0"/>
            <w:vAlign w:val="center"/>
          </w:tcPr>
          <w:p>
            <w:pPr>
              <w:pageBreakBefore w:val="0"/>
              <w:topLinePunct w:val="0"/>
              <w:bidi w:val="0"/>
              <w:jc w:val="center"/>
              <w:outlineLvl w:val="9"/>
              <w:rPr>
                <w:rFonts w:eastAsia="仿宋"/>
                <w:color w:val="000000"/>
              </w:rPr>
            </w:pPr>
            <w:r>
              <w:rPr>
                <w:rFonts w:eastAsia="仿宋"/>
                <w:color w:val="000000"/>
              </w:rPr>
              <w:t>□有  □无</w:t>
            </w:r>
          </w:p>
        </w:tc>
        <w:tc>
          <w:tcPr>
            <w:tcW w:w="1132" w:type="dxa"/>
            <w:tcBorders>
              <w:top w:val="nil"/>
            </w:tcBorders>
            <w:noWrap w:val="0"/>
            <w:vAlign w:val="center"/>
          </w:tcPr>
          <w:p>
            <w:pPr>
              <w:pageBreakBefore w:val="0"/>
              <w:topLinePunct w:val="0"/>
              <w:bidi w:val="0"/>
              <w:jc w:val="center"/>
              <w:outlineLvl w:val="9"/>
              <w:rPr>
                <w:rFonts w:eastAsia="仿宋"/>
                <w:color w:val="000000"/>
              </w:rPr>
            </w:pPr>
            <w:r>
              <w:rPr>
                <w:rFonts w:eastAsia="仿宋"/>
                <w:color w:val="000000"/>
              </w:rPr>
              <w:t>发证单位</w:t>
            </w:r>
          </w:p>
        </w:tc>
        <w:tc>
          <w:tcPr>
            <w:tcW w:w="1768" w:type="dxa"/>
            <w:tcBorders>
              <w:top w:val="single" w:color="auto" w:sz="4" w:space="0"/>
              <w:right w:val="single" w:color="auto" w:sz="4" w:space="0"/>
            </w:tcBorders>
            <w:noWrap w:val="0"/>
            <w:vAlign w:val="center"/>
          </w:tcPr>
          <w:p>
            <w:pPr>
              <w:pageBreakBefore w:val="0"/>
              <w:topLinePunct w:val="0"/>
              <w:bidi w:val="0"/>
              <w:outlineLvl w:val="9"/>
              <w:rPr>
                <w:rFonts w:eastAsia="仿宋"/>
                <w:color w:val="000000"/>
              </w:rPr>
            </w:pPr>
          </w:p>
        </w:tc>
        <w:tc>
          <w:tcPr>
            <w:tcW w:w="1260" w:type="dxa"/>
            <w:tcBorders>
              <w:top w:val="single" w:color="auto" w:sz="4" w:space="0"/>
              <w:left w:val="single" w:color="auto" w:sz="4" w:space="0"/>
              <w:right w:val="single" w:color="auto" w:sz="4" w:space="0"/>
            </w:tcBorders>
            <w:noWrap w:val="0"/>
            <w:vAlign w:val="center"/>
          </w:tcPr>
          <w:p>
            <w:pPr>
              <w:pageBreakBefore w:val="0"/>
              <w:topLinePunct w:val="0"/>
              <w:bidi w:val="0"/>
              <w:outlineLvl w:val="9"/>
              <w:rPr>
                <w:rFonts w:eastAsia="仿宋"/>
                <w:color w:val="000000"/>
              </w:rPr>
            </w:pPr>
            <w:r>
              <w:rPr>
                <w:rFonts w:eastAsia="仿宋"/>
                <w:color w:val="000000"/>
              </w:rPr>
              <w:t>获取时间</w:t>
            </w:r>
          </w:p>
        </w:tc>
        <w:tc>
          <w:tcPr>
            <w:tcW w:w="1417" w:type="dxa"/>
            <w:tcBorders>
              <w:top w:val="single" w:color="auto" w:sz="4" w:space="0"/>
              <w:left w:val="single" w:color="auto" w:sz="4" w:space="0"/>
              <w:right w:val="double" w:color="auto" w:sz="4" w:space="0"/>
            </w:tcBorders>
            <w:noWrap w:val="0"/>
            <w:vAlign w:val="center"/>
          </w:tcPr>
          <w:p>
            <w:pPr>
              <w:pageBreakBefore w:val="0"/>
              <w:topLinePunct w:val="0"/>
              <w:bidi w:val="0"/>
              <w:jc w:val="center"/>
              <w:outlineLvl w:val="9"/>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899" w:type="dxa"/>
            <w:gridSpan w:val="8"/>
            <w:tcBorders>
              <w:left w:val="double" w:color="auto" w:sz="4" w:space="0"/>
              <w:bottom w:val="single" w:color="auto" w:sz="4" w:space="0"/>
              <w:right w:val="double" w:color="auto" w:sz="4" w:space="0"/>
            </w:tcBorders>
            <w:noWrap w:val="0"/>
            <w:vAlign w:val="center"/>
          </w:tcPr>
          <w:p>
            <w:pPr>
              <w:pageBreakBefore w:val="0"/>
              <w:topLinePunct w:val="0"/>
              <w:bidi w:val="0"/>
              <w:outlineLvl w:val="9"/>
              <w:rPr>
                <w:rFonts w:eastAsia="仿宋"/>
                <w:color w:val="000000"/>
              </w:rPr>
            </w:pPr>
            <w:r>
              <w:rPr>
                <w:rFonts w:hint="eastAsia" w:eastAsia="仿宋"/>
                <w:color w:val="000000"/>
              </w:rPr>
              <w:t>督导</w:t>
            </w:r>
            <w:r>
              <w:rPr>
                <w:rFonts w:eastAsia="仿宋"/>
                <w:color w:val="000000"/>
              </w:rPr>
              <w:t>来源（□行业企业 □校内返聘</w:t>
            </w:r>
            <w:r>
              <w:rPr>
                <w:rFonts w:hint="eastAsia" w:eastAsia="仿宋"/>
                <w:color w:val="000000"/>
              </w:rPr>
              <w:t xml:space="preserve"> </w:t>
            </w:r>
            <w:r>
              <w:rPr>
                <w:rFonts w:eastAsia="仿宋"/>
                <w:color w:val="000000"/>
              </w:rPr>
              <w:t>□其他高校教师）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5" w:hRule="atLeast"/>
          <w:jc w:val="center"/>
        </w:trPr>
        <w:tc>
          <w:tcPr>
            <w:tcW w:w="1664" w:type="dxa"/>
            <w:tcBorders>
              <w:left w:val="double" w:color="auto" w:sz="4" w:space="0"/>
              <w:right w:val="sing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听课课程</w:t>
            </w:r>
          </w:p>
        </w:tc>
        <w:tc>
          <w:tcPr>
            <w:tcW w:w="8235" w:type="dxa"/>
            <w:gridSpan w:val="7"/>
            <w:tcBorders>
              <w:left w:val="single" w:color="auto" w:sz="4" w:space="0"/>
              <w:right w:val="double" w:color="auto" w:sz="4" w:space="0"/>
            </w:tcBorders>
            <w:noWrap w:val="0"/>
            <w:vAlign w:val="top"/>
          </w:tcPr>
          <w:p>
            <w:pPr>
              <w:pageBreakBefore w:val="0"/>
              <w:topLinePunct w:val="0"/>
              <w:bidi w:val="0"/>
              <w:spacing w:before="156" w:beforeLines="50"/>
              <w:outlineLvl w:val="9"/>
              <w:rPr>
                <w:rFonts w:eastAsia="仿宋"/>
                <w:color w:val="000000"/>
              </w:rPr>
            </w:pPr>
            <w:r>
              <w:rPr>
                <w:rFonts w:eastAsia="仿宋"/>
                <w:color w:val="000000"/>
              </w:rPr>
              <w:t>（请按实际写1~2门课程）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5" w:hRule="atLeast"/>
          <w:jc w:val="center"/>
        </w:trPr>
        <w:tc>
          <w:tcPr>
            <w:tcW w:w="1664" w:type="dxa"/>
            <w:tcBorders>
              <w:left w:val="double" w:color="auto" w:sz="4" w:space="0"/>
              <w:right w:val="single" w:color="auto" w:sz="4" w:space="0"/>
            </w:tcBorders>
            <w:noWrap w:val="0"/>
            <w:vAlign w:val="center"/>
          </w:tcPr>
          <w:p>
            <w:pPr>
              <w:pageBreakBefore w:val="0"/>
              <w:topLinePunct w:val="0"/>
              <w:bidi w:val="0"/>
              <w:jc w:val="center"/>
              <w:outlineLvl w:val="9"/>
              <w:rPr>
                <w:rFonts w:eastAsia="仿宋"/>
                <w:color w:val="000000"/>
              </w:rPr>
            </w:pPr>
            <w:r>
              <w:rPr>
                <w:rFonts w:eastAsia="仿宋"/>
                <w:color w:val="000000"/>
              </w:rPr>
              <w:t>听课</w:t>
            </w:r>
            <w:r>
              <w:rPr>
                <w:rFonts w:hint="eastAsia" w:eastAsia="仿宋"/>
                <w:color w:val="000000"/>
              </w:rPr>
              <w:t>人数</w:t>
            </w:r>
            <w:r>
              <w:rPr>
                <w:rFonts w:eastAsia="仿宋"/>
                <w:color w:val="000000"/>
              </w:rPr>
              <w:t>及相关督导工作</w:t>
            </w:r>
          </w:p>
        </w:tc>
        <w:tc>
          <w:tcPr>
            <w:tcW w:w="8235" w:type="dxa"/>
            <w:gridSpan w:val="7"/>
            <w:tcBorders>
              <w:left w:val="single" w:color="auto" w:sz="4" w:space="0"/>
              <w:right w:val="double" w:color="auto" w:sz="4" w:space="0"/>
            </w:tcBorders>
            <w:noWrap w:val="0"/>
            <w:vAlign w:val="top"/>
          </w:tcPr>
          <w:p>
            <w:pPr>
              <w:pageBreakBefore w:val="0"/>
              <w:topLinePunct w:val="0"/>
              <w:bidi w:val="0"/>
              <w:spacing w:before="156" w:beforeLines="50"/>
              <w:outlineLvl w:val="9"/>
              <w:rPr>
                <w:rFonts w:eastAsia="仿宋"/>
                <w:color w:val="000000"/>
              </w:rPr>
            </w:pPr>
            <w:r>
              <w:rPr>
                <w:rFonts w:hint="eastAsia" w:eastAsia="仿宋"/>
                <w:color w:val="000000"/>
              </w:rPr>
              <w:t>听课人数</w:t>
            </w:r>
            <w:r>
              <w:rPr>
                <w:rFonts w:eastAsia="仿宋"/>
                <w:color w:val="000000"/>
              </w:rPr>
              <w:t>（请按实际写）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5" w:hRule="atLeast"/>
          <w:jc w:val="center"/>
        </w:trPr>
        <w:tc>
          <w:tcPr>
            <w:tcW w:w="1664" w:type="dxa"/>
            <w:tcBorders>
              <w:left w:val="double" w:color="auto" w:sz="4" w:space="0"/>
              <w:bottom w:val="single" w:color="auto" w:sz="4" w:space="0"/>
            </w:tcBorders>
            <w:noWrap w:val="0"/>
            <w:vAlign w:val="center"/>
          </w:tcPr>
          <w:p>
            <w:pPr>
              <w:pageBreakBefore w:val="0"/>
              <w:topLinePunct w:val="0"/>
              <w:bidi w:val="0"/>
              <w:spacing w:before="100" w:line="360" w:lineRule="auto"/>
              <w:jc w:val="center"/>
              <w:outlineLvl w:val="9"/>
              <w:rPr>
                <w:rFonts w:eastAsia="仿宋"/>
                <w:color w:val="000000"/>
              </w:rPr>
            </w:pPr>
            <w:r>
              <w:rPr>
                <w:rFonts w:eastAsia="仿宋"/>
                <w:color w:val="000000"/>
              </w:rPr>
              <w:t>聘用部门意见</w:t>
            </w:r>
          </w:p>
        </w:tc>
        <w:tc>
          <w:tcPr>
            <w:tcW w:w="8235" w:type="dxa"/>
            <w:gridSpan w:val="7"/>
            <w:tcBorders>
              <w:top w:val="nil"/>
              <w:bottom w:val="single" w:color="auto" w:sz="4" w:space="0"/>
              <w:right w:val="double" w:color="auto" w:sz="4" w:space="0"/>
            </w:tcBorders>
            <w:noWrap w:val="0"/>
            <w:vAlign w:val="center"/>
          </w:tcPr>
          <w:p>
            <w:pPr>
              <w:pageBreakBefore w:val="0"/>
              <w:topLinePunct w:val="0"/>
              <w:bidi w:val="0"/>
              <w:ind w:firstLine="4317" w:firstLineChars="2056"/>
              <w:outlineLvl w:val="9"/>
              <w:rPr>
                <w:rFonts w:eastAsia="仿宋"/>
                <w:color w:val="000000"/>
              </w:rPr>
            </w:pPr>
          </w:p>
          <w:p>
            <w:pPr>
              <w:pageBreakBefore w:val="0"/>
              <w:topLinePunct w:val="0"/>
              <w:bidi w:val="0"/>
              <w:ind w:firstLine="4317" w:firstLineChars="2056"/>
              <w:outlineLvl w:val="9"/>
              <w:rPr>
                <w:rFonts w:eastAsia="仿宋"/>
                <w:color w:val="000000"/>
              </w:rPr>
            </w:pPr>
          </w:p>
          <w:p>
            <w:pPr>
              <w:pageBreakBefore w:val="0"/>
              <w:topLinePunct w:val="0"/>
              <w:bidi w:val="0"/>
              <w:ind w:firstLine="4200" w:firstLineChars="2000"/>
              <w:outlineLvl w:val="9"/>
              <w:rPr>
                <w:rFonts w:eastAsia="仿宋"/>
                <w:color w:val="000000"/>
              </w:rPr>
            </w:pPr>
            <w:r>
              <w:rPr>
                <w:rFonts w:eastAsia="仿宋"/>
                <w:color w:val="000000"/>
              </w:rPr>
              <w:t xml:space="preserve">负责人签字：     </w:t>
            </w:r>
            <w:r>
              <w:rPr>
                <w:rFonts w:hint="eastAsia" w:eastAsia="仿宋"/>
                <w:color w:val="000000"/>
              </w:rPr>
              <w:t xml:space="preserve"> </w:t>
            </w:r>
            <w:r>
              <w:rPr>
                <w:rFonts w:eastAsia="仿宋"/>
                <w:color w:val="000000"/>
              </w:rPr>
              <w:t xml:space="preserve"> 部门章：</w:t>
            </w:r>
          </w:p>
          <w:p>
            <w:pPr>
              <w:pageBreakBefore w:val="0"/>
              <w:topLinePunct w:val="0"/>
              <w:bidi w:val="0"/>
              <w:ind w:firstLine="6090" w:firstLineChars="2900"/>
              <w:outlineLvl w:val="9"/>
              <w:rPr>
                <w:rFonts w:eastAsia="仿宋"/>
                <w:color w:val="000000"/>
              </w:rPr>
            </w:pPr>
            <w:r>
              <w:rPr>
                <w:rFonts w:eastAsia="仿宋"/>
                <w:color w:val="00000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15" w:hRule="atLeast"/>
          <w:jc w:val="center"/>
        </w:trPr>
        <w:tc>
          <w:tcPr>
            <w:tcW w:w="1664" w:type="dxa"/>
            <w:tcBorders>
              <w:top w:val="single" w:color="auto" w:sz="4" w:space="0"/>
              <w:left w:val="double" w:color="auto" w:sz="4" w:space="0"/>
              <w:bottom w:val="double" w:color="auto" w:sz="4" w:space="0"/>
            </w:tcBorders>
            <w:noWrap w:val="0"/>
            <w:vAlign w:val="center"/>
          </w:tcPr>
          <w:p>
            <w:pPr>
              <w:pageBreakBefore w:val="0"/>
              <w:topLinePunct w:val="0"/>
              <w:bidi w:val="0"/>
              <w:spacing w:before="100" w:line="312" w:lineRule="auto"/>
              <w:jc w:val="center"/>
              <w:outlineLvl w:val="9"/>
              <w:rPr>
                <w:rFonts w:eastAsia="仿宋"/>
                <w:color w:val="000000"/>
              </w:rPr>
            </w:pPr>
            <w:r>
              <w:rPr>
                <w:rFonts w:eastAsia="仿宋"/>
                <w:color w:val="000000"/>
              </w:rPr>
              <w:t>教务处</w:t>
            </w:r>
          </w:p>
          <w:p>
            <w:pPr>
              <w:pageBreakBefore w:val="0"/>
              <w:topLinePunct w:val="0"/>
              <w:bidi w:val="0"/>
              <w:spacing w:before="100" w:line="360" w:lineRule="auto"/>
              <w:jc w:val="center"/>
              <w:outlineLvl w:val="9"/>
              <w:rPr>
                <w:rFonts w:eastAsia="仿宋"/>
                <w:color w:val="000000"/>
              </w:rPr>
            </w:pPr>
            <w:r>
              <w:rPr>
                <w:rFonts w:eastAsia="仿宋"/>
                <w:color w:val="000000"/>
              </w:rPr>
              <w:t>意 见</w:t>
            </w:r>
          </w:p>
        </w:tc>
        <w:tc>
          <w:tcPr>
            <w:tcW w:w="8235" w:type="dxa"/>
            <w:gridSpan w:val="7"/>
            <w:tcBorders>
              <w:top w:val="single" w:color="auto" w:sz="4" w:space="0"/>
              <w:bottom w:val="double" w:color="auto" w:sz="4" w:space="0"/>
              <w:right w:val="double" w:color="auto" w:sz="4" w:space="0"/>
            </w:tcBorders>
            <w:noWrap w:val="0"/>
            <w:vAlign w:val="center"/>
          </w:tcPr>
          <w:p>
            <w:pPr>
              <w:pageBreakBefore w:val="0"/>
              <w:topLinePunct w:val="0"/>
              <w:bidi w:val="0"/>
              <w:ind w:firstLine="5367" w:firstLineChars="2556"/>
              <w:outlineLvl w:val="9"/>
              <w:rPr>
                <w:rFonts w:eastAsia="仿宋"/>
                <w:color w:val="000000"/>
              </w:rPr>
            </w:pPr>
          </w:p>
          <w:p>
            <w:pPr>
              <w:pageBreakBefore w:val="0"/>
              <w:topLinePunct w:val="0"/>
              <w:bidi w:val="0"/>
              <w:ind w:firstLine="5367" w:firstLineChars="2556"/>
              <w:outlineLvl w:val="9"/>
              <w:rPr>
                <w:rFonts w:eastAsia="仿宋"/>
                <w:color w:val="000000"/>
              </w:rPr>
            </w:pPr>
          </w:p>
          <w:p>
            <w:pPr>
              <w:pageBreakBefore w:val="0"/>
              <w:topLinePunct w:val="0"/>
              <w:bidi w:val="0"/>
              <w:ind w:firstLine="210" w:firstLineChars="100"/>
              <w:outlineLvl w:val="9"/>
              <w:rPr>
                <w:rFonts w:eastAsia="仿宋"/>
                <w:color w:val="000000"/>
              </w:rPr>
            </w:pPr>
            <w:r>
              <w:rPr>
                <w:rFonts w:eastAsia="仿宋"/>
                <w:color w:val="000000"/>
              </w:rPr>
              <w:t xml:space="preserve">                                    </w:t>
            </w:r>
            <w:r>
              <w:rPr>
                <w:rFonts w:hint="eastAsia" w:eastAsia="仿宋"/>
                <w:color w:val="000000"/>
              </w:rPr>
              <w:t xml:space="preserve"> </w:t>
            </w:r>
            <w:r>
              <w:rPr>
                <w:rFonts w:eastAsia="仿宋"/>
                <w:color w:val="000000"/>
              </w:rPr>
              <w:t xml:space="preserve"> 负责人签字：     </w:t>
            </w:r>
            <w:r>
              <w:rPr>
                <w:rFonts w:hint="eastAsia" w:eastAsia="仿宋"/>
                <w:color w:val="000000"/>
              </w:rPr>
              <w:t xml:space="preserve"> </w:t>
            </w:r>
            <w:r>
              <w:rPr>
                <w:rFonts w:eastAsia="仿宋"/>
                <w:color w:val="000000"/>
              </w:rPr>
              <w:t xml:space="preserve"> 部门章：</w:t>
            </w:r>
          </w:p>
          <w:p>
            <w:pPr>
              <w:pageBreakBefore w:val="0"/>
              <w:wordWrap w:val="0"/>
              <w:topLinePunct w:val="0"/>
              <w:bidi w:val="0"/>
              <w:ind w:firstLine="210" w:firstLineChars="100"/>
              <w:jc w:val="right"/>
              <w:outlineLvl w:val="9"/>
              <w:rPr>
                <w:rFonts w:eastAsia="仿宋"/>
                <w:color w:val="000000"/>
              </w:rPr>
            </w:pPr>
            <w:r>
              <w:rPr>
                <w:rFonts w:eastAsia="仿宋"/>
                <w:color w:val="000000"/>
              </w:rPr>
              <w:t xml:space="preserve"> </w:t>
            </w:r>
            <w:r>
              <w:rPr>
                <w:rFonts w:hint="eastAsia" w:eastAsia="仿宋"/>
                <w:color w:val="000000"/>
              </w:rPr>
              <w:t xml:space="preserve">   </w:t>
            </w:r>
            <w:r>
              <w:rPr>
                <w:rFonts w:eastAsia="仿宋"/>
                <w:color w:val="000000"/>
              </w:rPr>
              <w:t xml:space="preserve">年     月     日   </w:t>
            </w:r>
          </w:p>
        </w:tc>
      </w:tr>
    </w:tbl>
    <w:p>
      <w:pPr>
        <w:pageBreakBefore w:val="0"/>
        <w:topLinePunct w:val="0"/>
        <w:bidi w:val="0"/>
        <w:spacing w:line="320" w:lineRule="exact"/>
        <w:jc w:val="left"/>
        <w:outlineLvl w:val="9"/>
        <w:rPr>
          <w:rFonts w:eastAsia="仿宋"/>
          <w:color w:val="000000"/>
        </w:rPr>
      </w:pPr>
      <w:r>
        <w:rPr>
          <w:rFonts w:eastAsia="仿宋"/>
          <w:color w:val="000000"/>
        </w:rPr>
        <w:t>注：1．如果是第一次聘用，交表同时附</w:t>
      </w:r>
      <w:r>
        <w:rPr>
          <w:rFonts w:hint="eastAsia" w:eastAsia="仿宋"/>
          <w:color w:val="000000"/>
        </w:rPr>
        <w:t>教学督导员</w:t>
      </w:r>
      <w:r>
        <w:rPr>
          <w:rFonts w:eastAsia="仿宋"/>
          <w:color w:val="000000"/>
        </w:rPr>
        <w:t>身份证、学历学位证书、职称证书复印件各一份。2.本表应在规定时间内交教务处审核。</w:t>
      </w:r>
    </w:p>
    <w:p>
      <w:pPr>
        <w:pageBreakBefore w:val="0"/>
        <w:topLinePunct w:val="0"/>
        <w:bidi w:val="0"/>
        <w:outlineLvl w:val="9"/>
      </w:pPr>
    </w:p>
    <w:p>
      <w:pPr>
        <w:bidi w:val="0"/>
        <w:rPr>
          <w:rFonts w:hint="eastAsia" w:ascii="仿宋" w:hAnsi="仿宋" w:eastAsia="仿宋"/>
          <w:bCs/>
          <w:szCs w:val="30"/>
        </w:rPr>
      </w:pPr>
      <w:r>
        <w:rPr>
          <w:rFonts w:hint="eastAsia" w:ascii="仿宋" w:hAnsi="仿宋" w:eastAsia="仿宋"/>
          <w:bCs/>
          <w:szCs w:val="30"/>
        </w:rPr>
        <w:t>附件</w:t>
      </w:r>
      <w:r>
        <w:rPr>
          <w:rFonts w:ascii="仿宋" w:hAnsi="仿宋" w:eastAsia="仿宋"/>
          <w:bCs/>
          <w:szCs w:val="30"/>
        </w:rPr>
        <w:t>3</w:t>
      </w:r>
      <w:r>
        <w:rPr>
          <w:rFonts w:hint="eastAsia" w:ascii="仿宋" w:hAnsi="仿宋" w:eastAsia="仿宋"/>
          <w:bCs/>
          <w:szCs w:val="30"/>
        </w:rPr>
        <w:t xml:space="preserve">         </w:t>
      </w:r>
    </w:p>
    <w:p>
      <w:pPr>
        <w:bidi w:val="0"/>
        <w:jc w:val="center"/>
        <w:rPr>
          <w:b/>
          <w:bCs/>
          <w:sz w:val="36"/>
          <w:szCs w:val="36"/>
        </w:rPr>
      </w:pPr>
      <w:r>
        <w:rPr>
          <w:b/>
          <w:bCs/>
          <w:sz w:val="36"/>
          <w:szCs w:val="36"/>
        </w:rPr>
        <w:t>上海电子信息职业技术学院</w:t>
      </w:r>
      <w:bookmarkStart w:id="234" w:name="_Toc19856"/>
    </w:p>
    <w:p>
      <w:pPr>
        <w:bidi w:val="0"/>
        <w:jc w:val="center"/>
        <w:rPr>
          <w:b/>
          <w:bCs/>
          <w:sz w:val="36"/>
          <w:szCs w:val="36"/>
        </w:rPr>
      </w:pPr>
      <w:r>
        <w:rPr>
          <w:rFonts w:hint="eastAsia"/>
          <w:b/>
          <w:bCs/>
          <w:sz w:val="36"/>
          <w:szCs w:val="36"/>
          <w:lang w:val="zh-CN" w:eastAsia="zh-CN"/>
        </w:rPr>
        <w:t>教学督导员聘用流程图</w:t>
      </w:r>
      <w:bookmarkEnd w:id="234"/>
    </w:p>
    <w:p>
      <w:pPr>
        <w:pageBreakBefore w:val="0"/>
        <w:topLinePunct w:val="0"/>
        <w:bidi w:val="0"/>
        <w:outlineLvl w:val="9"/>
        <w:rPr>
          <w:rFonts w:eastAsia="仿宋_GB2312"/>
          <w:b/>
          <w:color w:val="FF0000"/>
          <w:sz w:val="24"/>
        </w:rPr>
      </w:pPr>
    </w:p>
    <w:p>
      <w:pPr>
        <w:pageBreakBefore w:val="0"/>
        <w:topLinePunct w:val="0"/>
        <w:bidi w:val="0"/>
        <w:ind w:firstLine="482" w:firstLineChars="200"/>
        <w:outlineLvl w:val="9"/>
        <w:rPr>
          <w:rFonts w:eastAsia="仿宋_GB2312"/>
          <w:b/>
          <w:color w:val="FF0000"/>
          <w:sz w:val="24"/>
        </w:rPr>
      </w:pPr>
      <w:r>
        <w:rPr>
          <w:rFonts w:eastAsia="仿宋_GB2312"/>
          <w:b/>
          <w:color w:val="FF0000"/>
          <w:sz w:val="24"/>
        </w:rPr>
        <w:pict>
          <v:shape id="流程图: 准备 87" o:spid="_x0000_s1102" o:spt="117" type="#_x0000_t117" style="position:absolute;left:0pt;margin-left:104.25pt;margin-top:10.9pt;height:48.65pt;width:216pt;z-index:251728896;mso-width-relative:page;mso-height-relative:page;" fillcolor="#FFFFFF" filled="t" stroked="t" coordsize="21600,21600" o:gfxdata="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hM9X2AAAAAoB&#10;AAAPAAAAAAAAAAEAIAAAACIAAABkcnMvZG93bnJldi54bWxQSwECFAAUAAAACACHTuJAeUjXW1QC&#10;AACXBAAADgAAAAAAAAABACAAAAAnAQAAZHJzL2Uyb0RvYy54bWxQSwUGAAAAAAYABgBZAQAA7QUA&#10;AAAA&#10;">
            <v:path/>
            <v:fill on="t" focussize="0,0"/>
            <v:stroke joinstyle="miter"/>
            <v:imagedata o:title=""/>
            <o:lock v:ext="edit" aspectratio="f"/>
            <v:textbox inset="2.54mm,2mm,2.54mm,2mm">
              <w:txbxContent>
                <w:p>
                  <w:pPr>
                    <w:jc w:val="center"/>
                    <w:rPr>
                      <w:rFonts w:ascii="仿宋_GB2312" w:eastAsia="仿宋_GB2312"/>
                      <w:lang w:val="zh-CN"/>
                    </w:rPr>
                  </w:pPr>
                  <w:r>
                    <w:rPr>
                      <w:rFonts w:hint="eastAsia" w:ascii="仿宋_GB2312" w:eastAsia="仿宋_GB2312"/>
                      <w:lang w:val="zh-CN"/>
                    </w:rPr>
                    <w:t>聘用部门根据实际需要制定聘用计划</w:t>
                  </w:r>
                </w:p>
              </w:txbxContent>
            </v:textbox>
          </v:shape>
        </w:pict>
      </w:r>
    </w:p>
    <w:p>
      <w:pPr>
        <w:pageBreakBefore w:val="0"/>
        <w:topLinePunct w:val="0"/>
        <w:bidi w:val="0"/>
        <w:ind w:firstLine="482" w:firstLineChars="200"/>
        <w:outlineLvl w:val="9"/>
        <w:rPr>
          <w:rFonts w:eastAsia="仿宋_GB2312"/>
          <w:b/>
          <w:color w:val="FF0000"/>
          <w:sz w:val="24"/>
        </w:rPr>
      </w:pPr>
    </w:p>
    <w:p>
      <w:pPr>
        <w:pageBreakBefore w:val="0"/>
        <w:topLinePunct w:val="0"/>
        <w:bidi w:val="0"/>
        <w:ind w:firstLine="482" w:firstLineChars="200"/>
        <w:outlineLvl w:val="9"/>
        <w:rPr>
          <w:rFonts w:eastAsia="仿宋_GB2312"/>
          <w:b/>
          <w:color w:val="FF0000"/>
          <w:sz w:val="24"/>
        </w:rPr>
      </w:pPr>
    </w:p>
    <w:p>
      <w:pPr>
        <w:pageBreakBefore w:val="0"/>
        <w:topLinePunct w:val="0"/>
        <w:bidi w:val="0"/>
        <w:ind w:firstLine="482" w:firstLineChars="200"/>
        <w:outlineLvl w:val="9"/>
        <w:rPr>
          <w:rFonts w:eastAsia="仿宋_GB2312"/>
          <w:b/>
          <w:color w:val="FF0000"/>
          <w:sz w:val="24"/>
        </w:rPr>
      </w:pPr>
      <w:r>
        <w:rPr>
          <w:rFonts w:eastAsia="仿宋_GB2312"/>
          <w:b/>
          <w:color w:val="FF0000"/>
          <w:sz w:val="24"/>
        </w:rPr>
        <w:pict>
          <v:line id="直接连接符 86" o:spid="_x0000_s1103" o:spt="20" style="position:absolute;left:0pt;margin-left:210.75pt;margin-top:13.25pt;height:40.45pt;width:0pt;z-index:251731968;mso-width-relative:page;mso-height-relative:page;" filled="f" stroked="t" coordsize="21600,21600" o:gfxdata="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xH5ptkAAAAKAQAADwAAAAAAAAABACAAAAAiAAAAZHJzL2Rvd25y&#10;ZXYueG1sUEsBAhQAFAAAAAgAh07iQMB02pj9AQAA2QMAAA4AAAAAAAAAAQAgAAAAKAEAAGRycy9l&#10;Mm9Eb2MueG1sUEsFBgAAAAAGAAYAWQEAAJcFAAAAAA==&#10;">
            <v:path arrowok="t"/>
            <v:fill on="f" focussize="0,0"/>
            <v:stroke joinstyle="round" endarrow="block"/>
            <v:imagedata o:title=""/>
            <o:lock v:ext="edit" aspectratio="f"/>
          </v:line>
        </w:pict>
      </w:r>
    </w:p>
    <w:p>
      <w:pPr>
        <w:pageBreakBefore w:val="0"/>
        <w:topLinePunct w:val="0"/>
        <w:bidi w:val="0"/>
        <w:ind w:firstLine="482" w:firstLineChars="200"/>
        <w:outlineLvl w:val="9"/>
        <w:rPr>
          <w:rFonts w:eastAsia="仿宋_GB2312"/>
          <w:b/>
          <w:color w:val="FF0000"/>
          <w:sz w:val="24"/>
        </w:rPr>
      </w:pPr>
    </w:p>
    <w:p>
      <w:pPr>
        <w:pageBreakBefore w:val="0"/>
        <w:topLinePunct w:val="0"/>
        <w:bidi w:val="0"/>
        <w:ind w:firstLine="482" w:firstLineChars="200"/>
        <w:outlineLvl w:val="9"/>
        <w:rPr>
          <w:rFonts w:eastAsia="仿宋_GB2312"/>
          <w:b/>
          <w:color w:val="FF0000"/>
          <w:sz w:val="24"/>
        </w:rPr>
      </w:pPr>
    </w:p>
    <w:p>
      <w:pPr>
        <w:pageBreakBefore w:val="0"/>
        <w:topLinePunct w:val="0"/>
        <w:bidi w:val="0"/>
        <w:ind w:firstLine="420" w:firstLineChars="200"/>
        <w:outlineLvl w:val="9"/>
        <w:rPr>
          <w:rFonts w:eastAsia="仿宋_GB2312"/>
          <w:b/>
          <w:color w:val="FF0000"/>
          <w:sz w:val="24"/>
        </w:rPr>
      </w:pPr>
      <w:r>
        <w:rPr>
          <w:color w:val="FF0000"/>
        </w:rPr>
        <w:pict>
          <v:shape id="流程图: 过程 85" o:spid="_x0000_s1104" o:spt="109" type="#_x0000_t109" style="position:absolute;left:0pt;margin-left:-20.85pt;margin-top:2.75pt;height:62.2pt;width:117pt;z-index:251727872;mso-width-relative:page;mso-height-relative:page;" fillcolor="#FFFFFF" filled="t" stroked="t" coordsize="21600,21600" o:gfxdata="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Mg6x7bAAAACQEA&#10;AA8AAAAAAAAAAQAgAAAAIgAAAGRycy9kb3ducmV2LnhtbFBLAQIUABQAAAAIAIdO4kB2hMcAUAIA&#10;AJMEAAAOAAAAAAAAAAEAIAAAACoBAABkcnMvZTJvRG9jLnhtbFBLBQYAAAAABgAGAFkBAADsBQAA&#10;AAA=&#10;">
            <v:path/>
            <v:fill on="t" focussize="0,0"/>
            <v:stroke joinstyle="miter"/>
            <v:imagedata o:title=""/>
            <o:lock v:ext="edit" aspectratio="f"/>
            <v:textbox inset="2.54mm,2mm,2.54mm,2mm">
              <w:txbxContent>
                <w:p>
                  <w:pPr>
                    <w:jc w:val="center"/>
                  </w:pPr>
                  <w:r>
                    <w:rPr>
                      <w:rFonts w:hint="eastAsia" w:ascii="仿宋_GB2312" w:eastAsia="仿宋_GB2312"/>
                      <w:lang w:val="zh-CN"/>
                    </w:rPr>
                    <w:t>教学督导员填写《督导员基本情况备案表》并提供相关证书复印件</w:t>
                  </w:r>
                </w:p>
              </w:txbxContent>
            </v:textbox>
          </v:shape>
        </w:pict>
      </w:r>
      <w:r>
        <w:rPr>
          <w:rFonts w:eastAsia="仿宋_GB2312"/>
          <w:b/>
          <w:color w:val="FF0000"/>
          <w:sz w:val="24"/>
        </w:rPr>
        <w:pict>
          <v:shape id="流程图: 过程 84" o:spid="_x0000_s1105" o:spt="109" type="#_x0000_t109" style="position:absolute;left:0pt;margin-left:151.3pt;margin-top:7.4pt;height:54.6pt;width:126pt;mso-wrap-distance-bottom:0pt;mso-wrap-distance-left:9pt;mso-wrap-distance-right:9pt;mso-wrap-distance-top:0pt;z-index:251729920;mso-width-relative:page;mso-height-relative:page;" fillcolor="#FFFFFF" filled="t" stroked="t" coordsize="21600,21600" o:gfxdata="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Brp0h2QAAAAoBAAAP&#10;AAAAAAAAAAEAIAAAACIAAABkcnMvZG93bnJldi54bWxQSwECFAAUAAAACACHTuJATh39sFACAACT&#10;BAAADgAAAAAAAAABACAAAAAoAQAAZHJzL2Uyb0RvYy54bWxQSwUGAAAAAAYABgBZAQAA6gUAAAAA&#10;">
            <v:path/>
            <v:fill on="t" focussize="0,0"/>
            <v:stroke joinstyle="miter"/>
            <v:imagedata o:title=""/>
            <o:lock v:ext="edit" aspectratio="f"/>
            <v:textbox inset="2.54mm,2mm,2.54mm,2mm">
              <w:txbxContent>
                <w:p>
                  <w:pPr>
                    <w:jc w:val="center"/>
                  </w:pPr>
                  <w:r>
                    <w:rPr>
                      <w:rFonts w:hint="eastAsia" w:ascii="仿宋_GB2312" w:eastAsia="仿宋_GB2312"/>
                      <w:lang w:val="zh-CN"/>
                    </w:rPr>
                    <w:t>聘用部门对拟聘教学督导员进行资格审核</w:t>
                  </w:r>
                </w:p>
              </w:txbxContent>
            </v:textbox>
            <w10:wrap type="square"/>
          </v:shape>
        </w:pict>
      </w:r>
    </w:p>
    <w:p>
      <w:pPr>
        <w:pageBreakBefore w:val="0"/>
        <w:topLinePunct w:val="0"/>
        <w:bidi w:val="0"/>
        <w:ind w:firstLine="482" w:firstLineChars="200"/>
        <w:outlineLvl w:val="9"/>
        <w:rPr>
          <w:rFonts w:eastAsia="仿宋_GB2312"/>
          <w:b/>
          <w:color w:val="FF0000"/>
          <w:sz w:val="24"/>
        </w:rPr>
      </w:pPr>
    </w:p>
    <w:p>
      <w:pPr>
        <w:pageBreakBefore w:val="0"/>
        <w:topLinePunct w:val="0"/>
        <w:bidi w:val="0"/>
        <w:ind w:firstLine="482" w:firstLineChars="200"/>
        <w:outlineLvl w:val="9"/>
        <w:rPr>
          <w:rFonts w:eastAsia="仿宋_GB2312"/>
          <w:b/>
          <w:color w:val="FF0000"/>
          <w:sz w:val="24"/>
        </w:rPr>
      </w:pPr>
      <w:r>
        <w:rPr>
          <w:rFonts w:eastAsia="仿宋_GB2312"/>
          <w:b/>
          <w:color w:val="FF0000"/>
          <w:sz w:val="24"/>
        </w:rPr>
        <w:pict>
          <v:line id="直接连接符 83" o:spid="_x0000_s1106" o:spt="20" style="position:absolute;left:0pt;margin-left:97.85pt;margin-top:1.95pt;height:0pt;width:54pt;z-index:251732992;mso-width-relative:page;mso-height-relative:page;" filled="f" stroked="t" coordsize="21600,21600" o:gfxdata="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jp2CHVAAAABwEAAA8AAAAAAAAAAQAgAAAAIgAAAGRycy9kb3ducmV2&#10;LnhtbFBLAQIUABQAAAAIAIdO4kATCxi7/wEAANkDAAAOAAAAAAAAAAEAIAAAACQBAABkcnMvZTJv&#10;RG9jLnhtbFBLBQYAAAAABgAGAFkBAACVBQAAAAA=&#10;">
            <v:path arrowok="t"/>
            <v:fill on="f" focussize="0,0"/>
            <v:stroke joinstyle="round" endarrow="block"/>
            <v:imagedata o:title=""/>
            <o:lock v:ext="edit" aspectratio="f"/>
          </v:line>
        </w:pict>
      </w:r>
    </w:p>
    <w:p>
      <w:pPr>
        <w:pageBreakBefore w:val="0"/>
        <w:topLinePunct w:val="0"/>
        <w:bidi w:val="0"/>
        <w:ind w:firstLine="482" w:firstLineChars="200"/>
        <w:outlineLvl w:val="9"/>
        <w:rPr>
          <w:rFonts w:eastAsia="仿宋_GB2312"/>
          <w:b/>
          <w:color w:val="FF0000"/>
          <w:sz w:val="24"/>
        </w:rPr>
      </w:pPr>
    </w:p>
    <w:p>
      <w:pPr>
        <w:pageBreakBefore w:val="0"/>
        <w:topLinePunct w:val="0"/>
        <w:bidi w:val="0"/>
        <w:ind w:firstLine="482" w:firstLineChars="200"/>
        <w:outlineLvl w:val="9"/>
        <w:rPr>
          <w:rFonts w:eastAsia="仿宋_GB2312"/>
          <w:b/>
          <w:color w:val="FF0000"/>
          <w:sz w:val="24"/>
        </w:rPr>
      </w:pPr>
      <w:r>
        <w:rPr>
          <w:rFonts w:eastAsia="仿宋_GB2312"/>
          <w:b/>
          <w:color w:val="FF0000"/>
          <w:sz w:val="24"/>
        </w:rPr>
        <w:pict>
          <v:line id="直接连接符 88" o:spid="_x0000_s1107" o:spt="20" style="position:absolute;left:0pt;margin-left:210.75pt;margin-top:0.15pt;height:34.3pt;width:0pt;z-index:251753472;mso-width-relative:page;mso-height-relative:page;" filled="f" stroked="t" coordsize="21600,21600" o:gfxdata="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9PzjXWAAAABwEAAA8AAAAAAAAAAQAgAAAAIgAAAGRycy9kb3ducmV2&#10;LnhtbFBLAQIUABQAAAAIAIdO4kCGtFZ8/gEAANkDAAAOAAAAAAAAAAEAIAAAACUBAABkcnMvZTJv&#10;RG9jLnhtbFBLBQYAAAAABgAGAFkBAACVBQAAAAA=&#10;">
            <v:path arrowok="t"/>
            <v:fill on="f" focussize="0,0"/>
            <v:stroke joinstyle="round" endarrow="block"/>
            <v:imagedata o:title=""/>
            <o:lock v:ext="edit" aspectratio="f"/>
          </v:line>
        </w:pict>
      </w:r>
    </w:p>
    <w:p>
      <w:pPr>
        <w:pageBreakBefore w:val="0"/>
        <w:topLinePunct w:val="0"/>
        <w:bidi w:val="0"/>
        <w:ind w:firstLine="482" w:firstLineChars="200"/>
        <w:outlineLvl w:val="9"/>
        <w:rPr>
          <w:rFonts w:eastAsia="仿宋_GB2312"/>
          <w:b/>
          <w:color w:val="FF0000"/>
          <w:sz w:val="24"/>
        </w:rPr>
      </w:pPr>
    </w:p>
    <w:p>
      <w:pPr>
        <w:pageBreakBefore w:val="0"/>
        <w:topLinePunct w:val="0"/>
        <w:bidi w:val="0"/>
        <w:ind w:firstLine="482" w:firstLineChars="200"/>
        <w:outlineLvl w:val="9"/>
        <w:rPr>
          <w:rFonts w:eastAsia="仿宋_GB2312"/>
          <w:b/>
          <w:color w:val="FF0000"/>
          <w:sz w:val="24"/>
        </w:rPr>
      </w:pPr>
      <w:r>
        <w:rPr>
          <w:rFonts w:eastAsia="仿宋_GB2312"/>
          <w:b/>
          <w:color w:val="FF0000"/>
          <w:sz w:val="24"/>
        </w:rPr>
        <w:pict>
          <v:shape id="流程图: 过程 89" o:spid="_x0000_s1108" o:spt="109" type="#_x0000_t109" style="position:absolute;left:0pt;margin-left:-23.25pt;margin-top:1.75pt;height:40.7pt;width:117pt;z-index:251730944;mso-width-relative:page;mso-height-relative:page;" fillcolor="#FFFFFF" filled="t" stroked="t" coordsize="21600,21600" o:gfxdata="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3Zu8NoAAAAIAQAA&#10;DwAAAAAAAAABACAAAAAiAAAAZHJzL2Rvd25yZXYueG1sUEsBAhQAFAAAAAgAh07iQOtjOipQAgAA&#10;kwQAAA4AAAAAAAAAAQAgAAAAKQEAAGRycy9lMm9Eb2MueG1sUEsFBgAAAAAGAAYAWQEAAOsFAAAA&#10;AA==&#10;">
            <v:path/>
            <v:fill on="t" focussize="0,0"/>
            <v:stroke joinstyle="miter"/>
            <v:imagedata o:title=""/>
            <o:lock v:ext="edit" aspectratio="f"/>
            <v:textbox inset="2.54mm,2mm,2.54mm,2mm">
              <w:txbxContent>
                <w:p>
                  <w:pPr>
                    <w:jc w:val="center"/>
                    <w:rPr>
                      <w:rFonts w:ascii="仿宋_GB2312" w:eastAsia="仿宋_GB2312"/>
                      <w:lang w:val="zh-CN"/>
                    </w:rPr>
                  </w:pPr>
                  <w:r>
                    <w:rPr>
                      <w:rFonts w:hint="eastAsia" w:ascii="仿宋_GB2312" w:eastAsia="仿宋_GB2312"/>
                      <w:lang w:val="zh-CN"/>
                    </w:rPr>
                    <w:t>聘用部门填写《教学督导员审批表》</w:t>
                  </w: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txbxContent>
            </v:textbox>
          </v:shape>
        </w:pict>
      </w:r>
      <w:r>
        <w:rPr>
          <w:rFonts w:eastAsia="仿宋_GB2312"/>
          <w:b/>
          <w:color w:val="FF0000"/>
          <w:sz w:val="24"/>
        </w:rPr>
        <w:pict>
          <v:shape id="流程图: 过程 90" o:spid="_x0000_s1109" o:spt="109" type="#_x0000_t109" style="position:absolute;left:0pt;margin-left:147.6pt;margin-top:3.45pt;height:48.6pt;width:131.4pt;z-index:251734016;mso-width-relative:page;mso-height-relative:page;" fillcolor="#FFFFFF" filled="t" stroked="t" coordsize="21600,21600" o:gfxdata="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BnHSdoAAAAJAQAA&#10;DwAAAAAAAAABACAAAAAiAAAAZHJzL2Rvd25yZXYueG1sUEsBAhQAFAAAAAgAh07iQKfM4dlQAgAA&#10;kwQAAA4AAAAAAAAAAQAgAAAAKQEAAGRycy9lMm9Eb2MueG1sUEsFBgAAAAAGAAYAWQEAAOsFAAAA&#10;AA==&#10;">
            <v:path/>
            <v:fill on="t" focussize="0,0"/>
            <v:stroke joinstyle="miter"/>
            <v:imagedata o:title=""/>
            <o:lock v:ext="edit" aspectratio="f"/>
            <v:textbox inset="2.54mm,2mm,2.54mm,2mm">
              <w:txbxContent>
                <w:p>
                  <w:pPr>
                    <w:jc w:val="center"/>
                  </w:pPr>
                  <w:r>
                    <w:rPr>
                      <w:rFonts w:hint="eastAsia" w:ascii="仿宋_GB2312" w:eastAsia="仿宋_GB2312"/>
                      <w:lang w:val="zh-CN"/>
                    </w:rPr>
                    <w:t>教务处对聘用部门聘用的教学督导员进行核准</w:t>
                  </w:r>
                </w:p>
              </w:txbxContent>
            </v:textbox>
          </v:shape>
        </w:pict>
      </w:r>
    </w:p>
    <w:p>
      <w:pPr>
        <w:pageBreakBefore w:val="0"/>
        <w:topLinePunct w:val="0"/>
        <w:bidi w:val="0"/>
        <w:outlineLvl w:val="9"/>
        <w:rPr>
          <w:rFonts w:eastAsia="仿宋_GB2312"/>
          <w:sz w:val="24"/>
        </w:rPr>
      </w:pPr>
      <w:r>
        <w:rPr>
          <w:rFonts w:eastAsia="仿宋_GB2312"/>
          <w:sz w:val="24"/>
        </w:rPr>
        <w:pict>
          <v:line id="直接连接符 91" o:spid="_x0000_s1110" o:spt="20" style="position:absolute;left:0pt;flip:y;margin-left:-50.25pt;margin-top:14.85pt;height:206.25pt;width:0pt;z-index:251742208;mso-width-relative:page;mso-height-relative:page;" filled="f" stroked="t" coordsize="21600,21600" o:gfxdata="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Q&#10;2Rrf2AAAAAwBAAAPAAAAAAAAAAEAIAAAACIAAABkcnMvZG93bnJldi54bWxQSwECFAAUAAAACACH&#10;TuJAyndi0+sBAAC2AwAADgAAAAAAAAABACAAAAAnAQAAZHJzL2Uyb0RvYy54bWxQSwUGAAAAAAYA&#10;BgBZAQAAhAUAAAAA&#10;">
            <v:path arrowok="t"/>
            <v:fill on="f" focussize="0,0"/>
            <v:stroke joinstyle="round"/>
            <v:imagedata o:title=""/>
            <o:lock v:ext="edit" aspectratio="f"/>
          </v:line>
        </w:pict>
      </w:r>
      <w:r>
        <w:rPr>
          <w:rFonts w:eastAsia="仿宋_GB2312"/>
          <w:b/>
          <w:color w:val="FF0000"/>
          <w:sz w:val="24"/>
        </w:rPr>
        <w:pict>
          <v:line id="直接连接符 92" o:spid="_x0000_s1111" o:spt="20" style="position:absolute;left:0pt;margin-left:93.6pt;margin-top:4.5pt;height:0pt;width:54pt;z-index:251752448;mso-width-relative:page;mso-height-relative:page;" filled="f" stroked="t" coordsize="21600,21600" o:gfxdata="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ZXr3tUAAAAHAQAADwAAAAAAAAABACAAAAAiAAAAZHJzL2Rvd25yZXYu&#10;eG1sUEsBAhQAFAAAAAgAh07iQPlXL7z+AQAA2QMAAA4AAAAAAAAAAQAgAAAAJAEAAGRycy9lMm9E&#10;b2MueG1sUEsFBgAAAAAGAAYAWQEAAJQFAAAAAA==&#10;">
            <v:path arrowok="t"/>
            <v:fill on="f" focussize="0,0"/>
            <v:stroke joinstyle="round" endarrow="block"/>
            <v:imagedata o:title=""/>
            <o:lock v:ext="edit" aspectratio="f"/>
          </v:line>
        </w:pict>
      </w:r>
      <w:r>
        <w:rPr>
          <w:rFonts w:eastAsia="仿宋_GB2312"/>
          <w:sz w:val="24"/>
        </w:rPr>
        <w:pict>
          <v:line id="直接连接符 93" o:spid="_x0000_s1112" o:spt="20" style="position:absolute;left:0pt;margin-left:-50.4pt;margin-top:14.55pt;height:0pt;width:27pt;z-index:251743232;mso-width-relative:page;mso-height-relative:page;" filled="f" stroked="t" coordsize="21600,21600" o:gfxdata="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ziXFNgAAAAKAQAADwAAAAAAAAABACAAAAAiAAAAZHJzL2Rvd25y&#10;ZXYueG1sUEsBAhQAFAAAAAgAh07iQOlvkuH+AQAA2QMAAA4AAAAAAAAAAQAgAAAAJwEAAGRycy9l&#10;Mm9Eb2MueG1sUEsFBgAAAAAGAAYAWQEAAJcFAAAAAA==&#10;">
            <v:path arrowok="t"/>
            <v:fill on="f" focussize="0,0"/>
            <v:stroke joinstyle="round" endarrow="block"/>
            <v:imagedata o:title=""/>
            <o:lock v:ext="edit" aspectratio="f"/>
          </v:line>
        </w:pict>
      </w:r>
    </w:p>
    <w:p>
      <w:pPr>
        <w:pageBreakBefore w:val="0"/>
        <w:tabs>
          <w:tab w:val="left" w:pos="5824"/>
        </w:tabs>
        <w:topLinePunct w:val="0"/>
        <w:bidi w:val="0"/>
        <w:outlineLvl w:val="9"/>
        <w:rPr>
          <w:rFonts w:eastAsia="仿宋_GB2312"/>
          <w:sz w:val="24"/>
        </w:rPr>
      </w:pPr>
      <w:r>
        <w:rPr>
          <w:rFonts w:eastAsia="仿宋_GB2312"/>
          <w:b/>
          <w:color w:val="FF0000"/>
          <w:sz w:val="24"/>
        </w:rPr>
        <w:pict>
          <v:line id="直接连接符 94" o:spid="_x0000_s1113" o:spt="20" style="position:absolute;left:0pt;margin-left:36pt;margin-top:12.2pt;height:16.15pt;width:0pt;mso-wrap-distance-bottom:0pt;mso-wrap-distance-left:9pt;mso-wrap-distance-right:9pt;mso-wrap-distance-top:0pt;z-index:251754496;mso-width-relative:page;mso-height-relative:page;" filled="f" stroked="t" coordsize="21600,21600" o:gfxdata="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JjNw1wAAAAcBAAAPAAAAAAAAAAEAIAAAACIAAABkcnMvZG93&#10;bnJldi54bWxQSwECFAAUAAAACACHTuJAaGUqLwECAADnAwAADgAAAAAAAAABACAAAAAmAQAAZHJz&#10;L2Uyb0RvYy54bWxQSwUGAAAAAAYABgBZAQAAmQUAAAAA&#10;">
            <v:path arrowok="t"/>
            <v:fill on="f" focussize="0,0"/>
            <v:stroke joinstyle="round" endarrow="block"/>
            <v:imagedata o:title=""/>
            <o:lock v:ext="edit" aspectratio="f"/>
            <w10:wrap type="square"/>
          </v:line>
        </w:pict>
      </w:r>
      <w:r>
        <w:rPr>
          <w:rFonts w:eastAsia="仿宋_GB2312"/>
          <w:b/>
          <w:color w:val="FF0000"/>
          <w:sz w:val="24"/>
        </w:rPr>
        <w:pict>
          <v:line id="直接连接符 95" o:spid="_x0000_s1114" o:spt="20" style="position:absolute;left:0pt;flip:y;margin-left:111.75pt;margin-top:7.5pt;height:40.5pt;width:0pt;z-index:251750400;mso-width-relative:page;mso-height-relative:page;" filled="f" stroked="t" coordsize="21600,21600" o:gfxdata="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gw26NYA&#10;AAAJAQAADwAAAAAAAAABACAAAAAiAAAAZHJzL2Rvd25yZXYueG1sUEsBAhQAFAAAAAgAh07iQH3S&#10;Zc3oAQAAtQMAAA4AAAAAAAAAAQAgAAAAJQEAAGRycy9lMm9Eb2MueG1sUEsFBgAAAAAGAAYAWQEA&#10;AH8FAAAAAA==&#10;">
            <v:path arrowok="t"/>
            <v:fill on="f" focussize="0,0"/>
            <v:stroke joinstyle="round"/>
            <v:imagedata o:title=""/>
            <o:lock v:ext="edit" aspectratio="f"/>
          </v:line>
        </w:pict>
      </w:r>
      <w:r>
        <w:rPr>
          <w:rFonts w:eastAsia="仿宋_GB2312"/>
          <w:b/>
          <w:color w:val="FF0000"/>
          <w:sz w:val="24"/>
        </w:rPr>
        <w:pict>
          <v:line id="直接连接符 96" o:spid="_x0000_s1115" o:spt="20" style="position:absolute;left:0pt;margin-left:111.6pt;margin-top:7.2pt;height:0pt;width:36pt;z-index:251751424;mso-width-relative:page;mso-height-relative:page;" filled="f" stroked="t" coordsize="21600,21600" o:gfxdata="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dOf+dgAAAAJAQAADwAAAAAAAAABACAAAAAiAAAAZHJzL2Rvd25y&#10;ZXYueG1sUEsBAhQAFAAAAAgAh07iQGApYtD+AQAA2QMAAA4AAAAAAAAAAQAgAAAAJwEAAGRycy9l&#10;Mm9Eb2MueG1sUEsFBgAAAAAGAAYAWQEAAJcFAAAAAA==&#10;">
            <v:path arrowok="t"/>
            <v:fill on="f" focussize="0,0"/>
            <v:stroke joinstyle="round" endarrow="block"/>
            <v:imagedata o:title=""/>
            <o:lock v:ext="edit" aspectratio="f"/>
          </v:line>
        </w:pict>
      </w:r>
    </w:p>
    <w:p>
      <w:pPr>
        <w:pageBreakBefore w:val="0"/>
        <w:tabs>
          <w:tab w:val="left" w:pos="5824"/>
        </w:tabs>
        <w:topLinePunct w:val="0"/>
        <w:bidi w:val="0"/>
        <w:outlineLvl w:val="9"/>
        <w:rPr>
          <w:rFonts w:eastAsia="仿宋_GB2312"/>
          <w:sz w:val="24"/>
        </w:rPr>
      </w:pPr>
      <w:r>
        <w:rPr>
          <w:rFonts w:eastAsia="仿宋_GB2312"/>
          <w:sz w:val="24"/>
        </w:rPr>
        <w:pict>
          <v:shape id="流程图: 过程 97" o:spid="_x0000_s1116" o:spt="109" type="#_x0000_t109" style="position:absolute;left:0pt;margin-left:-23.25pt;margin-top:12.9pt;height:42pt;width:117pt;z-index:251748352;mso-width-relative:page;mso-height-relative:page;" fillcolor="#FFFFFF" filled="t" stroked="t" coordsize="21600,21600" o:gfxdata="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NHcn+2wAAAAoBAAAP&#10;AAAAAAAAAAEAIAAAACIAAABkcnMvZG93bnJldi54bWxQSwECFAAUAAAACACHTuJA/uehGU4CAACT&#10;BAAADgAAAAAAAAABACAAAAAqAQAAZHJzL2Uyb0RvYy54bWxQSwUGAAAAAAYABgBZAQAA6gUAAAAA&#10;">
            <v:path/>
            <v:fill on="t" focussize="0,0"/>
            <v:stroke joinstyle="miter"/>
            <v:imagedata o:title=""/>
            <o:lock v:ext="edit" aspectratio="f"/>
            <v:textbox inset="2.54mm,2mm,2.54mm,2mm">
              <w:txbxContent>
                <w:p>
                  <w:pPr>
                    <w:jc w:val="center"/>
                    <w:rPr>
                      <w:rFonts w:ascii="仿宋_GB2312" w:eastAsia="仿宋_GB2312"/>
                      <w:lang w:val="zh-CN"/>
                    </w:rPr>
                  </w:pPr>
                  <w:r>
                    <w:rPr>
                      <w:rFonts w:hint="eastAsia" w:ascii="仿宋_GB2312" w:eastAsia="仿宋_GB2312"/>
                      <w:lang w:val="zh-CN"/>
                    </w:rPr>
                    <w:t>校内教学督导员所在部门同意</w:t>
                  </w: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txbxContent>
            </v:textbox>
          </v:shape>
        </w:pict>
      </w:r>
      <w:r>
        <w:rPr>
          <w:rFonts w:eastAsia="仿宋_GB2312"/>
          <w:b/>
          <w:color w:val="FF0000"/>
          <w:sz w:val="24"/>
        </w:rPr>
        <w:pict>
          <v:line id="直接连接符 98" o:spid="_x0000_s1117" o:spt="20" style="position:absolute;left:0pt;flip:y;margin-left:246.75pt;margin-top:5.7pt;height:84.6pt;width:0pt;z-index:251747328;mso-width-relative:page;mso-height-relative:page;" filled="f" stroked="t" coordsize="21600,21600" o:gfxdata="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FtV&#10;x9YAAAAKAQAADwAAAAAAAAABACAAAAAiAAAAZHJzL2Rvd25yZXYueG1sUEsBAhQAFAAAAAgAh07i&#10;QP7qtjjrAQAAtgMAAA4AAAAAAAAAAQAgAAAAJQEAAGRycy9lMm9Eb2MueG1sUEsFBgAAAAAGAAYA&#10;WQEAAIIFAAAAAA==&#10;">
            <v:path arrowok="t"/>
            <v:fill on="f" focussize="0,0"/>
            <v:stroke joinstyle="round"/>
            <v:imagedata o:title=""/>
            <o:lock v:ext="edit" aspectratio="f"/>
          </v:line>
        </w:pict>
      </w:r>
      <w:r>
        <w:rPr>
          <w:rFonts w:eastAsia="仿宋_GB2312"/>
          <w:b/>
          <w:color w:val="FF0000"/>
          <w:sz w:val="24"/>
        </w:rPr>
        <w:pict>
          <v:line id="直接连接符 99" o:spid="_x0000_s1118" o:spt="20" style="position:absolute;left:0pt;margin-left:210.75pt;margin-top:5.7pt;height:115.7pt;width:0pt;z-index:251740160;mso-width-relative:page;mso-height-relative:page;" filled="f" stroked="t" coordsize="21600,21600" o:gfxdata="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OCAPYAAAACgEAAA8AAAAAAAAAAQAgAAAAIgAAAGRycy9kb3du&#10;cmV2LnhtbFBLAQIUABQAAAAIAIdO4kC+0aKp/wEAANoDAAAOAAAAAAAAAAEAIAAAACcBAABkcnMv&#10;ZTJvRG9jLnhtbFBLBQYAAAAABgAGAFkBAACYBQAAAAA=&#10;">
            <v:path arrowok="t"/>
            <v:fill on="f" focussize="0,0"/>
            <v:stroke joinstyle="round" endarrow="block"/>
            <v:imagedata o:title=""/>
            <o:lock v:ext="edit" aspectratio="f"/>
          </v:line>
        </w:pict>
      </w:r>
    </w:p>
    <w:p>
      <w:pPr>
        <w:pageBreakBefore w:val="0"/>
        <w:tabs>
          <w:tab w:val="left" w:pos="5824"/>
        </w:tabs>
        <w:topLinePunct w:val="0"/>
        <w:bidi w:val="0"/>
        <w:outlineLvl w:val="9"/>
        <w:rPr>
          <w:rFonts w:eastAsia="仿宋_GB2312"/>
          <w:sz w:val="24"/>
        </w:rPr>
      </w:pPr>
      <w:r>
        <w:rPr>
          <w:rFonts w:eastAsia="仿宋_GB2312"/>
          <w:sz w:val="24"/>
        </w:rPr>
        <w:pict>
          <v:line id="直接连接符 100" o:spid="_x0000_s1119" o:spt="20" style="position:absolute;left:0pt;margin-left:93.6pt;margin-top:16.65pt;height:0pt;width:18pt;z-index:251749376;mso-width-relative:page;mso-height-relative:page;" filled="f" stroked="t" coordsize="21600,21600" o:gfxdata="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qgKIbVAAAACQEA&#10;AA8AAAAAAAAAAQAgAAAAIgAAAGRycy9kb3ducmV2LnhtbFBLAQIUABQAAAAIAIdO4kC5U7Va5AEA&#10;AK0DAAAOAAAAAAAAAAEAIAAAACQBAABkcnMvZTJvRG9jLnhtbFBLBQYAAAAABgAGAFkBAAB6BQAA&#10;AAA=&#10;">
            <v:path arrowok="t"/>
            <v:fill on="f" focussize="0,0"/>
            <v:stroke joinstyle="round"/>
            <v:imagedata o:title=""/>
            <o:lock v:ext="edit" aspectratio="f"/>
          </v:line>
        </w:pict>
      </w:r>
    </w:p>
    <w:p>
      <w:pPr>
        <w:pageBreakBefore w:val="0"/>
        <w:tabs>
          <w:tab w:val="left" w:pos="5824"/>
        </w:tabs>
        <w:topLinePunct w:val="0"/>
        <w:bidi w:val="0"/>
        <w:outlineLvl w:val="9"/>
        <w:rPr>
          <w:rFonts w:eastAsia="仿宋_GB2312"/>
          <w:sz w:val="24"/>
        </w:rPr>
      </w:pPr>
    </w:p>
    <w:p>
      <w:pPr>
        <w:pageBreakBefore w:val="0"/>
        <w:tabs>
          <w:tab w:val="left" w:pos="5824"/>
        </w:tabs>
        <w:topLinePunct w:val="0"/>
        <w:bidi w:val="0"/>
        <w:outlineLvl w:val="9"/>
        <w:rPr>
          <w:rFonts w:eastAsia="仿宋_GB2312"/>
          <w:sz w:val="24"/>
        </w:rPr>
      </w:pPr>
    </w:p>
    <w:p>
      <w:pPr>
        <w:pageBreakBefore w:val="0"/>
        <w:tabs>
          <w:tab w:val="left" w:pos="5824"/>
        </w:tabs>
        <w:topLinePunct w:val="0"/>
        <w:bidi w:val="0"/>
        <w:outlineLvl w:val="9"/>
        <w:rPr>
          <w:rFonts w:eastAsia="仿宋_GB2312"/>
          <w:sz w:val="24"/>
        </w:rPr>
      </w:pPr>
      <w:r>
        <w:rPr>
          <w:rFonts w:eastAsia="仿宋_GB2312"/>
          <w:b/>
          <w:color w:val="FF0000"/>
          <w:sz w:val="24"/>
        </w:rPr>
        <w:pict>
          <v:shape id="流程图: 过程 101" o:spid="_x0000_s1120" o:spt="109" type="#_x0000_t109" style="position:absolute;left:0pt;margin-left:327.6pt;margin-top:9.9pt;height:46.8pt;width:115pt;z-index:251735040;mso-width-relative:page;mso-height-relative:page;" fillcolor="#FFFFFF" filled="t" stroked="t" coordsize="21600,21600" o:gfxdata="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zyoetkAAAAKAQAA&#10;DwAAAAAAAAABACAAAAAiAAAAZHJzL2Rvd25yZXYueG1sUEsBAhQAFAAAAAgAh07iQDUWCKVRAgAA&#10;lQQAAA4AAAAAAAAAAQAgAAAAKAEAAGRycy9lMm9Eb2MueG1sUEsFBgAAAAAGAAYAWQEAAOsFAAAA&#10;AA==&#10;">
            <v:path/>
            <v:fill on="t" focussize="0,0"/>
            <v:stroke joinstyle="miter"/>
            <v:imagedata o:title=""/>
            <o:lock v:ext="edit" aspectratio="f"/>
            <v:textbox inset="2.54mm,2mm,2.54mm,2mm">
              <w:txbxContent>
                <w:p>
                  <w:pPr>
                    <w:jc w:val="center"/>
                    <w:rPr>
                      <w:rFonts w:ascii="仿宋_GB2312" w:eastAsia="仿宋_GB2312"/>
                      <w:lang w:val="zh-CN"/>
                    </w:rPr>
                  </w:pPr>
                  <w:r>
                    <w:rPr>
                      <w:rFonts w:hint="eastAsia" w:ascii="仿宋_GB2312" w:eastAsia="仿宋_GB2312"/>
                      <w:lang w:val="zh-CN"/>
                    </w:rPr>
                    <w:t>教务处对资料进行备案、入档</w:t>
                  </w:r>
                </w:p>
                <w:p>
                  <w:pPr>
                    <w:jc w:val="center"/>
                    <w:rPr>
                      <w:sz w:val="10"/>
                      <w:szCs w:val="10"/>
                    </w:rPr>
                  </w:pPr>
                </w:p>
                <w:p>
                  <w:pPr>
                    <w:jc w:val="center"/>
                  </w:pPr>
                </w:p>
              </w:txbxContent>
            </v:textbox>
          </v:shape>
        </w:pict>
      </w:r>
    </w:p>
    <w:p>
      <w:pPr>
        <w:pageBreakBefore w:val="0"/>
        <w:tabs>
          <w:tab w:val="left" w:pos="5824"/>
        </w:tabs>
        <w:topLinePunct w:val="0"/>
        <w:bidi w:val="0"/>
        <w:outlineLvl w:val="9"/>
        <w:rPr>
          <w:rFonts w:eastAsia="仿宋_GB2312"/>
          <w:sz w:val="24"/>
        </w:rPr>
      </w:pPr>
      <w:r>
        <w:rPr>
          <w:rFonts w:eastAsia="仿宋_GB2312"/>
          <w:b/>
          <w:color w:val="FF0000"/>
          <w:sz w:val="24"/>
        </w:rPr>
        <w:pict>
          <v:shape id="流程图: 过程 102" o:spid="_x0000_s1121" o:spt="109" type="#_x0000_t109" style="position:absolute;left:0pt;margin-left:-23.4pt;margin-top:2.55pt;height:46.8pt;width:117pt;z-index:251745280;mso-width-relative:page;mso-height-relative:page;" fillcolor="#FFFFFF" filled="t" stroked="t" coordsize="21600,21600" o:gfxdata="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gomaPZAAAACAEA&#10;AA8AAAAAAAAAAQAgAAAAIgAAAGRycy9kb3ducmV2LnhtbFBLAQIUABQAAAAIAIdO4kBiPVp/UgIA&#10;AJUEAAAOAAAAAAAAAAEAIAAAACgBAABkcnMvZTJvRG9jLnhtbFBLBQYAAAAABgAGAFkBAADsBQAA&#10;AAA=&#10;">
            <v:path/>
            <v:fill on="t" focussize="0,0"/>
            <v:stroke joinstyle="miter"/>
            <v:imagedata o:title=""/>
            <o:lock v:ext="edit" aspectratio="f"/>
            <v:textbox inset="2.54mm,2mm,2.54mm,2mm">
              <w:txbxContent>
                <w:p>
                  <w:pPr>
                    <w:jc w:val="center"/>
                    <w:rPr>
                      <w:rFonts w:ascii="仿宋_GB2312" w:eastAsia="仿宋_GB2312"/>
                      <w:lang w:val="zh-CN"/>
                    </w:rPr>
                  </w:pPr>
                  <w:r>
                    <w:rPr>
                      <w:rFonts w:hint="eastAsia" w:ascii="仿宋_GB2312" w:eastAsia="仿宋_GB2312"/>
                      <w:lang w:val="zh-CN"/>
                    </w:rPr>
                    <w:t>聘用部门提交《教学督导员计划表》</w:t>
                  </w: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p>
                  <w:pPr>
                    <w:jc w:val="center"/>
                    <w:rPr>
                      <w:rFonts w:ascii="仿宋_GB2312" w:eastAsia="仿宋_GB2312"/>
                      <w:lang w:val="zh-CN"/>
                    </w:rPr>
                  </w:pPr>
                </w:p>
              </w:txbxContent>
            </v:textbox>
          </v:shape>
        </w:pict>
      </w:r>
      <w:r>
        <w:rPr>
          <w:rFonts w:eastAsia="仿宋_GB2312"/>
          <w:b/>
          <w:color w:val="FF0000"/>
          <w:sz w:val="24"/>
        </w:rPr>
        <w:pict>
          <v:line id="直接连接符 103" o:spid="_x0000_s1122" o:spt="20" style="position:absolute;left:0pt;margin-left:246.6pt;margin-top:12.15pt;height:0pt;width:81pt;z-index:251739136;mso-width-relative:page;mso-height-relative:page;" filled="f" stroked="t" coordsize="21600,21600" o:gfxdata="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JNFtdkAAAAJAQAADwAAAAAAAAABACAAAAAiAAAAZHJzL2Rv&#10;d25yZXYueG1sUEsBAhQAFAAAAAgAh07iQO/EZTMAAgAA3AMAAA4AAAAAAAAAAQAgAAAAKAEAAGRy&#10;cy9lMm9Eb2MueG1sUEsFBgAAAAAGAAYAWQEAAJoFAAAAAA==&#10;">
            <v:path arrowok="t"/>
            <v:fill on="f" focussize="0,0"/>
            <v:stroke joinstyle="round" endarrow="block"/>
            <v:imagedata o:title=""/>
            <o:lock v:ext="edit" aspectratio="f"/>
          </v:line>
        </w:pict>
      </w:r>
    </w:p>
    <w:p>
      <w:pPr>
        <w:pageBreakBefore w:val="0"/>
        <w:tabs>
          <w:tab w:val="left" w:pos="5824"/>
        </w:tabs>
        <w:topLinePunct w:val="0"/>
        <w:bidi w:val="0"/>
        <w:outlineLvl w:val="9"/>
        <w:rPr>
          <w:rFonts w:eastAsia="仿宋_GB2312"/>
          <w:sz w:val="24"/>
        </w:rPr>
      </w:pPr>
      <w:r>
        <w:rPr>
          <w:rFonts w:eastAsia="仿宋_GB2312"/>
          <w:b/>
          <w:color w:val="FF0000"/>
          <w:sz w:val="24"/>
        </w:rPr>
        <w:pict>
          <v:line id="直接连接符 104" o:spid="_x0000_s1123" o:spt="20" style="position:absolute;left:0pt;margin-left:93.6pt;margin-top:9.9pt;height:0pt;width:234pt;z-index:251746304;mso-width-relative:page;mso-height-relative:page;" filled="f" stroked="t" coordsize="21600,21600" o:gfxdata="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7q+MtYAAAAJAQAADwAAAAAAAAABACAAAAAiAAAAZHJzL2Rvd25y&#10;ZXYueG1sUEsBAhQAFAAAAAgAh07iQAUlPJ0AAgAA3AMAAA4AAAAAAAAAAQAgAAAAJQEAAGRycy9l&#10;Mm9Eb2MueG1sUEsFBgAAAAAGAAYAWQEAAJcFAAAAAA==&#10;">
            <v:path arrowok="t"/>
            <v:fill on="f" focussize="0,0"/>
            <v:stroke joinstyle="round" endarrow="block"/>
            <v:imagedata o:title=""/>
            <o:lock v:ext="edit" aspectratio="f"/>
          </v:line>
        </w:pict>
      </w:r>
    </w:p>
    <w:p>
      <w:pPr>
        <w:pageBreakBefore w:val="0"/>
        <w:tabs>
          <w:tab w:val="left" w:pos="5824"/>
        </w:tabs>
        <w:topLinePunct w:val="0"/>
        <w:bidi w:val="0"/>
        <w:outlineLvl w:val="9"/>
        <w:rPr>
          <w:rFonts w:eastAsia="仿宋_GB2312"/>
          <w:sz w:val="24"/>
        </w:rPr>
      </w:pPr>
      <w:r>
        <w:rPr>
          <w:rFonts w:eastAsia="仿宋_GB2312"/>
          <w:b/>
          <w:color w:val="FF0000"/>
          <w:sz w:val="24"/>
        </w:rPr>
        <w:pict>
          <v:shape id="流程图: 过程 105" o:spid="_x0000_s1124" o:spt="109" type="#_x0000_t109" style="position:absolute;left:0pt;margin-left:137.2pt;margin-top:13.05pt;height:35.7pt;width:146.25pt;z-index:251736064;mso-width-relative:page;mso-height-relative:page;" fillcolor="#FFFFFF" filled="t" stroked="t" coordsize="21600,21600" o:gfxdata="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JZaOtoAAAAJ&#10;AQAADwAAAAAAAAABACAAAAAiAAAAZHJzL2Rvd25yZXYueG1sUEsBAhQAFAAAAAgAh07iQKyDxoRT&#10;AgAAlQQAAA4AAAAAAAAAAQAgAAAAKQEAAGRycy9lMm9Eb2MueG1sUEsFBgAAAAAGAAYAWQEAAO4F&#10;AAAAAA==&#10;">
            <v:path/>
            <v:fill on="t" focussize="0,0"/>
            <v:stroke joinstyle="miter"/>
            <v:imagedata o:title=""/>
            <o:lock v:ext="edit" aspectratio="f"/>
            <v:textbox inset="2.54mm,2mm,2.54mm,2mm">
              <w:txbxContent>
                <w:p>
                  <w:pPr>
                    <w:jc w:val="center"/>
                  </w:pPr>
                  <w:r>
                    <w:rPr>
                      <w:rFonts w:hint="eastAsia" w:ascii="仿宋_GB2312" w:eastAsia="仿宋_GB2312"/>
                      <w:lang w:val="zh-CN"/>
                    </w:rPr>
                    <w:t>下发教学督导相关工作任务</w:t>
                  </w:r>
                </w:p>
              </w:txbxContent>
            </v:textbox>
          </v:shape>
        </w:pict>
      </w:r>
    </w:p>
    <w:p>
      <w:pPr>
        <w:pageBreakBefore w:val="0"/>
        <w:tabs>
          <w:tab w:val="left" w:pos="5824"/>
        </w:tabs>
        <w:topLinePunct w:val="0"/>
        <w:bidi w:val="0"/>
        <w:outlineLvl w:val="9"/>
        <w:rPr>
          <w:rFonts w:eastAsia="仿宋_GB2312"/>
          <w:sz w:val="24"/>
        </w:rPr>
      </w:pPr>
    </w:p>
    <w:p>
      <w:pPr>
        <w:pageBreakBefore w:val="0"/>
        <w:tabs>
          <w:tab w:val="left" w:pos="5824"/>
        </w:tabs>
        <w:topLinePunct w:val="0"/>
        <w:bidi w:val="0"/>
        <w:outlineLvl w:val="9"/>
        <w:rPr>
          <w:rFonts w:eastAsia="仿宋_GB2312"/>
          <w:sz w:val="24"/>
        </w:rPr>
      </w:pPr>
      <w:r>
        <w:rPr>
          <w:rFonts w:eastAsia="仿宋_GB2312"/>
          <w:b/>
          <w:color w:val="FF0000"/>
          <w:sz w:val="24"/>
        </w:rPr>
        <w:pict>
          <v:line id="直接连接符 106" o:spid="_x0000_s1125" o:spt="20" style="position:absolute;left:0pt;margin-left:-50.4pt;margin-top:49.95pt;height:0pt;width:27pt;z-index:251744256;mso-width-relative:page;mso-height-relative:page;" filled="f" stroked="t" coordsize="21600,21600" o:gfxdata="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d5jsddYAAAAK&#10;AQAADwAAAAAAAAABACAAAAAiAAAAZHJzL2Rvd25yZXYueG1sUEsBAhQAFAAAAAgAh07iQJdmYT/l&#10;AQAArQMAAA4AAAAAAAAAAQAgAAAAJQEAAGRycy9lMm9Eb2MueG1sUEsFBgAAAAAGAAYAWQEAAHwF&#10;AAAAAA==&#10;">
            <v:path arrowok="t"/>
            <v:fill on="f" focussize="0,0"/>
            <v:stroke joinstyle="round"/>
            <v:imagedata o:title=""/>
            <o:lock v:ext="edit" aspectratio="f"/>
          </v:line>
        </w:pict>
      </w:r>
    </w:p>
    <w:p>
      <w:pPr>
        <w:pageBreakBefore w:val="0"/>
        <w:topLinePunct w:val="0"/>
        <w:bidi w:val="0"/>
        <w:ind w:firstLine="5301" w:firstLineChars="2200"/>
        <w:outlineLvl w:val="9"/>
        <w:rPr>
          <w:rFonts w:eastAsia="仿宋_GB2312"/>
          <w:sz w:val="32"/>
          <w:szCs w:val="32"/>
        </w:rPr>
      </w:pPr>
      <w:r>
        <w:rPr>
          <w:rFonts w:eastAsia="仿宋_GB2312"/>
          <w:b/>
          <w:color w:val="FF0000"/>
          <w:sz w:val="24"/>
        </w:rPr>
        <w:pict>
          <v:shape id="流程图: 过程 107" o:spid="_x0000_s1126" o:spt="109" type="#_x0000_t109" style="position:absolute;left:0pt;margin-left:-23.4pt;margin-top:2.7pt;height:46.8pt;width:113.4pt;z-index:251741184;mso-width-relative:page;mso-height-relative:page;" fillcolor="#FFFFFF" filled="t" stroked="t" coordsize="21600,21600" o:gfxdata="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tHx+NkAAAAIAQAA&#10;DwAAAAAAAAABACAAAAAiAAAAZHJzL2Rvd25yZXYueG1sUEsBAhQAFAAAAAgAh07iQEELILxRAgAA&#10;lQQAAA4AAAAAAAAAAQAgAAAAKAEAAGRycy9lMm9Eb2MueG1sUEsFBgAAAAAGAAYAWQEAAOsFAAAA&#10;AA==&#10;">
            <v:path/>
            <v:fill on="t" focussize="0,0"/>
            <v:stroke joinstyle="miter"/>
            <v:imagedata o:title=""/>
            <o:lock v:ext="edit" aspectratio="f"/>
            <v:textbox inset="2.54mm,2mm,2.54mm,2mm">
              <w:txbxContent>
                <w:p>
                  <w:pPr>
                    <w:jc w:val="center"/>
                    <w:rPr>
                      <w:rFonts w:ascii="仿宋_GB2312" w:eastAsia="仿宋_GB2312"/>
                      <w:lang w:val="zh-CN"/>
                    </w:rPr>
                  </w:pPr>
                  <w:r>
                    <w:rPr>
                      <w:rFonts w:hint="eastAsia" w:ascii="仿宋_GB2312" w:eastAsia="仿宋_GB2312"/>
                      <w:lang w:val="zh-CN"/>
                    </w:rPr>
                    <w:t>聘用部门更换或新增教学督导员</w:t>
                  </w:r>
                </w:p>
              </w:txbxContent>
            </v:textbox>
          </v:shape>
        </w:pict>
      </w:r>
      <w:r>
        <w:rPr>
          <w:rFonts w:eastAsia="仿宋_GB2312"/>
          <w:b/>
          <w:color w:val="FF0000"/>
          <w:sz w:val="24"/>
        </w:rPr>
        <w:pict>
          <v:line id="直接连接符 108" o:spid="_x0000_s1127" o:spt="20" style="position:absolute;left:0pt;margin-left:210.75pt;margin-top:3.3pt;height:29.55pt;width:0pt;z-index:251737088;mso-width-relative:page;mso-height-relative:page;" filled="f" stroked="t" coordsize="21600,21600" o:gfxdata="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hR1cz1wAAAAgBAAAPAAAAAAAAAAEAIAAAACIAAABkcnMvZG93bnJl&#10;di54bWxQSwECFAAUAAAACACHTuJACPYGYP4BAADbAwAADgAAAAAAAAABACAAAAAmAQAAZHJzL2Uy&#10;b0RvYy54bWxQSwUGAAAAAAYABgBZAQAAlgUAAAAA&#10;">
            <v:path arrowok="t"/>
            <v:fill on="f" focussize="0,0"/>
            <v:stroke joinstyle="round" endarrow="block"/>
            <v:imagedata o:title=""/>
            <o:lock v:ext="edit" aspectratio="f"/>
          </v:line>
        </w:pict>
      </w:r>
    </w:p>
    <w:p>
      <w:pPr>
        <w:pageBreakBefore w:val="0"/>
        <w:topLinePunct w:val="0"/>
        <w:bidi w:val="0"/>
        <w:outlineLvl w:val="9"/>
      </w:pPr>
      <w:r>
        <w:rPr>
          <w:rFonts w:eastAsia="仿宋_GB2312"/>
          <w:b/>
          <w:color w:val="FF0000"/>
          <w:sz w:val="24"/>
        </w:rPr>
        <w:pict>
          <v:shape id="流程图: 终止 109" o:spid="_x0000_s1128" o:spt="116" type="#_x0000_t116" style="position:absolute;left:0pt;margin-left:147pt;margin-top:1.2pt;height:54pt;width:124.5pt;z-index:251738112;mso-width-relative:page;mso-height-relative:page;" fillcolor="#FFFFFF" filled="t" stroked="t" coordsize="21600,21600" o:gfxdata="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C837jY&#10;AAAACQEAAA8AAAAAAAAAAQAgAAAAIgAAAGRycy9kb3ducmV2LnhtbFBLAQIUABQAAAAIAIdO4kBj&#10;1krEWQIAAJgEAAAOAAAAAAAAAAEAIAAAACcBAABkcnMvZTJvRG9jLnhtbFBLBQYAAAAABgAGAFkB&#10;AADyBQAAAAA=&#10;">
            <v:path/>
            <v:fill on="t" focussize="0,0"/>
            <v:stroke joinstyle="miter"/>
            <v:imagedata o:title=""/>
            <o:lock v:ext="edit" aspectratio="f"/>
            <v:textbox>
              <w:txbxContent>
                <w:p>
                  <w:pPr>
                    <w:jc w:val="center"/>
                    <w:rPr>
                      <w:rFonts w:ascii="仿宋_GB2312" w:eastAsia="仿宋_GB2312"/>
                      <w:lang w:val="zh-CN"/>
                    </w:rPr>
                  </w:pPr>
                  <w:r>
                    <w:rPr>
                      <w:rFonts w:hint="eastAsia" w:ascii="仿宋_GB2312" w:eastAsia="仿宋_GB2312"/>
                      <w:lang w:val="zh-CN"/>
                    </w:rPr>
                    <w:t>教学督导员开展教学督导工作</w:t>
                  </w:r>
                </w:p>
              </w:txbxContent>
            </v:textbox>
          </v:shape>
        </w:pict>
      </w: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jc w:val="center"/>
        <w:outlineLvl w:val="9"/>
        <w:rPr>
          <w:rFonts w:ascii="Times New Roman" w:hAnsi="Times New Roman" w:eastAsia="仿宋_GB2312"/>
          <w:sz w:val="32"/>
          <w:szCs w:val="32"/>
        </w:rPr>
      </w:pPr>
      <w:r>
        <w:rPr>
          <w:rFonts w:hint="eastAsia" w:ascii="仿宋_GB2312" w:eastAsia="仿宋_GB2312"/>
          <w:sz w:val="30"/>
          <w:szCs w:val="30"/>
        </w:rPr>
        <w:br w:type="page"/>
      </w:r>
    </w:p>
    <w:p>
      <w:pPr>
        <w:pageBreakBefore w:val="0"/>
        <w:topLinePunct w:val="0"/>
        <w:bidi w:val="0"/>
        <w:jc w:val="center"/>
        <w:outlineLvl w:val="9"/>
        <w:rPr>
          <w:rFonts w:hint="eastAsia"/>
          <w:sz w:val="24"/>
        </w:rPr>
      </w:pPr>
    </w:p>
    <w:p>
      <w:pPr>
        <w:pageBreakBefore w:val="0"/>
        <w:topLinePunct w:val="0"/>
        <w:bidi w:val="0"/>
        <w:jc w:val="center"/>
        <w:outlineLvl w:val="9"/>
        <w:rPr>
          <w:rFonts w:hint="eastAsia"/>
          <w:sz w:val="24"/>
        </w:rPr>
      </w:pPr>
    </w:p>
    <w:p>
      <w:pPr>
        <w:pageBreakBefore w:val="0"/>
        <w:topLinePunct w:val="0"/>
        <w:bidi w:val="0"/>
        <w:jc w:val="center"/>
        <w:outlineLvl w:val="9"/>
        <w:rPr>
          <w:rFonts w:hint="eastAsia"/>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沪电信职院〔201</w:t>
      </w:r>
      <w:r>
        <w:rPr>
          <w:rFonts w:hint="eastAsia" w:eastAsia="仿宋_GB2312"/>
          <w:color w:val="000000"/>
          <w:kern w:val="0"/>
          <w:sz w:val="32"/>
          <w:szCs w:val="28"/>
        </w:rPr>
        <w:t>9</w:t>
      </w:r>
      <w:r>
        <w:rPr>
          <w:rFonts w:eastAsia="仿宋_GB2312"/>
          <w:color w:val="000000"/>
          <w:kern w:val="0"/>
          <w:sz w:val="32"/>
          <w:szCs w:val="28"/>
        </w:rPr>
        <w:t>〕</w:t>
      </w:r>
      <w:r>
        <w:rPr>
          <w:rFonts w:hint="eastAsia" w:eastAsia="仿宋_GB2312"/>
          <w:color w:val="000000"/>
          <w:kern w:val="0"/>
          <w:sz w:val="32"/>
          <w:szCs w:val="28"/>
          <w:lang w:val="en-US" w:eastAsia="zh-CN"/>
        </w:rPr>
        <w:t>46</w:t>
      </w:r>
      <w:r>
        <w:rPr>
          <w:rFonts w:eastAsia="仿宋_GB2312"/>
          <w:color w:val="000000"/>
          <w:kern w:val="0"/>
          <w:sz w:val="32"/>
          <w:szCs w:val="28"/>
        </w:rPr>
        <w:t>号</w:t>
      </w:r>
    </w:p>
    <w:p>
      <w:pPr>
        <w:pageBreakBefore w:val="0"/>
        <w:topLinePunct w:val="0"/>
        <w:bidi w:val="0"/>
        <w:spacing w:line="240" w:lineRule="atLeast"/>
        <w:outlineLvl w:val="9"/>
        <w:rPr>
          <w:rFonts w:hint="eastAsia" w:ascii="黑体" w:eastAsia="黑体"/>
          <w:color w:val="FF0000"/>
          <w:sz w:val="28"/>
          <w:szCs w:val="28"/>
          <w:u w:val="thick"/>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312" w:beforeLines="100" w:after="312" w:afterLines="100" w:line="640" w:lineRule="exact"/>
        <w:jc w:val="center"/>
        <w:textAlignment w:val="auto"/>
        <w:outlineLvl w:val="0"/>
        <w:rPr>
          <w:rFonts w:hint="eastAsia" w:ascii="黑体" w:hAnsi="黑体" w:eastAsia="黑体" w:cs="黑体"/>
          <w:b/>
          <w:sz w:val="36"/>
          <w:szCs w:val="36"/>
        </w:rPr>
      </w:pPr>
      <w:bookmarkStart w:id="235" w:name="_Toc8420"/>
      <w:r>
        <w:rPr>
          <w:rFonts w:hint="eastAsia" w:ascii="黑体" w:hAnsi="黑体" w:eastAsia="黑体" w:cs="黑体"/>
          <w:b/>
          <w:color w:val="000000"/>
          <w:kern w:val="0"/>
          <w:sz w:val="36"/>
          <w:szCs w:val="36"/>
        </w:rPr>
        <w:t>关于印发《上海电子信息职业技术学院关于加强学风建设的实施细则（修订）》的通知</w:t>
      </w:r>
      <w:r>
        <w:rPr>
          <w:rFonts w:hint="eastAsia" w:ascii="黑体" w:hAnsi="黑体" w:eastAsia="黑体" w:cs="黑体"/>
          <w:b/>
          <w:sz w:val="36"/>
          <w:szCs w:val="36"/>
        </w:rPr>
        <w:fldChar w:fldCharType="begin"/>
      </w:r>
      <w:r>
        <w:rPr>
          <w:rFonts w:hint="eastAsia" w:ascii="黑体" w:hAnsi="黑体" w:eastAsia="黑体" w:cs="黑体"/>
          <w:b/>
          <w:sz w:val="36"/>
          <w:szCs w:val="36"/>
        </w:rPr>
        <w:instrText xml:space="preserve"> Fillin“请键入公文标题” </w:instrText>
      </w:r>
      <w:r>
        <w:rPr>
          <w:rFonts w:hint="eastAsia" w:ascii="黑体" w:hAnsi="黑体" w:eastAsia="黑体" w:cs="黑体"/>
          <w:b/>
          <w:sz w:val="36"/>
          <w:szCs w:val="36"/>
        </w:rPr>
        <w:fldChar w:fldCharType="separate"/>
      </w:r>
      <w:r>
        <w:rPr>
          <w:rFonts w:hint="eastAsia" w:ascii="黑体" w:hAnsi="黑体" w:eastAsia="黑体" w:cs="黑体"/>
          <w:b/>
          <w:sz w:val="36"/>
          <w:szCs w:val="36"/>
        </w:rPr>
        <w:fldChar w:fldCharType="end"/>
      </w:r>
      <w:bookmarkEnd w:id="235"/>
    </w:p>
    <w:p>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加强学院学风建设，严格规范学院学术行为，维护学院风清气正的育人环境和求真务实的学术氛围，促进学院教育教学改革和内涵建设的健康发展，依据教育部《关于切实加强和改进高等学校学风建设的实施意见》(教技〔2011〕1号)结合我院实际，修订《上海电子信息职业技术学院关于加强学风建设的实施细则（修订）》。现予以印发，请遵照执行。</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特此通知。</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附件：上海电子信息职业技术学院关于加强学风建设的实施细则（修订）</w:t>
      </w:r>
    </w:p>
    <w:p>
      <w:pPr>
        <w:keepNext w:val="0"/>
        <w:keepLines w:val="0"/>
        <w:pageBreakBefore w:val="0"/>
        <w:kinsoku/>
        <w:wordWrap/>
        <w:overflowPunct/>
        <w:topLinePunct w:val="0"/>
        <w:autoSpaceDE/>
        <w:autoSpaceDN/>
        <w:bidi w:val="0"/>
        <w:spacing w:line="360" w:lineRule="auto"/>
        <w:ind w:firstLine="3360" w:firstLineChars="1200"/>
        <w:jc w:val="righ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keepNext w:val="0"/>
        <w:keepLines w:val="0"/>
        <w:pageBreakBefore w:val="0"/>
        <w:kinsoku/>
        <w:wordWrap/>
        <w:overflowPunct/>
        <w:topLinePunct w:val="0"/>
        <w:autoSpaceDE/>
        <w:autoSpaceDN/>
        <w:bidi w:val="0"/>
        <w:spacing w:line="360" w:lineRule="auto"/>
        <w:jc w:val="righ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bookmarkStart w:id="236" w:name="签发日期"/>
      <w:r>
        <w:rPr>
          <w:rFonts w:hint="eastAsia" w:ascii="仿宋_GB2312" w:hAnsi="仿宋_GB2312" w:eastAsia="仿宋_GB2312" w:cs="仿宋_GB2312"/>
          <w:kern w:val="2"/>
          <w:sz w:val="28"/>
          <w:szCs w:val="28"/>
          <w:highlight w:val="none"/>
          <w:lang w:val="en-US" w:eastAsia="zh-CN" w:bidi="ar-SA"/>
        </w:rPr>
        <w:t>2019年4月16日</w:t>
      </w:r>
      <w:bookmarkEnd w:id="236"/>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kinsoku/>
        <w:wordWrap/>
        <w:overflowPunct/>
        <w:topLinePunct w:val="0"/>
        <w:autoSpaceDE/>
        <w:autoSpaceDN/>
        <w:bidi w:val="0"/>
        <w:spacing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w:t>
      </w:r>
    </w:p>
    <w:p>
      <w:pPr>
        <w:pageBreakBefore w:val="0"/>
        <w:widowControl/>
        <w:wordWrap w:val="0"/>
        <w:topLinePunct w:val="0"/>
        <w:bidi w:val="0"/>
        <w:jc w:val="center"/>
        <w:outlineLvl w:val="9"/>
        <w:rPr>
          <w:rFonts w:hint="eastAsia" w:ascii="黑体" w:hAnsi="黑体" w:eastAsia="黑体" w:cs="黑体"/>
          <w:b/>
          <w:kern w:val="0"/>
          <w:sz w:val="36"/>
          <w:szCs w:val="36"/>
        </w:rPr>
      </w:pPr>
      <w:r>
        <w:rPr>
          <w:rFonts w:hint="eastAsia" w:ascii="黑体" w:hAnsi="黑体" w:eastAsia="黑体" w:cs="黑体"/>
          <w:b/>
          <w:kern w:val="0"/>
          <w:sz w:val="36"/>
          <w:szCs w:val="36"/>
        </w:rPr>
        <w:t>上海电子信息职业技术学院</w:t>
      </w:r>
    </w:p>
    <w:p>
      <w:pPr>
        <w:pageBreakBefore w:val="0"/>
        <w:widowControl/>
        <w:wordWrap w:val="0"/>
        <w:topLinePunct w:val="0"/>
        <w:bidi w:val="0"/>
        <w:spacing w:after="312" w:afterLines="100"/>
        <w:jc w:val="center"/>
        <w:outlineLvl w:val="9"/>
        <w:rPr>
          <w:rFonts w:hint="eastAsia" w:ascii="华文中宋" w:hAnsi="华文中宋" w:eastAsia="华文中宋"/>
          <w:b/>
          <w:kern w:val="0"/>
          <w:sz w:val="36"/>
          <w:szCs w:val="36"/>
        </w:rPr>
      </w:pPr>
      <w:r>
        <w:rPr>
          <w:rFonts w:hint="eastAsia" w:ascii="黑体" w:hAnsi="黑体" w:eastAsia="黑体" w:cs="黑体"/>
          <w:b/>
          <w:kern w:val="0"/>
          <w:sz w:val="36"/>
          <w:szCs w:val="36"/>
        </w:rPr>
        <w:t>关于加强学风建设的实施细则（修订）</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加强学校学风建设，严格规范学校学术行为，维护学校风清气正的育人环境和求真务实的学术氛围，促进学校教育教学改革和内涵建设的健康发展，依据教育部《关于切实加强和改进高等学校学风建设的实施意见》(教技[2011]1号) 、《国务院关于印发国家职业教育改革实施方案的通知》（国发[2019]4号）、“教育部关于印发《新时代高校教师职业行为十项准则》的通知”（教育部教师〔2018〕16号）和《教育部关于高校教师师德失范行为处理的指导意见》（教育部教师〔2018〕17号）文件精神，结合我校实际，修订本实施细则。</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第一条  重要意义</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风是大学精神的集中体现，是在教师、学生的教学与科研活动中实现教书育人的本质要求，是高等学校的立校之本、发展之魂。优良学风是提高教育教学质量的根本保证，关系到学校是否能持续地科学发展。学术风气是学术共同体及其成员在学术活动中表现出来的一种社会风气，是学者人格、学术精神、学术取向、学术方法、社会文化环境等多种因素的综合反映。</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第二条  坚持原则</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坚持标本兼治、综合治理的原则。坚持教育和治理相结合，把学术道德、学术规范作为学校教师道德教育与培训的重要内容，使教师形成以遵守学术道德为荣、以违反学术道德为耻的荣辱观。通过教育引导、制度规范、监督约束、查处警示等途径，逐步构建优良学风形成的长效工作机制。</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第三条  主体责任</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建立学风建设责任制度。学校主要领导为学风建设的第一责任人，专门领导分工负责学风建设。学风建设纳入学校领导班子的考核，完善目标责任制，落实问责机制。学校按年度发布学风建设工作报告。</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第四条  工作体系</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建立健全学风建设工作体系。建立学校学风建设工作组，负责制定学校学风建设实施细则、定期检查院系学风建设工作、受理学术不端行为的投诉、组织专家组对学术不端行为进行调查、公布和上报调查结果。进一步发挥学术委员会在学风建设、学术评价与发展中的重要作用，积极承担学术规范教育、科研诚信和严谨治学、求真务实的教风宣传，负责学校学术不端行为的调查取证。</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第五条  考核导向</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完善教师的评价考核机制。将科研诚信和严谨治学、求真务实的教风纳入教师和科研人员的年度考核，并建立科研诚信档案。将师德、教风、创新的质量和贡献作为评价考核教师的重要指标，避免片面地将学术成果、学术奖励与物质报酬与职称评定挂钩。</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第六条  宣传教育</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加强学术规范教育、科研诚信和严谨治学、求真务实的教风宣传。组织教师认真学习教育部《关于切实加强和改进高等学校学风建设的实施意见》《高等学校科学技术学术规范指南》《高校人文社会科学学术规范指南》等相关文件精神，要求教师严格遵照规范开展学术研究。</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第七条  健全制度</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健全学术管理专项制度：学术成果公示制度、论文答辩前实验数据审查制度、毕业或离职研究材料上缴制度、论文投稿作者签名留存制度等科学严谨的管理制度。进一步完善科研项目评审、学术成果鉴定程序，强化申报信息公开、异议材料复核、网上公示和接受投诉等制度，增加科研管理的公开性和透明度。</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完善《教师学术道德规范》《学术委员会章程》等规章制度，进一步完善学术不端行为的调查程序，对于各类投诉事件，坚持惩教结合、宽严相济、分类处理，对学风不严谨的违规行为以批评教育为主，而对于违规或不端行为则进行严厉处罚。</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第八条  学生教育</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加强学生的诚信教育，培养科学严谨的治学态度。要进一步加强学生的诚信教育，加大对学生作业或论文（毕业论文）抄袭、考试作弊的教育和处理力度，把对各种不良现象的针砭与学生公德教育、诚信教育结合起来，贯穿于学风建设的全过程。以多种形式开展考前的考风教育活动，营造诚实守信、遵守纪律的考试氛围，使学生能够自觉签署诚信协议，遵守考场纪律。对于违纪行为，严格按照《学生违纪处分暂行规定》进行处理，做到公开、公正。从思想上、行为上杜绝抄袭与考试违纪的现象。</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第九条   信息公开</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实行学风建设信息全方位公开化。开设学风建设专栏，发布学风建设的实施情况，公布学风建设的年度报告，公开学术不端行为调查处理结果。对项目申报、项目成果、论文著作等及时网上公示，接受校内外同行专家的监督，防止学术研究的重复化，项目申报的同质化，避免资源浪费。</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第十条   定期检查</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定期开展学风专项检查，并将检查结果向社会公布。</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本实施细则自公布之日起施行，原《上海电子信息职业技术学院   关于加强学风建设的实施细则》（沪电信职院〔2012〕25号）废止，由学风建设工作组负责解释。</w:t>
      </w:r>
    </w:p>
    <w:p>
      <w:pPr>
        <w:keepNext w:val="0"/>
        <w:keepLines w:val="0"/>
        <w:pageBreakBefore w:val="0"/>
        <w:widowControl/>
        <w:kinsoku/>
        <w:wordWrap/>
        <w:overflowPunct/>
        <w:topLinePunct w:val="0"/>
        <w:autoSpaceDE/>
        <w:autoSpaceDN/>
        <w:bidi w:val="0"/>
        <w:adjustRightInd w:val="0"/>
        <w:snapToGrid w:val="0"/>
        <w:spacing w:line="360" w:lineRule="auto"/>
        <w:ind w:firstLine="641"/>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360" w:lineRule="auto"/>
        <w:outlineLvl w:val="9"/>
        <w:rPr>
          <w:rFonts w:hint="eastAsia" w:ascii="仿宋_GB2312" w:eastAsia="仿宋_GB2312"/>
          <w:b/>
          <w:sz w:val="28"/>
          <w:szCs w:val="28"/>
        </w:rPr>
      </w:pPr>
      <w:r>
        <w:rPr>
          <w:rFonts w:hint="eastAsia" w:ascii="仿宋_GB2312" w:eastAsia="仿宋_GB2312"/>
          <w:sz w:val="28"/>
          <w:szCs w:val="28"/>
        </w:rPr>
        <w:t xml:space="preserve">                                                           </w:t>
      </w:r>
    </w:p>
    <w:p>
      <w:pPr>
        <w:pageBreakBefore w:val="0"/>
        <w:topLinePunct w:val="0"/>
        <w:bidi w:val="0"/>
        <w:outlineLvl w:val="9"/>
        <w:rPr>
          <w:rFonts w:hint="eastAsia" w:ascii="仿宋_GB2312" w:eastAsia="仿宋_GB2312"/>
          <w:sz w:val="28"/>
          <w:szCs w:val="28"/>
        </w:rPr>
      </w:pPr>
    </w:p>
    <w:p>
      <w:pPr>
        <w:pStyle w:val="16"/>
        <w:pageBreakBefore w:val="0"/>
        <w:topLinePunct w:val="0"/>
        <w:bidi w:val="0"/>
        <w:spacing w:before="312" w:beforeLines="100" w:after="312" w:afterLines="100" w:line="560" w:lineRule="atLeast"/>
        <w:ind w:left="0" w:leftChars="0" w:firstLine="560" w:firstLineChars="200"/>
        <w:outlineLvl w:val="9"/>
        <w:rPr>
          <w:rFonts w:hint="eastAsia" w:ascii="仿宋_GB2312" w:hAnsi="宋体" w:eastAsia="仿宋_GB2312"/>
          <w:sz w:val="28"/>
          <w:szCs w:val="28"/>
        </w:rPr>
      </w:pPr>
    </w:p>
    <w:p>
      <w:pPr>
        <w:pStyle w:val="16"/>
        <w:pageBreakBefore w:val="0"/>
        <w:topLinePunct w:val="0"/>
        <w:bidi w:val="0"/>
        <w:spacing w:before="312" w:beforeLines="100" w:after="312" w:afterLines="100" w:line="560" w:lineRule="atLeast"/>
        <w:ind w:left="0" w:leftChars="0" w:firstLine="560" w:firstLineChars="200"/>
        <w:outlineLvl w:val="9"/>
        <w:rPr>
          <w:rFonts w:hint="eastAsia" w:ascii="仿宋_GB2312" w:hAnsi="宋体" w:eastAsia="仿宋_GB2312"/>
          <w:sz w:val="28"/>
          <w:szCs w:val="28"/>
        </w:rPr>
      </w:pPr>
    </w:p>
    <w:p>
      <w:pPr>
        <w:pStyle w:val="16"/>
        <w:pageBreakBefore w:val="0"/>
        <w:topLinePunct w:val="0"/>
        <w:bidi w:val="0"/>
        <w:spacing w:before="312" w:beforeLines="100" w:after="312" w:afterLines="100" w:line="560" w:lineRule="atLeast"/>
        <w:ind w:left="0" w:leftChars="0" w:firstLine="560" w:firstLineChars="200"/>
        <w:outlineLvl w:val="9"/>
        <w:rPr>
          <w:rFonts w:hint="eastAsia" w:ascii="仿宋_GB2312" w:hAnsi="宋体" w:eastAsia="仿宋_GB2312"/>
          <w:sz w:val="28"/>
          <w:szCs w:val="28"/>
        </w:rPr>
      </w:pPr>
    </w:p>
    <w:p>
      <w:pPr>
        <w:pStyle w:val="16"/>
        <w:pageBreakBefore w:val="0"/>
        <w:topLinePunct w:val="0"/>
        <w:bidi w:val="0"/>
        <w:spacing w:before="312" w:beforeLines="100" w:after="312" w:afterLines="100" w:line="560" w:lineRule="atLeast"/>
        <w:ind w:left="0" w:leftChars="0" w:firstLine="560" w:firstLineChars="200"/>
        <w:outlineLvl w:val="9"/>
        <w:rPr>
          <w:rFonts w:hint="eastAsia" w:ascii="仿宋_GB2312" w:hAnsi="宋体" w:eastAsia="仿宋_GB2312"/>
          <w:sz w:val="28"/>
          <w:szCs w:val="28"/>
        </w:rPr>
      </w:pPr>
    </w:p>
    <w:p>
      <w:pPr>
        <w:pStyle w:val="16"/>
        <w:pageBreakBefore w:val="0"/>
        <w:topLinePunct w:val="0"/>
        <w:bidi w:val="0"/>
        <w:spacing w:before="312" w:beforeLines="100" w:after="312" w:afterLines="100" w:line="560" w:lineRule="atLeast"/>
        <w:ind w:left="0" w:leftChars="0" w:firstLine="560" w:firstLineChars="200"/>
        <w:outlineLvl w:val="9"/>
        <w:rPr>
          <w:rFonts w:hint="eastAsia" w:ascii="仿宋_GB2312" w:hAnsi="宋体" w:eastAsia="仿宋_GB2312"/>
          <w:sz w:val="28"/>
          <w:szCs w:val="28"/>
        </w:rPr>
      </w:pPr>
    </w:p>
    <w:p>
      <w:pPr>
        <w:pStyle w:val="16"/>
        <w:pageBreakBefore w:val="0"/>
        <w:topLinePunct w:val="0"/>
        <w:bidi w:val="0"/>
        <w:spacing w:before="312" w:beforeLines="100" w:after="312" w:afterLines="100" w:line="560" w:lineRule="atLeast"/>
        <w:ind w:left="0" w:leftChars="0" w:firstLine="560" w:firstLineChars="200"/>
        <w:outlineLvl w:val="9"/>
        <w:rPr>
          <w:rFonts w:hint="eastAsia" w:ascii="仿宋_GB2312" w:hAnsi="宋体" w:eastAsia="仿宋_GB2312"/>
          <w:sz w:val="28"/>
          <w:szCs w:val="28"/>
        </w:rPr>
      </w:pPr>
    </w:p>
    <w:p>
      <w:pPr>
        <w:pStyle w:val="16"/>
        <w:pageBreakBefore w:val="0"/>
        <w:topLinePunct w:val="0"/>
        <w:bidi w:val="0"/>
        <w:spacing w:before="312" w:beforeLines="100" w:after="312" w:afterLines="100" w:line="560" w:lineRule="atLeast"/>
        <w:ind w:left="0" w:leftChars="0" w:firstLine="560" w:firstLineChars="200"/>
        <w:outlineLvl w:val="9"/>
        <w:rPr>
          <w:rFonts w:hint="eastAsia" w:ascii="仿宋_GB2312" w:hAnsi="宋体" w:eastAsia="仿宋_GB2312"/>
          <w:sz w:val="28"/>
          <w:szCs w:val="28"/>
        </w:rPr>
      </w:pPr>
    </w:p>
    <w:p>
      <w:pPr>
        <w:pStyle w:val="16"/>
        <w:pageBreakBefore w:val="0"/>
        <w:topLinePunct w:val="0"/>
        <w:bidi w:val="0"/>
        <w:spacing w:before="312" w:beforeLines="100" w:after="312" w:afterLines="100" w:line="560" w:lineRule="atLeast"/>
        <w:ind w:left="0" w:leftChars="0" w:firstLine="560" w:firstLineChars="200"/>
        <w:outlineLvl w:val="9"/>
        <w:rPr>
          <w:rFonts w:hint="eastAsia" w:ascii="仿宋_GB2312" w:hAnsi="宋体" w:eastAsia="仿宋_GB2312"/>
          <w:sz w:val="28"/>
          <w:szCs w:val="28"/>
        </w:rPr>
      </w:pPr>
    </w:p>
    <w:p>
      <w:pPr>
        <w:pStyle w:val="16"/>
        <w:pageBreakBefore w:val="0"/>
        <w:topLinePunct w:val="0"/>
        <w:bidi w:val="0"/>
        <w:spacing w:before="312" w:beforeLines="100" w:after="312" w:afterLines="100" w:line="560" w:lineRule="atLeast"/>
        <w:ind w:left="0" w:leftChars="0" w:firstLine="560" w:firstLineChars="200"/>
        <w:outlineLvl w:val="9"/>
        <w:rPr>
          <w:rFonts w:hint="eastAsia" w:ascii="仿宋_GB2312" w:hAnsi="宋体" w:eastAsia="仿宋_GB2312"/>
          <w:sz w:val="28"/>
          <w:szCs w:val="28"/>
        </w:rPr>
      </w:pPr>
    </w:p>
    <w:p>
      <w:pPr>
        <w:pStyle w:val="16"/>
        <w:pageBreakBefore w:val="0"/>
        <w:topLinePunct w:val="0"/>
        <w:bidi w:val="0"/>
        <w:spacing w:before="312" w:beforeLines="100" w:after="312" w:afterLines="100" w:line="560" w:lineRule="atLeast"/>
        <w:ind w:left="0" w:leftChars="0" w:firstLine="560" w:firstLineChars="200"/>
        <w:outlineLvl w:val="9"/>
        <w:rPr>
          <w:rFonts w:hint="eastAsia" w:ascii="仿宋_GB2312" w:hAnsi="宋体" w:eastAsia="仿宋_GB2312"/>
          <w:sz w:val="28"/>
          <w:szCs w:val="28"/>
        </w:rPr>
      </w:pPr>
    </w:p>
    <w:p>
      <w:pPr>
        <w:pageBreakBefore w:val="0"/>
        <w:topLinePunct w:val="0"/>
        <w:bidi w:val="0"/>
        <w:jc w:val="center"/>
        <w:outlineLvl w:val="9"/>
        <w:rPr>
          <w:rFonts w:hint="eastAsia"/>
          <w:sz w:val="24"/>
        </w:rPr>
      </w:pPr>
      <w:r>
        <w:rPr>
          <w:rFonts w:hint="eastAsia" w:ascii="仿宋_GB2312" w:eastAsia="仿宋_GB2312"/>
          <w:b/>
          <w:sz w:val="28"/>
          <w:szCs w:val="28"/>
          <w:shd w:val="pct10" w:color="auto" w:fill="FFFFFF"/>
        </w:rPr>
        <w:br w:type="page"/>
      </w:r>
      <w:bookmarkStart w:id="237" w:name="_Toc23516"/>
      <w:bookmarkStart w:id="238" w:name="_Toc6501"/>
      <w:bookmarkStart w:id="239" w:name="_Toc155"/>
      <w:bookmarkStart w:id="240" w:name="_Toc12479"/>
    </w:p>
    <w:p>
      <w:pPr>
        <w:pageBreakBefore w:val="0"/>
        <w:topLinePunct w:val="0"/>
        <w:bidi w:val="0"/>
        <w:jc w:val="center"/>
        <w:outlineLvl w:val="9"/>
        <w:rPr>
          <w:rFonts w:hint="eastAsia"/>
          <w:sz w:val="24"/>
        </w:rPr>
      </w:pPr>
    </w:p>
    <w:p>
      <w:pPr>
        <w:pageBreakBefore w:val="0"/>
        <w:topLinePunct w:val="0"/>
        <w:bidi w:val="0"/>
        <w:jc w:val="center"/>
        <w:outlineLvl w:val="9"/>
        <w:rPr>
          <w:rFonts w:hint="eastAsia"/>
          <w:sz w:val="24"/>
        </w:rPr>
      </w:pPr>
    </w:p>
    <w:p>
      <w:pPr>
        <w:pageBreakBefore w:val="0"/>
        <w:topLinePunct w:val="0"/>
        <w:bidi w:val="0"/>
        <w:jc w:val="center"/>
        <w:outlineLvl w:val="9"/>
        <w:rPr>
          <w:rFonts w:hint="eastAsia"/>
          <w:sz w:val="24"/>
        </w:rPr>
      </w:pPr>
    </w:p>
    <w:p>
      <w:pPr>
        <w:pageBreakBefore w:val="0"/>
        <w:topLinePunct w:val="0"/>
        <w:bidi w:val="0"/>
        <w:jc w:val="center"/>
        <w:outlineLvl w:val="9"/>
        <w:rPr>
          <w:sz w:val="24"/>
        </w:rPr>
      </w:pPr>
    </w:p>
    <w:p>
      <w:pPr>
        <w:pageBreakBefore w:val="0"/>
        <w:topLinePunct w:val="0"/>
        <w:bidi w:val="0"/>
        <w:jc w:val="center"/>
        <w:outlineLvl w:val="9"/>
        <w:rPr>
          <w:rFonts w:ascii="华文中宋" w:hAnsi="华文中宋" w:eastAsia="华文中宋"/>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spacing w:before="156" w:beforeLines="50"/>
        <w:jc w:val="center"/>
        <w:outlineLvl w:val="9"/>
        <w:rPr>
          <w:sz w:val="24"/>
        </w:rPr>
      </w:pPr>
    </w:p>
    <w:p>
      <w:pPr>
        <w:pageBreakBefore w:val="0"/>
        <w:topLinePunct w:val="0"/>
        <w:bidi w:val="0"/>
        <w:spacing w:before="156" w:beforeLines="50"/>
        <w:jc w:val="center"/>
        <w:outlineLvl w:val="9"/>
        <w:rPr>
          <w:rFonts w:ascii="仿宋_GB2312" w:eastAsia="仿宋_GB2312"/>
          <w:sz w:val="32"/>
          <w:szCs w:val="32"/>
        </w:rPr>
      </w:pPr>
      <w:r>
        <w:rPr>
          <w:rFonts w:hint="eastAsia" w:ascii="仿宋_GB2312" w:eastAsia="仿宋_GB2312"/>
          <w:color w:val="000000"/>
          <w:kern w:val="0"/>
          <w:sz w:val="32"/>
          <w:szCs w:val="28"/>
        </w:rPr>
        <w:t>沪电信职院〔2019〕</w:t>
      </w:r>
      <w:r>
        <w:rPr>
          <w:rFonts w:hint="eastAsia" w:ascii="仿宋_GB2312" w:eastAsia="仿宋_GB2312"/>
          <w:color w:val="000000"/>
          <w:kern w:val="0"/>
          <w:sz w:val="32"/>
          <w:szCs w:val="28"/>
          <w:lang w:val="en-US" w:eastAsia="zh-CN"/>
        </w:rPr>
        <w:t>47</w:t>
      </w:r>
      <w:r>
        <w:rPr>
          <w:rFonts w:hint="eastAsia" w:ascii="仿宋_GB2312" w:eastAsia="仿宋_GB2312"/>
          <w:color w:val="000000"/>
          <w:kern w:val="0"/>
          <w:sz w:val="32"/>
          <w:szCs w:val="28"/>
        </w:rPr>
        <w:t xml:space="preserve">号  </w:t>
      </w:r>
    </w:p>
    <w:p>
      <w:pPr>
        <w:pageBreakBefore w:val="0"/>
        <w:topLinePunct w:val="0"/>
        <w:bidi w:val="0"/>
        <w:spacing w:line="440" w:lineRule="exact"/>
        <w:outlineLvl w:val="9"/>
        <w:rPr>
          <w:rFonts w:hint="eastAsia" w:ascii="黑体" w:eastAsia="黑体"/>
          <w:color w:val="FF0000"/>
          <w:sz w:val="28"/>
          <w:szCs w:val="28"/>
          <w:u w:val="thick"/>
        </w:rPr>
      </w:pPr>
      <w:r>
        <w:rPr>
          <w:rFonts w:hint="eastAsia" w:ascii="黑体" w:eastAsia="黑体"/>
          <w:color w:val="FF0000"/>
          <w:sz w:val="28"/>
          <w:szCs w:val="28"/>
          <w:u w:val="thick"/>
        </w:rPr>
        <w:t xml:space="preserve">                                                        </w:t>
      </w:r>
    </w:p>
    <w:p>
      <w:pPr>
        <w:pageBreakBefore w:val="0"/>
        <w:topLinePunct w:val="0"/>
        <w:bidi w:val="0"/>
        <w:spacing w:line="560" w:lineRule="exact"/>
        <w:jc w:val="center"/>
        <w:outlineLvl w:val="9"/>
        <w:rPr>
          <w:rFonts w:hint="eastAsia" w:hAnsi="华文中宋" w:eastAsia="华文中宋"/>
          <w:b/>
          <w:kern w:val="0"/>
          <w:sz w:val="36"/>
          <w:szCs w:val="36"/>
        </w:rPr>
      </w:pPr>
    </w:p>
    <w:p>
      <w:pPr>
        <w:keepNext w:val="0"/>
        <w:keepLines w:val="0"/>
        <w:pageBreakBefore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b/>
          <w:bCs/>
          <w:color w:val="000000"/>
          <w:kern w:val="0"/>
          <w:sz w:val="32"/>
          <w:szCs w:val="32"/>
        </w:rPr>
      </w:pPr>
      <w:bookmarkStart w:id="241" w:name="_Toc15392"/>
      <w:r>
        <w:rPr>
          <w:rFonts w:hint="eastAsia" w:ascii="黑体" w:hAnsi="黑体" w:eastAsia="黑体" w:cs="黑体"/>
          <w:b/>
          <w:kern w:val="0"/>
          <w:sz w:val="36"/>
          <w:szCs w:val="36"/>
        </w:rPr>
        <w:t>关于印发《上海电子信息职业技术学院教师教学工作规范（修订）》的通知</w:t>
      </w:r>
      <w:bookmarkEnd w:id="241"/>
    </w:p>
    <w:p>
      <w:pPr>
        <w:pageBreakBefore w:val="0"/>
        <w:widowControl/>
        <w:topLinePunct w:val="0"/>
        <w:bidi w:val="0"/>
        <w:adjustRightInd w:val="0"/>
        <w:snapToGrid w:val="0"/>
        <w:spacing w:line="52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各教学单位、职能部门： </w:t>
      </w:r>
    </w:p>
    <w:p>
      <w:pPr>
        <w:pageBreakBefore w:val="0"/>
        <w:widowControl/>
        <w:topLinePunct w:val="0"/>
        <w:bidi w:val="0"/>
        <w:spacing w:after="0" w:line="52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现将《上海电子信息职业技术学院教师教学工作规范（修订）》印发给你们，请结合本部门工作实际，认真研究执行。</w:t>
      </w:r>
    </w:p>
    <w:p>
      <w:pPr>
        <w:pageBreakBefore w:val="0"/>
        <w:widowControl/>
        <w:topLinePunct w:val="0"/>
        <w:bidi w:val="0"/>
        <w:adjustRightInd w:val="0"/>
        <w:snapToGrid w:val="0"/>
        <w:spacing w:line="520" w:lineRule="exact"/>
        <w:jc w:val="left"/>
        <w:outlineLvl w:val="9"/>
        <w:rPr>
          <w:rFonts w:hint="eastAsia" w:ascii="仿宋_GB2312" w:hAnsi="仿宋_GB2312" w:eastAsia="仿宋_GB2312" w:cs="仿宋_GB2312"/>
          <w:kern w:val="2"/>
          <w:sz w:val="28"/>
          <w:szCs w:val="28"/>
          <w:highlight w:val="none"/>
          <w:lang w:val="en-US" w:eastAsia="zh-CN" w:bidi="ar-SA"/>
        </w:rPr>
      </w:pPr>
    </w:p>
    <w:p>
      <w:pPr>
        <w:pageBreakBefore w:val="0"/>
        <w:widowControl/>
        <w:topLinePunct w:val="0"/>
        <w:bidi w:val="0"/>
        <w:spacing w:line="52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widowControl/>
        <w:topLinePunct w:val="0"/>
        <w:bidi w:val="0"/>
        <w:spacing w:line="520" w:lineRule="exact"/>
        <w:jc w:val="left"/>
        <w:outlineLvl w:val="9"/>
        <w:rPr>
          <w:rFonts w:hint="eastAsia" w:ascii="仿宋_GB2312" w:hAnsi="仿宋_GB2312" w:eastAsia="仿宋_GB2312" w:cs="仿宋_GB2312"/>
          <w:kern w:val="2"/>
          <w:sz w:val="28"/>
          <w:szCs w:val="28"/>
          <w:highlight w:val="none"/>
          <w:lang w:val="en-US" w:eastAsia="zh-CN" w:bidi="ar-SA"/>
        </w:rPr>
      </w:pPr>
    </w:p>
    <w:p>
      <w:pPr>
        <w:pageBreakBefore w:val="0"/>
        <w:widowControl/>
        <w:topLinePunct w:val="0"/>
        <w:bidi w:val="0"/>
        <w:spacing w:line="52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附件：上海电子信息职业技术学院教师教学工作规范</w:t>
      </w:r>
    </w:p>
    <w:p>
      <w:pPr>
        <w:pStyle w:val="15"/>
        <w:pageBreakBefore w:val="0"/>
        <w:topLinePunct w:val="0"/>
        <w:bidi w:val="0"/>
        <w:spacing w:after="0" w:line="520" w:lineRule="exact"/>
        <w:jc w:val="center"/>
        <w:outlineLvl w:val="9"/>
        <w:rPr>
          <w:rFonts w:hint="eastAsia" w:ascii="仿宋_GB2312" w:hAnsi="仿宋_GB2312" w:eastAsia="仿宋_GB2312" w:cs="仿宋_GB2312"/>
          <w:kern w:val="2"/>
          <w:sz w:val="28"/>
          <w:szCs w:val="28"/>
          <w:highlight w:val="none"/>
          <w:lang w:val="en-US" w:eastAsia="zh-CN" w:bidi="ar-SA"/>
        </w:rPr>
      </w:pPr>
    </w:p>
    <w:p>
      <w:pPr>
        <w:pageBreakBefore w:val="0"/>
        <w:widowControl/>
        <w:topLinePunct w:val="0"/>
        <w:bidi w:val="0"/>
        <w:adjustRightInd w:val="0"/>
        <w:snapToGrid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ind w:left="1575" w:leftChars="350" w:hanging="840" w:hangingChars="3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ind w:left="1693" w:leftChars="806" w:firstLine="1120" w:firstLineChars="4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ind w:left="1693" w:leftChars="806" w:firstLine="1680" w:firstLineChars="6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r>
        <w:rPr>
          <w:rFonts w:hint="eastAsia" w:ascii="仿宋_GB2312" w:hAnsi="仿宋_GB2312" w:eastAsia="仿宋_GB2312" w:cs="仿宋_GB2312"/>
          <w:kern w:val="2"/>
          <w:sz w:val="28"/>
          <w:szCs w:val="28"/>
          <w:highlight w:val="none"/>
          <w:lang w:val="en-US" w:eastAsia="zh-CN" w:bidi="ar-SA"/>
        </w:rPr>
        <w:br w:type="textWrapping"/>
      </w:r>
      <w:r>
        <w:rPr>
          <w:rFonts w:hint="eastAsia" w:ascii="仿宋_GB2312" w:hAnsi="仿宋_GB2312" w:eastAsia="仿宋_GB2312" w:cs="仿宋_GB2312"/>
          <w:kern w:val="2"/>
          <w:sz w:val="28"/>
          <w:szCs w:val="28"/>
          <w:highlight w:val="none"/>
          <w:lang w:val="en-US" w:eastAsia="zh-CN" w:bidi="ar-SA"/>
        </w:rPr>
        <w:t xml:space="preserve">                  2019年4月16日</w:t>
      </w:r>
    </w:p>
    <w:p>
      <w:pPr>
        <w:pageBreakBefore w:val="0"/>
        <w:topLinePunct w:val="0"/>
        <w:bidi w:val="0"/>
        <w:spacing w:line="560" w:lineRule="exact"/>
        <w:jc w:val="center"/>
        <w:outlineLvl w:val="9"/>
        <w:rPr>
          <w:rFonts w:hint="eastAsia" w:eastAsia="仿宋_GB2312"/>
          <w:sz w:val="32"/>
          <w:szCs w:val="32"/>
        </w:rPr>
      </w:pPr>
    </w:p>
    <w:p>
      <w:pPr>
        <w:pageBreakBefore w:val="0"/>
        <w:topLinePunct w:val="0"/>
        <w:bidi w:val="0"/>
        <w:spacing w:line="560" w:lineRule="exact"/>
        <w:jc w:val="both"/>
        <w:outlineLvl w:val="9"/>
        <w:rPr>
          <w:rFonts w:hint="eastAsia" w:eastAsia="仿宋_GB2312"/>
          <w:sz w:val="32"/>
          <w:szCs w:val="32"/>
        </w:rPr>
      </w:pPr>
    </w:p>
    <w:p>
      <w:pPr>
        <w:pageBreakBefore w:val="0"/>
        <w:topLinePunct w:val="0"/>
        <w:bidi w:val="0"/>
        <w:spacing w:line="520" w:lineRule="exact"/>
        <w:jc w:val="lef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w:t>
      </w:r>
    </w:p>
    <w:p>
      <w:pPr>
        <w:pageBreakBefore w:val="0"/>
        <w:topLinePunct w:val="0"/>
        <w:bidi w:val="0"/>
        <w:spacing w:line="560" w:lineRule="exact"/>
        <w:ind w:firstLine="1807" w:firstLineChars="500"/>
        <w:jc w:val="both"/>
        <w:outlineLvl w:val="9"/>
        <w:rPr>
          <w:rFonts w:hint="eastAsia" w:ascii="黑体" w:hAnsi="黑体" w:eastAsia="黑体" w:cs="黑体"/>
          <w:b/>
          <w:kern w:val="0"/>
          <w:sz w:val="36"/>
          <w:szCs w:val="36"/>
        </w:rPr>
      </w:pPr>
      <w:r>
        <w:rPr>
          <w:rFonts w:hint="eastAsia" w:ascii="黑体" w:hAnsi="黑体" w:eastAsia="黑体" w:cs="黑体"/>
          <w:b/>
          <w:kern w:val="0"/>
          <w:sz w:val="36"/>
          <w:szCs w:val="36"/>
        </w:rPr>
        <w:t>上海电子信息职业技术学院</w:t>
      </w:r>
    </w:p>
    <w:p>
      <w:pPr>
        <w:pageBreakBefore w:val="0"/>
        <w:topLinePunct w:val="0"/>
        <w:bidi w:val="0"/>
        <w:spacing w:line="560" w:lineRule="exact"/>
        <w:jc w:val="center"/>
        <w:outlineLvl w:val="9"/>
        <w:rPr>
          <w:rFonts w:hint="eastAsia" w:ascii="黑体" w:hAnsi="黑体" w:eastAsia="黑体" w:cs="黑体"/>
          <w:b/>
          <w:bCs/>
          <w:color w:val="000000"/>
          <w:kern w:val="0"/>
          <w:sz w:val="32"/>
          <w:szCs w:val="32"/>
        </w:rPr>
      </w:pPr>
      <w:r>
        <w:rPr>
          <w:rFonts w:hint="eastAsia" w:ascii="黑体" w:hAnsi="黑体" w:eastAsia="黑体" w:cs="黑体"/>
          <w:b/>
          <w:kern w:val="0"/>
          <w:sz w:val="36"/>
          <w:szCs w:val="36"/>
        </w:rPr>
        <w:t>教师教学工作规范</w:t>
      </w:r>
      <w:bookmarkEnd w:id="237"/>
      <w:bookmarkEnd w:id="238"/>
      <w:bookmarkEnd w:id="239"/>
      <w:bookmarkEnd w:id="240"/>
      <w:r>
        <w:rPr>
          <w:rFonts w:hint="eastAsia" w:ascii="黑体" w:hAnsi="黑体" w:eastAsia="黑体" w:cs="黑体"/>
          <w:b/>
          <w:kern w:val="0"/>
          <w:sz w:val="36"/>
          <w:szCs w:val="36"/>
        </w:rPr>
        <w:t>（修订）</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师是履行教学职责的专业人员，是教学工作的主体与核心。教师的学识水平、师德修养与敬业精神，直接影响学校的育人质量。为进一步明确教师在各个教学环节中的职责，确保教学任务的完成，使教学工作更加科学化、规范化，不断提高人才培养质量，《国务院关于印发国家职业教育改革实施方案的通知》（国发[2019]4号）、“教育部关于印发《新时代高校教师职业行为十项准则》的通知”（教育部教师〔2018〕16号）和《教育部关于高校教师师德失范行为处理的指导意见》（教育部教师〔2018〕17号）文件精神，特修订学校教师教学工作规范。</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bookmarkStart w:id="242" w:name="_Toc295991779"/>
      <w:r>
        <w:rPr>
          <w:rFonts w:hint="eastAsia" w:ascii="仿宋_GB2312" w:hAnsi="仿宋_GB2312" w:eastAsia="仿宋_GB2312" w:cs="仿宋_GB2312"/>
          <w:kern w:val="2"/>
          <w:sz w:val="28"/>
          <w:szCs w:val="28"/>
          <w:highlight w:val="none"/>
          <w:lang w:val="en-US" w:eastAsia="zh-CN" w:bidi="ar-SA"/>
        </w:rPr>
        <w:t>一、教师的基本职责</w:t>
      </w:r>
      <w:bookmarkEnd w:id="242"/>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1．师德师风是评价教师队伍素质的第一标准。教师应严格遵循《新时代高校教师职业行为十项准则》，牢记使命、不忘初心，爱岗敬业、教书育人，改革创新、服务社会；要自重、自省、自警、自励，自觉做以德立身、以德立学、以德施教、以德育德的楷模，维护教师职业形象，提振师道尊严，努力培养德、智、体、美全面发展的社会主义事业的建设者和接班人。 </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2．积极承担教学任务(包括备课、授课、教学实践指导、监考、课外辅导等)，执行人才培养方案，承担课程基本建设工作，努力做好其他教学工作。</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3．积极参加教育教学改革，开展教学研究，不断提高教育教学水平，体现高职教育特色。</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bookmarkStart w:id="243" w:name="_Toc295991780"/>
      <w:r>
        <w:rPr>
          <w:rFonts w:hint="eastAsia" w:ascii="仿宋_GB2312" w:hAnsi="仿宋_GB2312" w:eastAsia="仿宋_GB2312" w:cs="仿宋_GB2312"/>
          <w:kern w:val="2"/>
          <w:sz w:val="28"/>
          <w:szCs w:val="28"/>
          <w:highlight w:val="none"/>
          <w:lang w:val="en-US" w:eastAsia="zh-CN" w:bidi="ar-SA"/>
        </w:rPr>
        <w:t>二、教学准备</w:t>
      </w:r>
      <w:bookmarkEnd w:id="243"/>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教学准备是教学环节的有机组成部分，为提高课堂授课质量，教师必须做好教学准备工作。</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1．教师开课前应准备好相应的教学材料，包括：课程标准、授课计划、教案、讲稿、多媒体课件等。</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2．教师在认真理解专业人才培养方案、课程标准的基础上，编制授课计划。</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3．教师上课前必须充分备课，熟悉讲课内容，并进行科学的教学设计，逐项填写教案；根据选定的教材与确定的教学时数，合理分配讲授、复习和考试的时间，写出讲稿（或授课提纲）。</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讲稿可以跨学年使用，但新学年使用前或更换新教材后，根据专业教学需要和学科新进展，必须对讲稿内容进行修改。</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教师在授课前要认真分析研究教学对象，充分了解、分析掌握授课班学生在知识、能力、态度等方面的差异，根据教学要求和多数学生的知识水平、接受能力，科学组织教学内容，选定适宜的教学方法和手段。</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5．教师在授课前做好教学模型、挂图、教具、课件、演示实验等设备的准备工作，并进行细心检查核对，以保证课堂教学顺利进行。</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6．教师应于每学期开课前认真核对课程表，任课班级、教室，保证上课时间准确无误，防止教学事故发生。</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bookmarkStart w:id="244" w:name="_Toc295991781"/>
      <w:r>
        <w:rPr>
          <w:rFonts w:hint="eastAsia" w:ascii="仿宋_GB2312" w:hAnsi="仿宋_GB2312" w:eastAsia="仿宋_GB2312" w:cs="仿宋_GB2312"/>
          <w:kern w:val="2"/>
          <w:sz w:val="28"/>
          <w:szCs w:val="28"/>
          <w:highlight w:val="none"/>
          <w:lang w:val="en-US" w:eastAsia="zh-CN" w:bidi="ar-SA"/>
        </w:rPr>
        <w:t>三、课堂教学</w:t>
      </w:r>
      <w:bookmarkEnd w:id="244"/>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课堂教学是教学工作的主要环节，是系统科学地向学生传授知识、培育专业技能的基本方式。</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1．教师要依照课程标准的要求，严格按照学校排定的学期课程表在规定的时间和地点组织教学活动，不得擅自调课、停课、加课或变更授课地点；教师应以铃声为准，严格执行作息时间表。</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2．在课堂教学过程中，教师不得有违背党和国家方针政策的言行，无师德失范行为。</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在课堂教学过程中，教师要充分发挥主导作用，精心设计和探索职业教育的课堂教学方法，处理好本课程与先修课程、后续课程之间的衔接关系，注重教学效果，坚持启发式教学，重视学生的能力培养和良好思想品德的养成；重视授课效果的信息反馈，因材施教，根据实际教学情况调整讲课的进度与讲授方式，力求做到教学相长。</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教师上课要做到：仪表整洁大方，教态亲切自然；语言文字规范、普通话教学，，课堂用语力求准确、简练；板书规范、工整；记录学生出勤情况，注意维持课堂秩序；不在授课时从事与教学无关的活动；爱惜教室内有关设备，下课后关好教室门窗及电灯、投影电源等。</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教师要积极探索教学改革，根据学生实际情况，以培养与提高学生职业能力为重点；有针对性地采取工学交替、任务驱动、项目导向、理实一体等行动导向的教学模式，借助教具和计算机辅助教学等现代教育技术手段，不断提高课程教学质量。</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bookmarkStart w:id="245" w:name="_Toc295991782"/>
      <w:r>
        <w:rPr>
          <w:rFonts w:hint="eastAsia" w:ascii="仿宋_GB2312" w:hAnsi="仿宋_GB2312" w:eastAsia="仿宋_GB2312" w:cs="仿宋_GB2312"/>
          <w:kern w:val="2"/>
          <w:sz w:val="28"/>
          <w:szCs w:val="28"/>
          <w:highlight w:val="none"/>
          <w:lang w:val="en-US" w:eastAsia="zh-CN" w:bidi="ar-SA"/>
        </w:rPr>
        <w:t>四、课外作业</w:t>
      </w:r>
      <w:bookmarkEnd w:id="245"/>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课外作业是检查学生学习情况，促进学生消化和巩固所学知识，培养运用知识能力的一个必要环节。</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1．教师应按课程标准的要求与课程教学的运行及教材内容，科学有计划地布置学生作业，并及时收集。</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2．教师应对作业及时批改并进行讲评，督促学生订正。</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3．教师应对学生完成作业情况记录在平时成绩栏内，平时作业成绩作为该课程平时成绩的重要依据之一。</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bookmarkStart w:id="246" w:name="_Toc295991783"/>
      <w:r>
        <w:rPr>
          <w:rFonts w:hint="eastAsia" w:ascii="仿宋_GB2312" w:hAnsi="仿宋_GB2312" w:eastAsia="仿宋_GB2312" w:cs="仿宋_GB2312"/>
          <w:kern w:val="2"/>
          <w:sz w:val="28"/>
          <w:szCs w:val="28"/>
          <w:highlight w:val="none"/>
          <w:lang w:val="en-US" w:eastAsia="zh-CN" w:bidi="ar-SA"/>
        </w:rPr>
        <w:t>五、辅导答疑</w:t>
      </w:r>
      <w:bookmarkEnd w:id="246"/>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1．辅导答疑是课堂教学的重要补充，辅导答疑要指导学生的学习方法和思维方法，指导学生掌握学习规律和科学的学习方法，合理安排学习时间，提高学习效率。</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教师要利用网络等多种渠道对学生进行辅导、答疑；辅导答疑以个别进行为主；对学生提出的普遍性疑难问题，也可进行集体辅导，辅导次数视学生的学习情况而定，但不宜太多；教师要充分利用辅导答疑时间多接触学生，了解学生学习情况，征求对教学的意见。</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3．教师在辅导答疑时要着重帮助学生解决疑难问题，帮助学生改进学习方法，并注意发现和培养优秀人才；对基础较差、学习方法不当、学习有困难的学生，应予重点辅导帮助；课程结束、考试前，要加强对学生的辅导答疑安排。 </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bookmarkStart w:id="247" w:name="_Toc295991784"/>
      <w:r>
        <w:rPr>
          <w:rFonts w:hint="eastAsia" w:ascii="仿宋_GB2312" w:hAnsi="仿宋_GB2312" w:eastAsia="仿宋_GB2312" w:cs="仿宋_GB2312"/>
          <w:kern w:val="2"/>
          <w:sz w:val="28"/>
          <w:szCs w:val="28"/>
          <w:highlight w:val="none"/>
          <w:lang w:val="en-US" w:eastAsia="zh-CN" w:bidi="ar-SA"/>
        </w:rPr>
        <w:t>六、实践教学</w:t>
      </w:r>
      <w:bookmarkEnd w:id="247"/>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实践教学是高等职业教育教学体系的重要组成部分，是培养学生的专业技能及实践技能的重要途径，是教育过程中必不可少的重要环节。实践教学包括实训、实习、顶岗实习等。</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1．教师应严格按课程标准的要求组织实践教学，编写具体的实践环节教学指导书，做好实践教学准备工作。</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生实践操作前，指导教师应先行示教并简明、扼要地讲清实践操作的目的、内容、要求，仪器设备的性能、操作规程和注意事项等。在操作、制作过程中，教师要对学生情况进行观察，随时纠正学生不正确的操作，解答出现的疑难问题。</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3．要重视实践教学内容和方法的改革，加强对学生创新思维和动手能力的培养。应根据学生的实践操作过程和作业质量以及考勤情况，综合评定学生实践课成绩。</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4．顶岗实习对教师的要求参见《学生顶岗实习管理规定》第三条。</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bookmarkStart w:id="248" w:name="_Toc295991785"/>
      <w:r>
        <w:rPr>
          <w:rFonts w:hint="eastAsia" w:ascii="仿宋_GB2312" w:hAnsi="仿宋_GB2312" w:eastAsia="仿宋_GB2312" w:cs="仿宋_GB2312"/>
          <w:kern w:val="2"/>
          <w:sz w:val="28"/>
          <w:szCs w:val="28"/>
          <w:highlight w:val="none"/>
          <w:lang w:val="en-US" w:eastAsia="zh-CN" w:bidi="ar-SA"/>
        </w:rPr>
        <w:t>七、课程考核</w:t>
      </w:r>
      <w:bookmarkEnd w:id="248"/>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课程考核分为考试与考查两类。教师有责任与义务做好课程考核的复习指导、按学校《试卷管理规定》《校内考试考务管理规定》等要求作好课程考核的命题、试卷制作、监考、阅卷、评分、成绩计算与分析等工作。</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bookmarkStart w:id="249" w:name="_Toc295991786"/>
      <w:r>
        <w:rPr>
          <w:rFonts w:hint="eastAsia" w:ascii="仿宋_GB2312" w:hAnsi="仿宋_GB2312" w:eastAsia="仿宋_GB2312" w:cs="仿宋_GB2312"/>
          <w:kern w:val="2"/>
          <w:sz w:val="28"/>
          <w:szCs w:val="28"/>
          <w:highlight w:val="none"/>
          <w:lang w:val="en-US" w:eastAsia="zh-CN" w:bidi="ar-SA"/>
        </w:rPr>
        <w:t>八、教学纪律</w:t>
      </w:r>
      <w:bookmarkEnd w:id="249"/>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师不得在课堂教学及其他教学活动中散布违背党的基本路线、方针和政策的言论以及其他错误思想和观点，不得进行有悖社会公德的宣传活动，不得出现师德失范行为，若教师出现违反师德行为则按《教育部关于高校教师师德失范行为处理的指导意见》（教师〔2018〕17号）文件精神，实行教师师德失范“一票否决”制。</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2．对经学校批准的因参加各类竞赛或病假等正当事由缺课的学生应安排补课，教师不得推诿。</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3．教师应严格考试要求，严肃考试纪律，不得泄漏考题，认真按监考要求做好监考工作，考试结束后按规定时间上报课程考试成绩。</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4．教师在承担教学任务时，必须严格执行学校的各项规章制度；因失职所造成的教学责任事故，要追究其责任，按学校《教学事故的认定及处理办法》处理。</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5．教师在完成教学任务后，必须做好教学材料的整理、归档工作，不得私自截留教学资料。</w:t>
      </w:r>
    </w:p>
    <w:p>
      <w:pPr>
        <w:keepNext w:val="0"/>
        <w:keepLines w:val="0"/>
        <w:pageBreakBefore w:val="0"/>
        <w:widowControl/>
        <w:kinsoku/>
        <w:wordWrap/>
        <w:overflowPunct/>
        <w:topLinePunct w:val="0"/>
        <w:autoSpaceDE/>
        <w:autoSpaceDN/>
        <w:bidi w:val="0"/>
        <w:adjustRightInd/>
        <w:snapToGrid/>
        <w:spacing w:after="0"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bookmarkStart w:id="250" w:name="_Toc295991787"/>
      <w:r>
        <w:rPr>
          <w:rFonts w:hint="eastAsia" w:ascii="仿宋_GB2312" w:hAnsi="仿宋_GB2312" w:eastAsia="仿宋_GB2312" w:cs="仿宋_GB2312"/>
          <w:kern w:val="2"/>
          <w:sz w:val="28"/>
          <w:szCs w:val="28"/>
          <w:highlight w:val="none"/>
          <w:lang w:val="en-US" w:eastAsia="zh-CN" w:bidi="ar-SA"/>
        </w:rPr>
        <w:t>九、附 则</w:t>
      </w:r>
      <w:bookmarkEnd w:id="250"/>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1．本规范适用于本校所有教学人员。</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2．本规范在执行过程中涉及其他有关未尽事宜，由教务处负责组织拟定解决方案，经学校批准后执行。</w:t>
      </w:r>
    </w:p>
    <w:p>
      <w:pPr>
        <w:keepNext w:val="0"/>
        <w:keepLines w:val="0"/>
        <w:pageBreakBefore w:val="0"/>
        <w:widowControl/>
        <w:kinsoku/>
        <w:wordWrap/>
        <w:overflowPunct/>
        <w:topLinePunct w:val="0"/>
        <w:autoSpaceDE/>
        <w:autoSpaceDN/>
        <w:bidi w:val="0"/>
        <w:adjustRightInd/>
        <w:snapToGrid/>
        <w:spacing w:after="0"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3．本规范自颁布之日起执行，由教务处负责解释。原《上海电子信息职业技术学院教师教学工作规范（修订）》（沪电信职院〔2017〕102 号）废止。</w:t>
      </w:r>
    </w:p>
    <w:p>
      <w:pPr>
        <w:pageBreakBefore w:val="0"/>
        <w:widowControl/>
        <w:topLinePunct w:val="0"/>
        <w:bidi w:val="0"/>
        <w:spacing w:after="0" w:line="520" w:lineRule="exact"/>
        <w:jc w:val="left"/>
        <w:outlineLvl w:val="9"/>
        <w:rPr>
          <w:rFonts w:hint="eastAsia" w:ascii="Calibri" w:hAnsi="Calibri" w:eastAsia="仿宋_GB2312"/>
          <w:color w:val="000000"/>
          <w:kern w:val="0"/>
          <w:sz w:val="32"/>
          <w:szCs w:val="32"/>
        </w:rPr>
      </w:pPr>
    </w:p>
    <w:p>
      <w:pPr>
        <w:pageBreakBefore w:val="0"/>
        <w:widowControl/>
        <w:topLinePunct w:val="0"/>
        <w:bidi w:val="0"/>
        <w:spacing w:after="0" w:line="520" w:lineRule="exact"/>
        <w:jc w:val="left"/>
        <w:outlineLvl w:val="9"/>
        <w:rPr>
          <w:rFonts w:hint="eastAsia" w:ascii="Calibri" w:hAnsi="Calibri" w:eastAsia="仿宋_GB2312"/>
          <w:color w:val="000000"/>
          <w:kern w:val="0"/>
          <w:sz w:val="32"/>
          <w:szCs w:val="32"/>
        </w:rPr>
      </w:pPr>
    </w:p>
    <w:p>
      <w:pPr>
        <w:pageBreakBefore w:val="0"/>
        <w:widowControl/>
        <w:topLinePunct w:val="0"/>
        <w:bidi w:val="0"/>
        <w:spacing w:after="0" w:line="520" w:lineRule="exact"/>
        <w:jc w:val="left"/>
        <w:outlineLvl w:val="9"/>
        <w:rPr>
          <w:rFonts w:hint="eastAsia" w:ascii="Calibri" w:hAnsi="Calibri" w:eastAsia="仿宋_GB2312"/>
          <w:color w:val="000000"/>
          <w:kern w:val="0"/>
          <w:sz w:val="32"/>
          <w:szCs w:val="32"/>
        </w:rPr>
      </w:pPr>
    </w:p>
    <w:p>
      <w:pPr>
        <w:pageBreakBefore w:val="0"/>
        <w:topLinePunct w:val="0"/>
        <w:bidi w:val="0"/>
        <w:spacing w:line="440" w:lineRule="exact"/>
        <w:outlineLvl w:val="9"/>
        <w:rPr>
          <w:rFonts w:hint="eastAsia" w:ascii="仿宋_GB2312" w:hAnsi="黑体" w:eastAsia="仿宋_GB2312"/>
          <w:sz w:val="32"/>
          <w:szCs w:val="32"/>
        </w:rPr>
      </w:pPr>
    </w:p>
    <w:p>
      <w:pPr>
        <w:pageBreakBefore w:val="0"/>
        <w:topLinePunct w:val="0"/>
        <w:bidi w:val="0"/>
        <w:jc w:val="center"/>
        <w:outlineLvl w:val="9"/>
        <w:rPr>
          <w:color w:val="FF0000"/>
          <w:sz w:val="24"/>
        </w:rPr>
      </w:pPr>
      <w:bookmarkStart w:id="251" w:name="_Toc22415"/>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9〕</w:t>
      </w:r>
      <w:r>
        <w:rPr>
          <w:rFonts w:hint="eastAsia" w:ascii="仿宋_GB2312" w:eastAsia="仿宋_GB2312"/>
          <w:color w:val="000000"/>
          <w:kern w:val="0"/>
          <w:sz w:val="32"/>
          <w:szCs w:val="28"/>
          <w:lang w:val="en-US" w:eastAsia="zh-CN"/>
        </w:rPr>
        <w:t>48</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napToGrid w:val="0"/>
        <w:spacing w:before="312" w:beforeLines="100" w:line="5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pStyle w:val="98"/>
        <w:pageBreakBefore w:val="0"/>
        <w:shd w:val="clear" w:color="auto" w:fill="FFFFFF"/>
        <w:topLinePunct w:val="0"/>
        <w:bidi w:val="0"/>
        <w:spacing w:before="0" w:beforeAutospacing="0" w:after="0" w:afterAutospacing="0" w:line="560" w:lineRule="exact"/>
        <w:jc w:val="center"/>
        <w:outlineLvl w:val="9"/>
        <w:rPr>
          <w:rFonts w:eastAsia="华文中宋"/>
          <w:b/>
          <w:sz w:val="36"/>
        </w:rPr>
      </w:pPr>
    </w:p>
    <w:p>
      <w:pPr>
        <w:keepNext w:val="0"/>
        <w:keepLines w:val="0"/>
        <w:pageBreakBefore w:val="0"/>
        <w:widowControl w:val="0"/>
        <w:kinsoku/>
        <w:wordWrap/>
        <w:overflowPunct/>
        <w:topLinePunct w:val="0"/>
        <w:autoSpaceDE/>
        <w:autoSpaceDN/>
        <w:bidi w:val="0"/>
        <w:adjustRightInd/>
        <w:snapToGrid/>
        <w:spacing w:before="312" w:beforeLines="100" w:after="312" w:afterLines="100"/>
        <w:jc w:val="center"/>
        <w:textAlignment w:val="auto"/>
        <w:outlineLvl w:val="0"/>
        <w:rPr>
          <w:rFonts w:hint="eastAsia" w:ascii="黑体" w:hAnsi="黑体" w:eastAsia="黑体" w:cs="黑体"/>
          <w:b/>
          <w:color w:val="000000"/>
          <w:sz w:val="36"/>
          <w:szCs w:val="36"/>
        </w:rPr>
      </w:pPr>
      <w:bookmarkStart w:id="252" w:name="_Toc9813"/>
      <w:r>
        <w:rPr>
          <w:rFonts w:hint="eastAsia" w:ascii="黑体" w:hAnsi="黑体" w:eastAsia="黑体" w:cs="黑体"/>
          <w:b/>
          <w:kern w:val="0"/>
          <w:sz w:val="36"/>
        </w:rPr>
        <w:t>关于</w:t>
      </w:r>
      <w:r>
        <w:rPr>
          <w:rFonts w:hint="eastAsia" w:ascii="黑体" w:hAnsi="黑体" w:eastAsia="黑体" w:cs="黑体"/>
          <w:b/>
          <w:kern w:val="0"/>
          <w:sz w:val="36"/>
          <w:szCs w:val="36"/>
        </w:rPr>
        <w:t>印发</w:t>
      </w:r>
      <w:r>
        <w:rPr>
          <w:rFonts w:hint="eastAsia" w:ascii="黑体" w:hAnsi="黑体" w:eastAsia="黑体" w:cs="黑体"/>
          <w:b/>
          <w:sz w:val="36"/>
          <w:szCs w:val="36"/>
        </w:rPr>
        <w:t>《上海电子信息职业技术学院听课制度（修订）》的通知</w:t>
      </w:r>
      <w:bookmarkEnd w:id="252"/>
    </w:p>
    <w:p>
      <w:pPr>
        <w:pageBreakBefore w:val="0"/>
        <w:topLinePunct w:val="0"/>
        <w:bidi w:val="0"/>
        <w:spacing w:before="312" w:beforeLines="100"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现将《上海电子信息职业技术学院听课制度（修订）》印发给你们，请结合本部门工作实际，认真研究执行。</w:t>
      </w:r>
      <w:r>
        <w:rPr>
          <w:rFonts w:hint="eastAsia" w:ascii="仿宋_GB2312" w:hAnsi="仿宋_GB2312" w:eastAsia="仿宋_GB2312" w:cs="仿宋_GB2312"/>
          <w:kern w:val="2"/>
          <w:sz w:val="28"/>
          <w:szCs w:val="28"/>
          <w:highlight w:val="none"/>
          <w:lang w:val="en-US" w:eastAsia="zh-CN" w:bidi="ar-SA"/>
        </w:rPr>
        <w:tab/>
      </w:r>
    </w:p>
    <w:p>
      <w:pPr>
        <w:pageBreakBefore w:val="0"/>
        <w:topLinePunct w:val="0"/>
        <w:bidi w:val="0"/>
        <w:spacing w:line="56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360" w:lineRule="auto"/>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360" w:lineRule="auto"/>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360" w:lineRule="auto"/>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附件：上海电子信息职业技术学院听课制度</w:t>
      </w:r>
    </w:p>
    <w:p>
      <w:pPr>
        <w:pageBreakBefore w:val="0"/>
        <w:topLinePunct w:val="0"/>
        <w:bidi w:val="0"/>
        <w:spacing w:line="560" w:lineRule="exact"/>
        <w:ind w:left="1470" w:leftChars="300"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firstLine="3220" w:firstLineChars="115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firstLine="3220" w:firstLineChars="115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firstLine="3220" w:firstLineChars="11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00" w:lineRule="exact"/>
        <w:ind w:right="48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2019年4月28日</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听课制度</w:t>
      </w:r>
      <w:bookmarkEnd w:id="251"/>
      <w:r>
        <w:rPr>
          <w:rFonts w:hint="eastAsia" w:ascii="黑体" w:hAnsi="黑体" w:eastAsia="黑体" w:cs="黑体"/>
          <w:b/>
          <w:bCs/>
          <w:sz w:val="36"/>
          <w:szCs w:val="36"/>
        </w:rPr>
        <w:t>（修订）</w:t>
      </w:r>
    </w:p>
    <w:p>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课堂教学和实践教学是教学活动中的主要环节，为了解教师授课与学生学习情况，检查教学效果，及时发现和解决教学工作中存在的问题，促进教风、学风建设，进一步提高教学质量，“教育部关于印发《新时代高校教师职业行为十项准则》的通知”（教育部教师〔2018〕16号）和《教育部关于高校教师师德失范行为处理的指导意见》（教育部教师〔2018〕17号）文件精神，特修订本制度。</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一、参加听课对象</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学校领导，学校督导员；相关职能部门领导（教务处、人事处、科研处/高教所、学工部等）；教学单位领导、督导员、教研室主任，任课教师、辅导员。鼓励跨教学单位、教研室听课。</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二、听课要求</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1．听课者选择教学计划内的课程，随机听课，事先不通知被听课教师。</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2．教学单位领导听课对象要以本部门教师为主，教研室主任及任课教师听课对象以本专业或本教研室教师为主，辅导员听课对象以本人所带班级为主。鼓励跨教学单位、教研室听课。</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学校领导及相关职能部门领导听课的目的旨在深入课堂，掌握教育教学等方面的情况，加强与师生的沟通，倾听师生对教学工作的意见建议，并对教师的基本素养、教学方法、教学能力和教学效果等做出分析和评价；各教学单位领导、二级教学督导组成员、教研室主任和任课教师在听课时除了了解授课者的基本素养、教学能力及教学效果，还应着重对教学内容、教学模式是否符合课程标准或教学大纲的要求，教师教学内容的组织等做出分析和评价；辅导员主要对学生的学习态度、课堂纪律、学习效果等做出分析和评价。</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4．听课者听课后如实填写《听课记录簿》，并及时向被听课者反馈意见与建议，同时向教务处（教学单位督导组）反馈信息。</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教学单位领导、二级教学督导组成员、教研室主任、任课教师和辅导员的《听课记录簿》学期末送交所在部门，各教学单位于学期结束前两周将听课情况汇总后报教务处；学校领导、相关职能部门领导和其他听课人员的《听课记录簿》学年末送交教务处。</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三、听课次数</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学校领导每学期不少于4课时；相关职能部门领导每学期不少于6课时；各教学单位领导、二级教学督导组成员、教研室主任、任课教师、辅导员每学期不少于8课时。</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四、组织管理</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1．教务处负责相关制度等的修订，负责了解学校领导、学校教学督导人员、相关职能部门领导和其他听课人员听课落实情况，并负责每学期《听课记录簿》的收集、整理和反馈。</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各教学单位负责汇总本部门相关人员的听课情况，负责每学期《听课记录簿》的收集、整理，每学期进行本部门任课教师课堂教学情况的分析，撰写本部门《任课教师课堂教学情况的分析报告》，并报教务处。</w:t>
      </w:r>
    </w:p>
    <w:p>
      <w:pPr>
        <w:pageBreakBefore w:val="0"/>
        <w:topLinePunct w:val="0"/>
        <w:bidi w:val="0"/>
        <w:jc w:val="left"/>
        <w:outlineLvl w:val="9"/>
        <w:rPr>
          <w:rFonts w:hint="eastAsia" w:eastAsia="仿宋"/>
          <w:sz w:val="24"/>
          <w:lang w:val="en-US" w:eastAsia="zh-CN"/>
        </w:rPr>
      </w:pPr>
      <w:r>
        <w:rPr>
          <w:rFonts w:eastAsia="仿宋"/>
          <w:sz w:val="28"/>
          <w:szCs w:val="28"/>
        </w:rPr>
        <w:br w:type="page"/>
      </w:r>
      <w:r>
        <w:rPr>
          <w:rFonts w:eastAsia="仿宋"/>
          <w:sz w:val="24"/>
        </w:rPr>
        <w:t>附件</w:t>
      </w:r>
      <w:r>
        <w:rPr>
          <w:rFonts w:hint="eastAsia" w:eastAsia="仿宋"/>
          <w:sz w:val="24"/>
          <w:lang w:val="en-US" w:eastAsia="zh-CN"/>
        </w:rPr>
        <w:t>1</w:t>
      </w:r>
    </w:p>
    <w:p>
      <w:pPr>
        <w:pageBreakBefore w:val="0"/>
        <w:topLinePunct w:val="0"/>
        <w:bidi w:val="0"/>
        <w:jc w:val="left"/>
        <w:outlineLvl w:val="9"/>
        <w:rPr>
          <w:rFonts w:eastAsia="仿宋"/>
          <w:sz w:val="24"/>
        </w:rPr>
      </w:pPr>
    </w:p>
    <w:p>
      <w:pPr>
        <w:pageBreakBefore w:val="0"/>
        <w:topLinePunct w:val="0"/>
        <w:bidi w:val="0"/>
        <w:jc w:val="left"/>
        <w:outlineLvl w:val="9"/>
        <w:rPr>
          <w:rFonts w:eastAsia="仿宋"/>
          <w:sz w:val="24"/>
        </w:rPr>
      </w:pPr>
    </w:p>
    <w:p>
      <w:pPr>
        <w:pageBreakBefore w:val="0"/>
        <w:topLinePunct w:val="0"/>
        <w:bidi w:val="0"/>
        <w:jc w:val="left"/>
        <w:outlineLvl w:val="9"/>
        <w:rPr>
          <w:rFonts w:eastAsia="仿宋"/>
          <w:sz w:val="24"/>
        </w:rPr>
      </w:pPr>
    </w:p>
    <w:p>
      <w:pPr>
        <w:pageBreakBefore w:val="0"/>
        <w:topLinePunct w:val="0"/>
        <w:bidi w:val="0"/>
        <w:jc w:val="left"/>
        <w:outlineLvl w:val="9"/>
        <w:rPr>
          <w:rFonts w:eastAsia="仿宋"/>
          <w:sz w:val="24"/>
        </w:rPr>
      </w:pPr>
    </w:p>
    <w:p>
      <w:pPr>
        <w:pageBreakBefore w:val="0"/>
        <w:topLinePunct w:val="0"/>
        <w:bidi w:val="0"/>
        <w:jc w:val="center"/>
        <w:outlineLvl w:val="9"/>
        <w:rPr>
          <w:rFonts w:eastAsia="仿宋"/>
          <w:sz w:val="44"/>
          <w:szCs w:val="44"/>
        </w:rPr>
      </w:pPr>
      <w:r>
        <w:rPr>
          <w:rFonts w:eastAsia="仿宋"/>
          <w:sz w:val="44"/>
          <w:szCs w:val="44"/>
        </w:rPr>
        <w:t>上海电子信息职业技术学院</w:t>
      </w:r>
    </w:p>
    <w:p>
      <w:pPr>
        <w:pageBreakBefore w:val="0"/>
        <w:topLinePunct w:val="0"/>
        <w:bidi w:val="0"/>
        <w:spacing w:line="360" w:lineRule="auto"/>
        <w:outlineLvl w:val="9"/>
        <w:rPr>
          <w:rFonts w:eastAsia="仿宋"/>
        </w:rPr>
      </w:pPr>
    </w:p>
    <w:p>
      <w:pPr>
        <w:pageBreakBefore w:val="0"/>
        <w:topLinePunct w:val="0"/>
        <w:bidi w:val="0"/>
        <w:spacing w:line="360" w:lineRule="auto"/>
        <w:outlineLvl w:val="9"/>
        <w:rPr>
          <w:rFonts w:eastAsia="仿宋"/>
        </w:rPr>
      </w:pPr>
    </w:p>
    <w:p>
      <w:pPr>
        <w:pageBreakBefore w:val="0"/>
        <w:topLinePunct w:val="0"/>
        <w:bidi w:val="0"/>
        <w:spacing w:line="360" w:lineRule="auto"/>
        <w:outlineLvl w:val="9"/>
        <w:rPr>
          <w:rFonts w:eastAsia="仿宋"/>
        </w:rPr>
      </w:pPr>
    </w:p>
    <w:p>
      <w:pPr>
        <w:pageBreakBefore w:val="0"/>
        <w:topLinePunct w:val="0"/>
        <w:bidi w:val="0"/>
        <w:spacing w:line="360" w:lineRule="auto"/>
        <w:outlineLvl w:val="9"/>
        <w:rPr>
          <w:rFonts w:eastAsia="仿宋"/>
        </w:rPr>
      </w:pPr>
    </w:p>
    <w:p>
      <w:pPr>
        <w:pageBreakBefore w:val="0"/>
        <w:topLinePunct w:val="0"/>
        <w:bidi w:val="0"/>
        <w:spacing w:line="360" w:lineRule="auto"/>
        <w:outlineLvl w:val="9"/>
        <w:rPr>
          <w:rFonts w:eastAsia="仿宋"/>
        </w:rPr>
      </w:pPr>
    </w:p>
    <w:p>
      <w:pPr>
        <w:pageBreakBefore w:val="0"/>
        <w:topLinePunct w:val="0"/>
        <w:bidi w:val="0"/>
        <w:spacing w:line="360" w:lineRule="auto"/>
        <w:outlineLvl w:val="9"/>
        <w:rPr>
          <w:rFonts w:eastAsia="仿宋"/>
        </w:rPr>
      </w:pPr>
    </w:p>
    <w:p>
      <w:pPr>
        <w:pageBreakBefore w:val="0"/>
        <w:topLinePunct w:val="0"/>
        <w:bidi w:val="0"/>
        <w:spacing w:line="360" w:lineRule="auto"/>
        <w:jc w:val="center"/>
        <w:outlineLvl w:val="9"/>
        <w:rPr>
          <w:rFonts w:eastAsia="仿宋"/>
        </w:rPr>
      </w:pPr>
      <w:r>
        <w:rPr>
          <w:rFonts w:eastAsia="仿宋"/>
          <w:sz w:val="84"/>
          <w:szCs w:val="84"/>
        </w:rPr>
        <w:t>听课记录簿</w:t>
      </w:r>
    </w:p>
    <w:p>
      <w:pPr>
        <w:pageBreakBefore w:val="0"/>
        <w:topLinePunct w:val="0"/>
        <w:bidi w:val="0"/>
        <w:spacing w:line="360" w:lineRule="auto"/>
        <w:outlineLvl w:val="9"/>
        <w:rPr>
          <w:rFonts w:eastAsia="仿宋"/>
        </w:rPr>
      </w:pPr>
    </w:p>
    <w:p>
      <w:pPr>
        <w:pageBreakBefore w:val="0"/>
        <w:topLinePunct w:val="0"/>
        <w:bidi w:val="0"/>
        <w:spacing w:line="360" w:lineRule="auto"/>
        <w:outlineLvl w:val="9"/>
        <w:rPr>
          <w:rFonts w:eastAsia="仿宋"/>
        </w:rPr>
      </w:pPr>
    </w:p>
    <w:p>
      <w:pPr>
        <w:pageBreakBefore w:val="0"/>
        <w:topLinePunct w:val="0"/>
        <w:bidi w:val="0"/>
        <w:spacing w:line="360" w:lineRule="auto"/>
        <w:outlineLvl w:val="9"/>
        <w:rPr>
          <w:rFonts w:eastAsia="仿宋"/>
        </w:rPr>
      </w:pPr>
    </w:p>
    <w:p>
      <w:pPr>
        <w:pageBreakBefore w:val="0"/>
        <w:topLinePunct w:val="0"/>
        <w:bidi w:val="0"/>
        <w:spacing w:line="360" w:lineRule="auto"/>
        <w:outlineLvl w:val="9"/>
        <w:rPr>
          <w:rFonts w:eastAsia="仿宋"/>
        </w:rPr>
      </w:pPr>
    </w:p>
    <w:p>
      <w:pPr>
        <w:pageBreakBefore w:val="0"/>
        <w:topLinePunct w:val="0"/>
        <w:bidi w:val="0"/>
        <w:spacing w:line="360" w:lineRule="auto"/>
        <w:outlineLvl w:val="9"/>
        <w:rPr>
          <w:rFonts w:eastAsia="仿宋"/>
        </w:rPr>
      </w:pPr>
    </w:p>
    <w:p>
      <w:pPr>
        <w:pageBreakBefore w:val="0"/>
        <w:topLinePunct w:val="0"/>
        <w:bidi w:val="0"/>
        <w:spacing w:line="360" w:lineRule="auto"/>
        <w:ind w:firstLine="2249" w:firstLineChars="700"/>
        <w:outlineLvl w:val="9"/>
        <w:rPr>
          <w:rFonts w:eastAsia="仿宋"/>
          <w:b/>
          <w:sz w:val="32"/>
          <w:szCs w:val="32"/>
        </w:rPr>
      </w:pPr>
      <w:r>
        <w:rPr>
          <w:rFonts w:eastAsia="仿宋"/>
          <w:b/>
          <w:sz w:val="32"/>
          <w:szCs w:val="32"/>
        </w:rPr>
        <w:t xml:space="preserve">20  </w:t>
      </w:r>
      <w:r>
        <w:rPr>
          <w:rFonts w:eastAsia="仿宋"/>
          <w:b/>
          <w:sz w:val="32"/>
          <w:szCs w:val="32"/>
          <w:u w:val="single"/>
        </w:rPr>
        <w:t xml:space="preserve">      </w:t>
      </w:r>
      <w:r>
        <w:rPr>
          <w:rFonts w:eastAsia="仿宋"/>
          <w:b/>
          <w:sz w:val="32"/>
          <w:szCs w:val="32"/>
        </w:rPr>
        <w:t xml:space="preserve">  ~  20  </w:t>
      </w:r>
      <w:r>
        <w:rPr>
          <w:rFonts w:eastAsia="仿宋"/>
          <w:b/>
          <w:sz w:val="32"/>
          <w:szCs w:val="32"/>
          <w:u w:val="single"/>
        </w:rPr>
        <w:t xml:space="preserve">      </w:t>
      </w:r>
      <w:r>
        <w:rPr>
          <w:rFonts w:eastAsia="仿宋"/>
          <w:b/>
          <w:sz w:val="32"/>
          <w:szCs w:val="32"/>
        </w:rPr>
        <w:t>学年</w:t>
      </w:r>
    </w:p>
    <w:p>
      <w:pPr>
        <w:pageBreakBefore w:val="0"/>
        <w:topLinePunct w:val="0"/>
        <w:bidi w:val="0"/>
        <w:spacing w:line="360" w:lineRule="auto"/>
        <w:ind w:firstLine="2249" w:firstLineChars="700"/>
        <w:outlineLvl w:val="9"/>
        <w:rPr>
          <w:rFonts w:eastAsia="仿宋"/>
          <w:b/>
          <w:sz w:val="32"/>
          <w:szCs w:val="32"/>
        </w:rPr>
      </w:pPr>
      <w:r>
        <w:rPr>
          <w:rFonts w:eastAsia="仿宋"/>
          <w:b/>
          <w:sz w:val="32"/>
          <w:szCs w:val="32"/>
        </w:rPr>
        <w:t xml:space="preserve">部  门 </w:t>
      </w:r>
      <w:r>
        <w:rPr>
          <w:rFonts w:eastAsia="仿宋"/>
          <w:b/>
          <w:sz w:val="32"/>
          <w:szCs w:val="32"/>
          <w:u w:val="single"/>
        </w:rPr>
        <w:t xml:space="preserve">                       </w:t>
      </w:r>
    </w:p>
    <w:p>
      <w:pPr>
        <w:pageBreakBefore w:val="0"/>
        <w:topLinePunct w:val="0"/>
        <w:bidi w:val="0"/>
        <w:spacing w:line="360" w:lineRule="auto"/>
        <w:ind w:firstLine="2249" w:firstLineChars="700"/>
        <w:outlineLvl w:val="9"/>
        <w:rPr>
          <w:rFonts w:eastAsia="仿宋"/>
          <w:b/>
          <w:sz w:val="32"/>
          <w:szCs w:val="32"/>
        </w:rPr>
      </w:pPr>
      <w:r>
        <w:rPr>
          <w:rFonts w:eastAsia="仿宋"/>
          <w:b/>
          <w:sz w:val="32"/>
          <w:szCs w:val="32"/>
        </w:rPr>
        <w:t xml:space="preserve">教研室 </w:t>
      </w:r>
      <w:r>
        <w:rPr>
          <w:rFonts w:eastAsia="仿宋"/>
          <w:b/>
          <w:sz w:val="32"/>
          <w:szCs w:val="32"/>
          <w:u w:val="single"/>
        </w:rPr>
        <w:t xml:space="preserve">                       </w:t>
      </w:r>
    </w:p>
    <w:p>
      <w:pPr>
        <w:pageBreakBefore w:val="0"/>
        <w:topLinePunct w:val="0"/>
        <w:bidi w:val="0"/>
        <w:spacing w:line="360" w:lineRule="auto"/>
        <w:ind w:firstLine="2249" w:firstLineChars="700"/>
        <w:outlineLvl w:val="9"/>
        <w:rPr>
          <w:rFonts w:eastAsia="仿宋"/>
          <w:b/>
          <w:sz w:val="32"/>
          <w:szCs w:val="32"/>
          <w:u w:val="single"/>
        </w:rPr>
      </w:pPr>
      <w:r>
        <w:rPr>
          <w:rFonts w:eastAsia="仿宋"/>
          <w:b/>
          <w:sz w:val="32"/>
          <w:szCs w:val="32"/>
        </w:rPr>
        <w:t xml:space="preserve">教  师 </w:t>
      </w:r>
      <w:r>
        <w:rPr>
          <w:rFonts w:eastAsia="仿宋"/>
          <w:b/>
          <w:sz w:val="32"/>
          <w:szCs w:val="32"/>
          <w:u w:val="single"/>
        </w:rPr>
        <w:t xml:space="preserve">                       </w:t>
      </w:r>
    </w:p>
    <w:p>
      <w:pPr>
        <w:pageBreakBefore w:val="0"/>
        <w:topLinePunct w:val="0"/>
        <w:bidi w:val="0"/>
        <w:jc w:val="center"/>
        <w:outlineLvl w:val="9"/>
        <w:rPr>
          <w:rFonts w:eastAsia="仿宋"/>
          <w:kern w:val="0"/>
          <w:sz w:val="28"/>
          <w:szCs w:val="28"/>
        </w:rPr>
      </w:pPr>
      <w:r>
        <w:rPr>
          <w:rFonts w:eastAsia="仿宋"/>
          <w:b/>
          <w:sz w:val="32"/>
          <w:szCs w:val="32"/>
          <w:u w:val="single"/>
        </w:rPr>
        <w:br w:type="page"/>
      </w:r>
      <w:r>
        <w:rPr>
          <w:rFonts w:hint="eastAsia" w:eastAsia="仿宋"/>
          <w:b/>
          <w:sz w:val="32"/>
          <w:szCs w:val="32"/>
          <w:u w:val="single"/>
          <w:lang w:val="en-US" w:eastAsia="zh-CN"/>
        </w:rPr>
        <w:t xml:space="preserve">  </w:t>
      </w:r>
      <w:r>
        <w:rPr>
          <w:rFonts w:hint="eastAsia" w:eastAsia="仿宋"/>
          <w:b/>
          <w:sz w:val="36"/>
          <w:szCs w:val="36"/>
          <w:u w:val="single"/>
          <w:lang w:val="en-US" w:eastAsia="zh-CN"/>
        </w:rPr>
        <w:t xml:space="preserve">  </w:t>
      </w:r>
      <w:r>
        <w:rPr>
          <w:rFonts w:eastAsia="仿宋"/>
          <w:b/>
          <w:bCs/>
          <w:kern w:val="0"/>
          <w:sz w:val="32"/>
          <w:szCs w:val="32"/>
        </w:rPr>
        <w:t>听课制度</w:t>
      </w:r>
      <w:r>
        <w:rPr>
          <w:rFonts w:hint="eastAsia" w:eastAsia="仿宋"/>
          <w:b/>
          <w:bCs/>
          <w:kern w:val="0"/>
          <w:sz w:val="32"/>
          <w:szCs w:val="32"/>
        </w:rPr>
        <w:t>（修订）</w:t>
      </w:r>
    </w:p>
    <w:p>
      <w:pPr>
        <w:pageBreakBefore w:val="0"/>
        <w:topLinePunct w:val="0"/>
        <w:bidi w:val="0"/>
        <w:spacing w:line="360" w:lineRule="auto"/>
        <w:ind w:firstLine="480" w:firstLineChars="200"/>
        <w:outlineLvl w:val="9"/>
        <w:rPr>
          <w:rFonts w:eastAsia="仿宋"/>
          <w:kern w:val="0"/>
          <w:sz w:val="24"/>
        </w:rPr>
      </w:pPr>
    </w:p>
    <w:p>
      <w:pPr>
        <w:pageBreakBefore w:val="0"/>
        <w:widowControl/>
        <w:topLinePunct w:val="0"/>
        <w:bidi w:val="0"/>
        <w:spacing w:line="400" w:lineRule="exact"/>
        <w:ind w:firstLine="420"/>
        <w:outlineLvl w:val="9"/>
        <w:rPr>
          <w:rFonts w:eastAsia="仿宋"/>
          <w:color w:val="000000"/>
          <w:sz w:val="28"/>
          <w:szCs w:val="28"/>
        </w:rPr>
      </w:pPr>
      <w:r>
        <w:rPr>
          <w:rFonts w:eastAsia="仿宋"/>
          <w:color w:val="000000"/>
          <w:sz w:val="28"/>
          <w:szCs w:val="28"/>
        </w:rPr>
        <w:t>课堂教学和实践教学是教学活动中的主要环节，为了解教师授课与学生学习情况，检查教学效果，及时发现和解决教学工作中存在的问题，促进教风、学风建设，进一步提高教学质量，</w:t>
      </w:r>
      <w:r>
        <w:rPr>
          <w:rFonts w:hint="eastAsia" w:eastAsia="仿宋"/>
          <w:color w:val="000000"/>
          <w:sz w:val="28"/>
          <w:szCs w:val="28"/>
        </w:rPr>
        <w:t>“教育部关于印发《新时代高校教师职业行为十项准则》的通知”（教育部教师〔2018〕16号）和《教育部关于高校教师师德失范行为处理的指导意见》（教育部教师〔2018〕17号）文件精神，</w:t>
      </w:r>
      <w:r>
        <w:rPr>
          <w:rFonts w:eastAsia="仿宋"/>
          <w:color w:val="000000"/>
          <w:sz w:val="28"/>
          <w:szCs w:val="28"/>
        </w:rPr>
        <w:t>特</w:t>
      </w:r>
      <w:r>
        <w:rPr>
          <w:rFonts w:hint="eastAsia" w:eastAsia="仿宋"/>
          <w:color w:val="000000"/>
          <w:sz w:val="28"/>
          <w:szCs w:val="28"/>
        </w:rPr>
        <w:t>修</w:t>
      </w:r>
      <w:r>
        <w:rPr>
          <w:rFonts w:eastAsia="仿宋"/>
          <w:color w:val="000000"/>
          <w:sz w:val="28"/>
          <w:szCs w:val="28"/>
        </w:rPr>
        <w:t>订本制度。</w:t>
      </w:r>
    </w:p>
    <w:p>
      <w:pPr>
        <w:pageBreakBefore w:val="0"/>
        <w:widowControl/>
        <w:topLinePunct w:val="0"/>
        <w:bidi w:val="0"/>
        <w:spacing w:line="400" w:lineRule="exact"/>
        <w:outlineLvl w:val="9"/>
        <w:rPr>
          <w:rFonts w:eastAsia="仿宋"/>
          <w:color w:val="000000"/>
          <w:sz w:val="28"/>
          <w:szCs w:val="28"/>
        </w:rPr>
      </w:pPr>
      <w:r>
        <w:rPr>
          <w:rFonts w:eastAsia="仿宋"/>
          <w:color w:val="000000"/>
          <w:sz w:val="28"/>
          <w:szCs w:val="28"/>
        </w:rPr>
        <w:t>一、参加听课对象</w:t>
      </w:r>
    </w:p>
    <w:p>
      <w:pPr>
        <w:pageBreakBefore w:val="0"/>
        <w:widowControl/>
        <w:topLinePunct w:val="0"/>
        <w:bidi w:val="0"/>
        <w:spacing w:line="400" w:lineRule="exact"/>
        <w:ind w:firstLine="420"/>
        <w:outlineLvl w:val="9"/>
        <w:rPr>
          <w:rFonts w:eastAsia="仿宋"/>
          <w:color w:val="000000"/>
          <w:sz w:val="28"/>
          <w:szCs w:val="28"/>
        </w:rPr>
      </w:pPr>
      <w:r>
        <w:rPr>
          <w:rFonts w:eastAsia="仿宋"/>
          <w:color w:val="000000"/>
          <w:sz w:val="28"/>
          <w:szCs w:val="28"/>
        </w:rPr>
        <w:t>学校领导，学校督导员；相关职能部门领导（教务处、人事处、科研处/高教所、学工部等）；教学单位领导、督导员、教研室主任，任课教师、辅导员。鼓励跨教学单位、教研室听课。</w:t>
      </w:r>
    </w:p>
    <w:p>
      <w:pPr>
        <w:pageBreakBefore w:val="0"/>
        <w:widowControl/>
        <w:topLinePunct w:val="0"/>
        <w:bidi w:val="0"/>
        <w:spacing w:line="400" w:lineRule="exact"/>
        <w:outlineLvl w:val="9"/>
        <w:rPr>
          <w:rFonts w:eastAsia="仿宋"/>
          <w:color w:val="000000"/>
          <w:sz w:val="28"/>
          <w:szCs w:val="28"/>
        </w:rPr>
      </w:pPr>
      <w:r>
        <w:rPr>
          <w:rFonts w:eastAsia="仿宋"/>
          <w:color w:val="000000"/>
          <w:sz w:val="28"/>
          <w:szCs w:val="28"/>
        </w:rPr>
        <w:t>二、听课要求</w:t>
      </w:r>
    </w:p>
    <w:p>
      <w:pPr>
        <w:pageBreakBefore w:val="0"/>
        <w:widowControl/>
        <w:topLinePunct w:val="0"/>
        <w:bidi w:val="0"/>
        <w:spacing w:line="400" w:lineRule="exact"/>
        <w:ind w:firstLine="420"/>
        <w:outlineLvl w:val="9"/>
        <w:rPr>
          <w:rFonts w:eastAsia="仿宋"/>
          <w:color w:val="000000"/>
          <w:sz w:val="28"/>
          <w:szCs w:val="28"/>
        </w:rPr>
      </w:pPr>
      <w:r>
        <w:rPr>
          <w:rFonts w:eastAsia="仿宋"/>
          <w:color w:val="000000"/>
          <w:sz w:val="28"/>
          <w:szCs w:val="28"/>
        </w:rPr>
        <w:t>1．听课者选择教学计划内的课程，随机听课，事先不通知被听课教师。</w:t>
      </w:r>
    </w:p>
    <w:p>
      <w:pPr>
        <w:pageBreakBefore w:val="0"/>
        <w:widowControl/>
        <w:topLinePunct w:val="0"/>
        <w:bidi w:val="0"/>
        <w:spacing w:line="400" w:lineRule="exact"/>
        <w:ind w:firstLine="420"/>
        <w:outlineLvl w:val="9"/>
        <w:rPr>
          <w:rFonts w:eastAsia="仿宋"/>
          <w:color w:val="000000"/>
          <w:sz w:val="28"/>
          <w:szCs w:val="28"/>
        </w:rPr>
      </w:pPr>
      <w:r>
        <w:rPr>
          <w:rFonts w:eastAsia="仿宋"/>
          <w:color w:val="000000"/>
          <w:sz w:val="28"/>
          <w:szCs w:val="28"/>
        </w:rPr>
        <w:t>2．教学单位领导听课对象要以本部门教师为主，教研室主任及任课教师听课对象以本专业或本教研室教师为主，辅导员听课对象以本人所带班级为主。</w:t>
      </w:r>
    </w:p>
    <w:p>
      <w:pPr>
        <w:pageBreakBefore w:val="0"/>
        <w:widowControl/>
        <w:topLinePunct w:val="0"/>
        <w:bidi w:val="0"/>
        <w:spacing w:line="400" w:lineRule="exact"/>
        <w:ind w:firstLine="420"/>
        <w:outlineLvl w:val="9"/>
        <w:rPr>
          <w:rFonts w:eastAsia="仿宋"/>
          <w:color w:val="000000"/>
          <w:sz w:val="28"/>
          <w:szCs w:val="28"/>
        </w:rPr>
      </w:pPr>
      <w:r>
        <w:rPr>
          <w:rFonts w:eastAsia="仿宋"/>
          <w:color w:val="000000"/>
          <w:sz w:val="28"/>
          <w:szCs w:val="28"/>
        </w:rPr>
        <w:t>3．学校领导及相关职能部门领导听课的目的旨在深入课堂，掌握教育教学等方面的情况，加强与师生的沟通，倾听师生对教学工作的意见建议，并对教师的基本素养、教学方法、教学能力和教学效果等做出分析和评价；各教学单位领导、二级教学督导组成员、教研室主任和任课教师在听课时除了了解授课者基本素养、教学能力及教学效果，还应着重对教学内容、教学模式是否符合课程标准或教学大纲的要求，教师教学组织等做出分析和评价；辅导员主要对学生的学习态度、课堂纪律、学习效果等做出分析和评价。</w:t>
      </w:r>
    </w:p>
    <w:p>
      <w:pPr>
        <w:pageBreakBefore w:val="0"/>
        <w:widowControl/>
        <w:topLinePunct w:val="0"/>
        <w:bidi w:val="0"/>
        <w:spacing w:line="400" w:lineRule="exact"/>
        <w:ind w:firstLine="420"/>
        <w:outlineLvl w:val="9"/>
        <w:rPr>
          <w:rFonts w:eastAsia="仿宋"/>
          <w:color w:val="000000"/>
          <w:sz w:val="28"/>
          <w:szCs w:val="28"/>
        </w:rPr>
      </w:pPr>
      <w:r>
        <w:rPr>
          <w:rFonts w:eastAsia="仿宋"/>
          <w:color w:val="000000"/>
          <w:sz w:val="28"/>
          <w:szCs w:val="28"/>
        </w:rPr>
        <w:t>4．听课者听课后如实填写《听课记录簿》，并及时向被听课者反馈意见与建议，同时向教务处（教学单位督导组）反馈信息。</w:t>
      </w:r>
    </w:p>
    <w:p>
      <w:pPr>
        <w:pageBreakBefore w:val="0"/>
        <w:widowControl/>
        <w:topLinePunct w:val="0"/>
        <w:bidi w:val="0"/>
        <w:spacing w:line="400" w:lineRule="exact"/>
        <w:ind w:firstLine="420"/>
        <w:outlineLvl w:val="9"/>
        <w:rPr>
          <w:rFonts w:eastAsia="仿宋"/>
          <w:color w:val="000000"/>
          <w:sz w:val="28"/>
          <w:szCs w:val="28"/>
        </w:rPr>
      </w:pPr>
      <w:r>
        <w:rPr>
          <w:rFonts w:eastAsia="仿宋"/>
          <w:color w:val="000000"/>
          <w:sz w:val="28"/>
          <w:szCs w:val="28"/>
        </w:rPr>
        <w:t>5．教学单位领导、二级教学督导组成员、教研室主任、任课教师和辅导员的《听课记录簿》学期末送交所在部门，各教学单位于学期结束前两周将听课情况汇总后报教务处；学校领导、相关职能部门领导和其他听课人员的《听课记录簿》学年末送交教务处。</w:t>
      </w:r>
    </w:p>
    <w:p>
      <w:pPr>
        <w:pageBreakBefore w:val="0"/>
        <w:widowControl/>
        <w:topLinePunct w:val="0"/>
        <w:bidi w:val="0"/>
        <w:spacing w:line="400" w:lineRule="exact"/>
        <w:outlineLvl w:val="9"/>
        <w:rPr>
          <w:rFonts w:eastAsia="仿宋"/>
          <w:color w:val="000000"/>
          <w:sz w:val="28"/>
          <w:szCs w:val="28"/>
        </w:rPr>
      </w:pPr>
      <w:r>
        <w:rPr>
          <w:rFonts w:eastAsia="仿宋"/>
          <w:color w:val="000000"/>
          <w:sz w:val="28"/>
          <w:szCs w:val="28"/>
        </w:rPr>
        <w:t>三、听课次数</w:t>
      </w:r>
    </w:p>
    <w:p>
      <w:pPr>
        <w:pageBreakBefore w:val="0"/>
        <w:widowControl/>
        <w:topLinePunct w:val="0"/>
        <w:bidi w:val="0"/>
        <w:spacing w:line="400" w:lineRule="exact"/>
        <w:ind w:firstLine="420"/>
        <w:outlineLvl w:val="9"/>
        <w:rPr>
          <w:rFonts w:eastAsia="仿宋"/>
          <w:color w:val="000000"/>
          <w:sz w:val="28"/>
          <w:szCs w:val="28"/>
        </w:rPr>
      </w:pPr>
      <w:r>
        <w:rPr>
          <w:rFonts w:eastAsia="仿宋"/>
          <w:color w:val="000000"/>
          <w:sz w:val="28"/>
          <w:szCs w:val="28"/>
        </w:rPr>
        <w:t>学校领导每学期不少于4课时；相关职能部门领导每学期不少于6课时；各教学单位领导、二级教学督导组成员、教研室主任、任课教师、辅导员每学期不少于8课时。</w:t>
      </w:r>
    </w:p>
    <w:p>
      <w:pPr>
        <w:pageBreakBefore w:val="0"/>
        <w:widowControl/>
        <w:topLinePunct w:val="0"/>
        <w:bidi w:val="0"/>
        <w:spacing w:line="400" w:lineRule="exact"/>
        <w:outlineLvl w:val="9"/>
        <w:rPr>
          <w:rFonts w:eastAsia="仿宋"/>
          <w:color w:val="000000"/>
          <w:sz w:val="28"/>
          <w:szCs w:val="28"/>
        </w:rPr>
      </w:pPr>
      <w:r>
        <w:rPr>
          <w:rFonts w:eastAsia="仿宋"/>
          <w:color w:val="000000"/>
          <w:sz w:val="28"/>
          <w:szCs w:val="28"/>
        </w:rPr>
        <w:t>四、组织管理</w:t>
      </w:r>
    </w:p>
    <w:p>
      <w:pPr>
        <w:pageBreakBefore w:val="0"/>
        <w:widowControl/>
        <w:topLinePunct w:val="0"/>
        <w:bidi w:val="0"/>
        <w:spacing w:line="400" w:lineRule="exact"/>
        <w:ind w:firstLine="420"/>
        <w:outlineLvl w:val="9"/>
        <w:rPr>
          <w:rFonts w:eastAsia="仿宋"/>
          <w:color w:val="000000"/>
          <w:sz w:val="28"/>
          <w:szCs w:val="28"/>
        </w:rPr>
      </w:pPr>
      <w:r>
        <w:rPr>
          <w:rFonts w:eastAsia="仿宋"/>
          <w:color w:val="000000"/>
          <w:sz w:val="28"/>
          <w:szCs w:val="28"/>
        </w:rPr>
        <w:t>1．教务处负责相关制度等的修订，负责了解学校领导、学校教学督导人员、相关职能部门领导和其他听课人员听课落实情况，并负责每学期《听课记录簿》的收集、整理和反馈。</w:t>
      </w:r>
    </w:p>
    <w:p>
      <w:pPr>
        <w:pageBreakBefore w:val="0"/>
        <w:widowControl/>
        <w:topLinePunct w:val="0"/>
        <w:bidi w:val="0"/>
        <w:spacing w:line="400" w:lineRule="exact"/>
        <w:ind w:firstLine="420"/>
        <w:outlineLvl w:val="9"/>
        <w:rPr>
          <w:rFonts w:eastAsia="仿宋"/>
          <w:color w:val="000000"/>
          <w:sz w:val="28"/>
          <w:szCs w:val="28"/>
        </w:rPr>
      </w:pPr>
      <w:r>
        <w:rPr>
          <w:rFonts w:eastAsia="仿宋"/>
          <w:color w:val="000000"/>
          <w:sz w:val="28"/>
          <w:szCs w:val="28"/>
        </w:rPr>
        <w:t>2．各教学单位负责汇总本部门相关人员的听课情况，负责每学期《听课记录簿》的收集、整理，每学期进行本部门任课教师课堂教学情况的分析，撰写本部门《任课教师课堂教学情况的分析报告》，并报教务处。</w:t>
      </w:r>
    </w:p>
    <w:p>
      <w:pPr>
        <w:pageBreakBefore w:val="0"/>
        <w:topLinePunct w:val="0"/>
        <w:bidi w:val="0"/>
        <w:spacing w:line="312" w:lineRule="auto"/>
        <w:ind w:firstLine="560" w:firstLineChars="200"/>
        <w:outlineLvl w:val="9"/>
        <w:rPr>
          <w:rFonts w:eastAsia="仿宋"/>
          <w:kern w:val="0"/>
          <w:sz w:val="28"/>
          <w:szCs w:val="28"/>
        </w:rPr>
      </w:pPr>
    </w:p>
    <w:p>
      <w:pPr>
        <w:pageBreakBefore w:val="0"/>
        <w:topLinePunct w:val="0"/>
        <w:bidi w:val="0"/>
        <w:spacing w:line="312" w:lineRule="auto"/>
        <w:ind w:firstLine="560" w:firstLineChars="200"/>
        <w:outlineLvl w:val="9"/>
        <w:rPr>
          <w:rFonts w:eastAsia="仿宋"/>
          <w:kern w:val="0"/>
          <w:sz w:val="28"/>
          <w:szCs w:val="28"/>
        </w:rPr>
      </w:pPr>
      <w:r>
        <w:rPr>
          <w:rFonts w:eastAsia="仿宋"/>
          <w:kern w:val="0"/>
          <w:sz w:val="28"/>
          <w:szCs w:val="28"/>
        </w:rPr>
        <w:br w:type="page"/>
      </w:r>
    </w:p>
    <w:p>
      <w:pPr>
        <w:pageBreakBefore w:val="0"/>
        <w:widowControl/>
        <w:topLinePunct w:val="0"/>
        <w:bidi w:val="0"/>
        <w:spacing w:after="156" w:afterLines="50"/>
        <w:jc w:val="center"/>
        <w:outlineLvl w:val="9"/>
        <w:rPr>
          <w:rFonts w:eastAsia="仿宋"/>
          <w:b/>
          <w:bCs/>
          <w:kern w:val="0"/>
          <w:sz w:val="32"/>
          <w:szCs w:val="32"/>
        </w:rPr>
      </w:pPr>
      <w:r>
        <w:rPr>
          <w:rFonts w:eastAsia="仿宋"/>
          <w:b/>
          <w:bCs/>
          <w:kern w:val="0"/>
          <w:sz w:val="32"/>
          <w:szCs w:val="32"/>
        </w:rPr>
        <w:t>理论教学评价标准</w:t>
      </w:r>
    </w:p>
    <w:tbl>
      <w:tblPr>
        <w:tblStyle w:val="37"/>
        <w:tblW w:w="8403" w:type="dxa"/>
        <w:jc w:val="center"/>
        <w:tblLayout w:type="fixed"/>
        <w:tblCellMar>
          <w:top w:w="0" w:type="dxa"/>
          <w:left w:w="108" w:type="dxa"/>
          <w:bottom w:w="0" w:type="dxa"/>
          <w:right w:w="108" w:type="dxa"/>
        </w:tblCellMar>
      </w:tblPr>
      <w:tblGrid>
        <w:gridCol w:w="1350"/>
        <w:gridCol w:w="6344"/>
        <w:gridCol w:w="709"/>
      </w:tblGrid>
      <w:tr>
        <w:tblPrEx>
          <w:tblCellMar>
            <w:top w:w="0" w:type="dxa"/>
            <w:left w:w="108" w:type="dxa"/>
            <w:bottom w:w="0" w:type="dxa"/>
            <w:right w:w="108" w:type="dxa"/>
          </w:tblCellMar>
        </w:tblPrEx>
        <w:trPr>
          <w:trHeight w:val="567" w:hRule="atLeast"/>
          <w:jc w:val="center"/>
        </w:trPr>
        <w:tc>
          <w:tcPr>
            <w:tcW w:w="8403" w:type="dxa"/>
            <w:gridSpan w:val="3"/>
            <w:tcBorders>
              <w:top w:val="double" w:color="auto" w:sz="4" w:space="0"/>
              <w:left w:val="doub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 w:val="24"/>
              </w:rPr>
            </w:pPr>
            <w:r>
              <w:rPr>
                <w:rFonts w:eastAsia="仿宋"/>
                <w:kern w:val="0"/>
                <w:sz w:val="24"/>
              </w:rPr>
              <w:t>评价指标及内涵</w:t>
            </w:r>
          </w:p>
        </w:tc>
      </w:tr>
      <w:tr>
        <w:tblPrEx>
          <w:tblCellMar>
            <w:top w:w="0" w:type="dxa"/>
            <w:left w:w="108" w:type="dxa"/>
            <w:bottom w:w="0" w:type="dxa"/>
            <w:right w:w="108" w:type="dxa"/>
          </w:tblCellMar>
        </w:tblPrEx>
        <w:trPr>
          <w:trHeight w:val="454" w:hRule="atLeast"/>
          <w:jc w:val="center"/>
        </w:trPr>
        <w:tc>
          <w:tcPr>
            <w:tcW w:w="1350" w:type="dxa"/>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评课项目</w:t>
            </w: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参照标准（A）</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分值</w:t>
            </w:r>
          </w:p>
        </w:tc>
      </w:tr>
      <w:tr>
        <w:tblPrEx>
          <w:tblCellMar>
            <w:top w:w="0" w:type="dxa"/>
            <w:left w:w="108" w:type="dxa"/>
            <w:bottom w:w="0" w:type="dxa"/>
            <w:right w:w="108" w:type="dxa"/>
          </w:tblCellMar>
        </w:tblPrEx>
        <w:trPr>
          <w:trHeight w:val="624" w:hRule="exact"/>
          <w:jc w:val="center"/>
        </w:trPr>
        <w:tc>
          <w:tcPr>
            <w:tcW w:w="1350" w:type="dxa"/>
            <w:vMerge w:val="restart"/>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基本素养</w:t>
            </w:r>
          </w:p>
          <w:p>
            <w:pPr>
              <w:pageBreakBefore w:val="0"/>
              <w:widowControl/>
              <w:topLinePunct w:val="0"/>
              <w:bidi w:val="0"/>
              <w:adjustRightInd w:val="0"/>
              <w:snapToGrid w:val="0"/>
              <w:jc w:val="center"/>
              <w:outlineLvl w:val="9"/>
              <w:rPr>
                <w:rFonts w:eastAsia="仿宋"/>
                <w:kern w:val="0"/>
                <w:szCs w:val="21"/>
              </w:rPr>
            </w:pPr>
            <w:r>
              <w:rPr>
                <w:rFonts w:eastAsia="仿宋"/>
                <w:kern w:val="0"/>
                <w:szCs w:val="21"/>
              </w:rPr>
              <w:t>（15）</w:t>
            </w: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1．仪态大方，衣着整洁得体；预备铃前做好授课准备，教学准备充分；未迟到早退；</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454" w:hRule="atLeast"/>
          <w:jc w:val="center"/>
        </w:trPr>
        <w:tc>
          <w:tcPr>
            <w:tcW w:w="1350"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2．教态亲切自然，语言文字规范、讲普通话，无违背党和国家方针政策的言行</w:t>
            </w:r>
            <w:r>
              <w:rPr>
                <w:rFonts w:hint="eastAsia" w:ascii="仿宋" w:hAnsi="仿宋" w:eastAsia="仿宋" w:cs="仿宋"/>
                <w:bCs/>
                <w:color w:val="000000"/>
                <w:szCs w:val="21"/>
              </w:rPr>
              <w:t>，无师德失范行为</w:t>
            </w:r>
            <w:r>
              <w:rPr>
                <w:rFonts w:eastAsia="仿宋"/>
                <w:kern w:val="0"/>
                <w:szCs w:val="21"/>
              </w:rPr>
              <w:t>；</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624" w:hRule="atLeast"/>
          <w:jc w:val="center"/>
        </w:trPr>
        <w:tc>
          <w:tcPr>
            <w:tcW w:w="1350"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3．教学文件齐备（课程标准（大纲）、教学进度表、教材或讲稿、教案、课件等），授课内容与教学进度表、教案基本吻合。</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454" w:hRule="atLeast"/>
          <w:jc w:val="center"/>
        </w:trPr>
        <w:tc>
          <w:tcPr>
            <w:tcW w:w="1350" w:type="dxa"/>
            <w:vMerge w:val="restart"/>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教学内容</w:t>
            </w:r>
          </w:p>
          <w:p>
            <w:pPr>
              <w:pageBreakBefore w:val="0"/>
              <w:widowControl/>
              <w:topLinePunct w:val="0"/>
              <w:bidi w:val="0"/>
              <w:adjustRightInd w:val="0"/>
              <w:snapToGrid w:val="0"/>
              <w:jc w:val="center"/>
              <w:outlineLvl w:val="9"/>
              <w:rPr>
                <w:rFonts w:eastAsia="仿宋"/>
                <w:kern w:val="0"/>
                <w:szCs w:val="21"/>
              </w:rPr>
            </w:pPr>
            <w:r>
              <w:rPr>
                <w:rFonts w:eastAsia="仿宋"/>
                <w:kern w:val="0"/>
                <w:szCs w:val="21"/>
              </w:rPr>
              <w:t>（25）</w:t>
            </w: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1．根据课程标准（大纲）设定的知识、能力、素质要求组织教学；</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454" w:hRule="atLeast"/>
          <w:jc w:val="center"/>
        </w:trPr>
        <w:tc>
          <w:tcPr>
            <w:tcW w:w="1350"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2．内容充实，重点突出，容量适当，设计合理；</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10</w:t>
            </w:r>
          </w:p>
        </w:tc>
      </w:tr>
      <w:tr>
        <w:tblPrEx>
          <w:tblCellMar>
            <w:top w:w="0" w:type="dxa"/>
            <w:left w:w="108" w:type="dxa"/>
            <w:bottom w:w="0" w:type="dxa"/>
            <w:right w:w="108" w:type="dxa"/>
          </w:tblCellMar>
        </w:tblPrEx>
        <w:trPr>
          <w:trHeight w:val="624" w:hRule="atLeast"/>
          <w:jc w:val="center"/>
        </w:trPr>
        <w:tc>
          <w:tcPr>
            <w:tcW w:w="1350"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3．注重理论知识的应用，根据行业、专业的发展与新要求，即时补充教学内容。</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topLinePunct w:val="0"/>
              <w:bidi w:val="0"/>
              <w:adjustRightInd w:val="0"/>
              <w:snapToGrid w:val="0"/>
              <w:jc w:val="center"/>
              <w:outlineLvl w:val="9"/>
              <w:rPr>
                <w:rFonts w:eastAsia="仿宋"/>
                <w:kern w:val="0"/>
                <w:szCs w:val="21"/>
              </w:rPr>
            </w:pPr>
            <w:r>
              <w:rPr>
                <w:rFonts w:eastAsia="仿宋"/>
                <w:kern w:val="0"/>
                <w:szCs w:val="21"/>
              </w:rPr>
              <w:t>10</w:t>
            </w:r>
          </w:p>
        </w:tc>
      </w:tr>
      <w:tr>
        <w:tblPrEx>
          <w:tblCellMar>
            <w:top w:w="0" w:type="dxa"/>
            <w:left w:w="108" w:type="dxa"/>
            <w:bottom w:w="0" w:type="dxa"/>
            <w:right w:w="108" w:type="dxa"/>
          </w:tblCellMar>
        </w:tblPrEx>
        <w:trPr>
          <w:trHeight w:val="454" w:hRule="atLeast"/>
          <w:jc w:val="center"/>
        </w:trPr>
        <w:tc>
          <w:tcPr>
            <w:tcW w:w="1350" w:type="dxa"/>
            <w:vMerge w:val="restart"/>
            <w:tcBorders>
              <w:top w:val="single" w:color="auto" w:sz="4" w:space="0"/>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教学方法</w:t>
            </w:r>
          </w:p>
          <w:p>
            <w:pPr>
              <w:pageBreakBefore w:val="0"/>
              <w:widowControl/>
              <w:topLinePunct w:val="0"/>
              <w:bidi w:val="0"/>
              <w:adjustRightInd w:val="0"/>
              <w:snapToGrid w:val="0"/>
              <w:jc w:val="center"/>
              <w:outlineLvl w:val="9"/>
              <w:rPr>
                <w:rFonts w:eastAsia="仿宋"/>
                <w:kern w:val="0"/>
                <w:szCs w:val="21"/>
              </w:rPr>
            </w:pPr>
            <w:r>
              <w:rPr>
                <w:rFonts w:eastAsia="仿宋"/>
                <w:kern w:val="0"/>
                <w:szCs w:val="21"/>
              </w:rPr>
              <w:t>（25）</w:t>
            </w: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1．教学方法符合学生认知的规律，引导启发学生积极思考；</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624" w:hRule="exact"/>
          <w:jc w:val="center"/>
        </w:trPr>
        <w:tc>
          <w:tcPr>
            <w:tcW w:w="1350" w:type="dxa"/>
            <w:vMerge w:val="continue"/>
            <w:tcBorders>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2．突出学生主体地位；教学方法新颖（如研讨式、任务驱动式、案例式、互动式等教学方法），教学方法运用得当；</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10</w:t>
            </w:r>
          </w:p>
        </w:tc>
      </w:tr>
      <w:tr>
        <w:tblPrEx>
          <w:tblCellMar>
            <w:top w:w="0" w:type="dxa"/>
            <w:left w:w="108" w:type="dxa"/>
            <w:bottom w:w="0" w:type="dxa"/>
            <w:right w:w="108" w:type="dxa"/>
          </w:tblCellMar>
        </w:tblPrEx>
        <w:trPr>
          <w:trHeight w:val="454" w:hRule="atLeast"/>
          <w:jc w:val="center"/>
        </w:trPr>
        <w:tc>
          <w:tcPr>
            <w:tcW w:w="1350" w:type="dxa"/>
            <w:vMerge w:val="continue"/>
            <w:tcBorders>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3．合理运用课件、案例；有板书且设计合理；</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454" w:hRule="exact"/>
          <w:jc w:val="center"/>
        </w:trPr>
        <w:tc>
          <w:tcPr>
            <w:tcW w:w="1350" w:type="dxa"/>
            <w:vMerge w:val="continue"/>
            <w:tcBorders>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4．注重学生应用能力培养；认真布置课后作业。</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624" w:hRule="atLeast"/>
          <w:jc w:val="center"/>
        </w:trPr>
        <w:tc>
          <w:tcPr>
            <w:tcW w:w="1350" w:type="dxa"/>
            <w:vMerge w:val="restart"/>
            <w:tcBorders>
              <w:top w:val="single" w:color="auto" w:sz="4" w:space="0"/>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教学能力</w:t>
            </w:r>
          </w:p>
          <w:p>
            <w:pPr>
              <w:pageBreakBefore w:val="0"/>
              <w:widowControl/>
              <w:topLinePunct w:val="0"/>
              <w:bidi w:val="0"/>
              <w:adjustRightInd w:val="0"/>
              <w:snapToGrid w:val="0"/>
              <w:jc w:val="center"/>
              <w:outlineLvl w:val="9"/>
              <w:rPr>
                <w:rFonts w:eastAsia="仿宋"/>
                <w:kern w:val="0"/>
                <w:szCs w:val="21"/>
              </w:rPr>
            </w:pPr>
            <w:r>
              <w:rPr>
                <w:rFonts w:eastAsia="仿宋"/>
                <w:kern w:val="0"/>
                <w:szCs w:val="21"/>
              </w:rPr>
              <w:t>（20）</w:t>
            </w: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1．讲解条理清晰、层次分明，教学内容讲解准确、熟练，善于启发；表述生动、流畅；</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627" w:hRule="atLeast"/>
          <w:jc w:val="center"/>
        </w:trPr>
        <w:tc>
          <w:tcPr>
            <w:tcW w:w="1350" w:type="dxa"/>
            <w:vMerge w:val="continue"/>
            <w:tcBorders>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2．课堂组织科学，各环节时间分配合理；教学环节紧凑，节奏适度，驾驭课堂能力强；</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10</w:t>
            </w:r>
          </w:p>
        </w:tc>
      </w:tr>
      <w:tr>
        <w:tblPrEx>
          <w:tblCellMar>
            <w:top w:w="0" w:type="dxa"/>
            <w:left w:w="108" w:type="dxa"/>
            <w:bottom w:w="0" w:type="dxa"/>
            <w:right w:w="108" w:type="dxa"/>
          </w:tblCellMar>
        </w:tblPrEx>
        <w:trPr>
          <w:trHeight w:val="454" w:hRule="atLeast"/>
          <w:jc w:val="center"/>
        </w:trPr>
        <w:tc>
          <w:tcPr>
            <w:tcW w:w="1350" w:type="dxa"/>
            <w:vMerge w:val="continue"/>
            <w:tcBorders>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3．注重学生素质培养；重视并进行职业道德和组织纪律教育。</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624" w:hRule="atLeast"/>
          <w:jc w:val="center"/>
        </w:trPr>
        <w:tc>
          <w:tcPr>
            <w:tcW w:w="1350" w:type="dxa"/>
            <w:vMerge w:val="restart"/>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教学效果</w:t>
            </w:r>
          </w:p>
          <w:p>
            <w:pPr>
              <w:pageBreakBefore w:val="0"/>
              <w:widowControl/>
              <w:topLinePunct w:val="0"/>
              <w:bidi w:val="0"/>
              <w:adjustRightInd w:val="0"/>
              <w:snapToGrid w:val="0"/>
              <w:jc w:val="center"/>
              <w:outlineLvl w:val="9"/>
              <w:rPr>
                <w:rFonts w:eastAsia="仿宋"/>
                <w:kern w:val="0"/>
                <w:szCs w:val="21"/>
              </w:rPr>
            </w:pPr>
            <w:r>
              <w:rPr>
                <w:rFonts w:eastAsia="仿宋"/>
                <w:kern w:val="0"/>
                <w:szCs w:val="21"/>
              </w:rPr>
              <w:t>（15）</w:t>
            </w: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1．教师与学生有交流，互动效果好，课堂气氛活跃，激发了学生学习兴趣，学习积极性得到调动；</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454" w:hRule="exact"/>
          <w:jc w:val="center"/>
        </w:trPr>
        <w:tc>
          <w:tcPr>
            <w:tcW w:w="1350"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2．学生上课听得懂，有感知、能理解；</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454" w:hRule="exact"/>
          <w:jc w:val="center"/>
        </w:trPr>
        <w:tc>
          <w:tcPr>
            <w:tcW w:w="1350"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3．在规定时间内完成教学任务，教学目标基本达到。</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615" w:hRule="exact"/>
          <w:jc w:val="center"/>
        </w:trPr>
        <w:tc>
          <w:tcPr>
            <w:tcW w:w="1350" w:type="dxa"/>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hint="eastAsia" w:ascii="仿宋" w:hAnsi="仿宋" w:eastAsia="仿宋" w:cs="仿宋"/>
                <w:b/>
                <w:bCs/>
                <w:color w:val="000000"/>
                <w:kern w:val="0"/>
                <w:szCs w:val="21"/>
              </w:rPr>
              <w:t>一票否决</w:t>
            </w: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hint="eastAsia" w:ascii="仿宋" w:hAnsi="仿宋" w:eastAsia="仿宋" w:cs="仿宋"/>
                <w:color w:val="000000"/>
              </w:rPr>
              <w:t>在</w:t>
            </w:r>
            <w:r>
              <w:rPr>
                <w:rFonts w:hint="eastAsia" w:ascii="仿宋" w:hAnsi="仿宋" w:eastAsia="仿宋" w:cs="仿宋"/>
                <w:color w:val="000000"/>
                <w:kern w:val="0"/>
              </w:rPr>
              <w:t>课堂教学过程中，有违背党和国家方针政策的言行；</w:t>
            </w:r>
            <w:r>
              <w:rPr>
                <w:rFonts w:hint="eastAsia" w:ascii="仿宋" w:hAnsi="仿宋" w:eastAsia="仿宋" w:cs="仿宋"/>
                <w:color w:val="000000"/>
                <w:kern w:val="0"/>
                <w:szCs w:val="21"/>
              </w:rPr>
              <w:t>师德出现失范行为。</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r>
      <w:tr>
        <w:tblPrEx>
          <w:tblCellMar>
            <w:top w:w="0" w:type="dxa"/>
            <w:left w:w="108" w:type="dxa"/>
            <w:bottom w:w="0" w:type="dxa"/>
            <w:right w:w="108" w:type="dxa"/>
          </w:tblCellMar>
        </w:tblPrEx>
        <w:trPr>
          <w:trHeight w:val="482" w:hRule="atLeast"/>
          <w:jc w:val="center"/>
        </w:trPr>
        <w:tc>
          <w:tcPr>
            <w:tcW w:w="7694" w:type="dxa"/>
            <w:gridSpan w:val="2"/>
            <w:tcBorders>
              <w:top w:val="single" w:color="auto" w:sz="4" w:space="0"/>
              <w:left w:val="double" w:color="auto" w:sz="4" w:space="0"/>
              <w:bottom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总分</w:t>
            </w:r>
          </w:p>
        </w:tc>
        <w:tc>
          <w:tcPr>
            <w:tcW w:w="709" w:type="dxa"/>
            <w:tcBorders>
              <w:top w:val="single" w:color="auto" w:sz="4" w:space="0"/>
              <w:left w:val="single" w:color="auto" w:sz="4" w:space="0"/>
              <w:bottom w:val="doub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fldChar w:fldCharType="begin"/>
            </w:r>
            <w:r>
              <w:rPr>
                <w:rFonts w:eastAsia="仿宋"/>
                <w:kern w:val="0"/>
                <w:szCs w:val="21"/>
              </w:rPr>
              <w:instrText xml:space="preserve"> =SUM(ABOVE) </w:instrText>
            </w:r>
            <w:r>
              <w:rPr>
                <w:rFonts w:eastAsia="仿宋"/>
                <w:kern w:val="0"/>
                <w:szCs w:val="21"/>
              </w:rPr>
              <w:fldChar w:fldCharType="separate"/>
            </w:r>
            <w:r>
              <w:rPr>
                <w:rFonts w:eastAsia="仿宋"/>
                <w:kern w:val="0"/>
                <w:szCs w:val="21"/>
              </w:rPr>
              <w:t>100</w:t>
            </w:r>
            <w:r>
              <w:rPr>
                <w:rFonts w:eastAsia="仿宋"/>
                <w:kern w:val="0"/>
                <w:szCs w:val="21"/>
              </w:rPr>
              <w:fldChar w:fldCharType="end"/>
            </w:r>
          </w:p>
        </w:tc>
      </w:tr>
    </w:tbl>
    <w:p>
      <w:pPr>
        <w:pageBreakBefore w:val="0"/>
        <w:widowControl/>
        <w:topLinePunct w:val="0"/>
        <w:bidi w:val="0"/>
        <w:adjustRightInd w:val="0"/>
        <w:snapToGrid w:val="0"/>
        <w:spacing w:before="156" w:beforeLines="50" w:after="93" w:afterLines="30"/>
        <w:outlineLvl w:val="9"/>
        <w:rPr>
          <w:rFonts w:eastAsia="仿宋"/>
          <w:sz w:val="18"/>
          <w:szCs w:val="18"/>
        </w:rPr>
      </w:pPr>
    </w:p>
    <w:p>
      <w:pPr>
        <w:pageBreakBefore w:val="0"/>
        <w:widowControl/>
        <w:topLinePunct w:val="0"/>
        <w:bidi w:val="0"/>
        <w:jc w:val="center"/>
        <w:outlineLvl w:val="9"/>
        <w:rPr>
          <w:rFonts w:eastAsia="仿宋"/>
          <w:sz w:val="18"/>
          <w:szCs w:val="18"/>
        </w:rPr>
      </w:pPr>
      <w:r>
        <w:rPr>
          <w:rFonts w:eastAsia="仿宋"/>
          <w:sz w:val="18"/>
          <w:szCs w:val="18"/>
        </w:rPr>
        <w:br w:type="page"/>
      </w:r>
    </w:p>
    <w:p>
      <w:pPr>
        <w:pageBreakBefore w:val="0"/>
        <w:widowControl/>
        <w:topLinePunct w:val="0"/>
        <w:bidi w:val="0"/>
        <w:spacing w:after="156" w:afterLines="50"/>
        <w:jc w:val="center"/>
        <w:outlineLvl w:val="9"/>
        <w:rPr>
          <w:rFonts w:eastAsia="仿宋"/>
          <w:b/>
          <w:bCs/>
          <w:kern w:val="0"/>
          <w:sz w:val="32"/>
          <w:szCs w:val="32"/>
        </w:rPr>
      </w:pPr>
      <w:r>
        <w:rPr>
          <w:rFonts w:eastAsia="仿宋"/>
          <w:b/>
          <w:bCs/>
          <w:kern w:val="0"/>
          <w:sz w:val="32"/>
          <w:szCs w:val="32"/>
        </w:rPr>
        <w:t>实践教学评价标准（含教学做一体）</w:t>
      </w:r>
    </w:p>
    <w:tbl>
      <w:tblPr>
        <w:tblStyle w:val="37"/>
        <w:tblW w:w="8421" w:type="dxa"/>
        <w:jc w:val="center"/>
        <w:tblLayout w:type="fixed"/>
        <w:tblCellMar>
          <w:top w:w="0" w:type="dxa"/>
          <w:left w:w="108" w:type="dxa"/>
          <w:bottom w:w="0" w:type="dxa"/>
          <w:right w:w="108" w:type="dxa"/>
        </w:tblCellMar>
      </w:tblPr>
      <w:tblGrid>
        <w:gridCol w:w="1135"/>
        <w:gridCol w:w="6576"/>
        <w:gridCol w:w="710"/>
      </w:tblGrid>
      <w:tr>
        <w:tblPrEx>
          <w:tblCellMar>
            <w:top w:w="0" w:type="dxa"/>
            <w:left w:w="108" w:type="dxa"/>
            <w:bottom w:w="0" w:type="dxa"/>
            <w:right w:w="108" w:type="dxa"/>
          </w:tblCellMar>
        </w:tblPrEx>
        <w:trPr>
          <w:trHeight w:val="567" w:hRule="exact"/>
          <w:jc w:val="center"/>
        </w:trPr>
        <w:tc>
          <w:tcPr>
            <w:tcW w:w="8421" w:type="dxa"/>
            <w:gridSpan w:val="3"/>
            <w:tcBorders>
              <w:top w:val="double" w:color="auto" w:sz="4" w:space="0"/>
              <w:left w:val="doub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 w:val="24"/>
              </w:rPr>
            </w:pPr>
            <w:r>
              <w:rPr>
                <w:rFonts w:eastAsia="仿宋"/>
                <w:kern w:val="0"/>
                <w:sz w:val="24"/>
              </w:rPr>
              <w:t>评价指标及内涵</w:t>
            </w:r>
          </w:p>
        </w:tc>
      </w:tr>
      <w:tr>
        <w:tblPrEx>
          <w:tblCellMar>
            <w:top w:w="0" w:type="dxa"/>
            <w:left w:w="108" w:type="dxa"/>
            <w:bottom w:w="0" w:type="dxa"/>
            <w:right w:w="108" w:type="dxa"/>
          </w:tblCellMar>
        </w:tblPrEx>
        <w:trPr>
          <w:trHeight w:val="454" w:hRule="atLeast"/>
          <w:jc w:val="center"/>
        </w:trPr>
        <w:tc>
          <w:tcPr>
            <w:tcW w:w="1135" w:type="dxa"/>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评课项目</w:t>
            </w: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参照标准（B）</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分值</w:t>
            </w:r>
          </w:p>
        </w:tc>
      </w:tr>
      <w:tr>
        <w:tblPrEx>
          <w:tblCellMar>
            <w:top w:w="0" w:type="dxa"/>
            <w:left w:w="108" w:type="dxa"/>
            <w:bottom w:w="0" w:type="dxa"/>
            <w:right w:w="108" w:type="dxa"/>
          </w:tblCellMar>
        </w:tblPrEx>
        <w:trPr>
          <w:trHeight w:val="624" w:hRule="exact"/>
          <w:jc w:val="center"/>
        </w:trPr>
        <w:tc>
          <w:tcPr>
            <w:tcW w:w="1135" w:type="dxa"/>
            <w:vMerge w:val="restart"/>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基本素养</w:t>
            </w:r>
          </w:p>
          <w:p>
            <w:pPr>
              <w:pageBreakBefore w:val="0"/>
              <w:widowControl/>
              <w:topLinePunct w:val="0"/>
              <w:bidi w:val="0"/>
              <w:adjustRightInd w:val="0"/>
              <w:snapToGrid w:val="0"/>
              <w:jc w:val="center"/>
              <w:outlineLvl w:val="9"/>
              <w:rPr>
                <w:rFonts w:eastAsia="仿宋"/>
                <w:kern w:val="0"/>
                <w:szCs w:val="21"/>
              </w:rPr>
            </w:pPr>
            <w:r>
              <w:rPr>
                <w:rFonts w:eastAsia="仿宋"/>
                <w:kern w:val="0"/>
                <w:szCs w:val="21"/>
              </w:rPr>
              <w:t>（15）</w:t>
            </w: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1．仪态大方，衣着整洁得体；预备铃前做好授课准备，检查并确保设备完好；未迟到早退；</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454" w:hRule="atLeast"/>
          <w:jc w:val="center"/>
        </w:trPr>
        <w:tc>
          <w:tcPr>
            <w:tcW w:w="1135"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2．教态亲切自然，语言文字规范、讲普通话，无违背党和国家方针政策的言行</w:t>
            </w:r>
            <w:r>
              <w:rPr>
                <w:rFonts w:hint="eastAsia" w:ascii="仿宋" w:hAnsi="仿宋" w:eastAsia="仿宋" w:cs="仿宋"/>
                <w:bCs/>
                <w:color w:val="000000"/>
                <w:szCs w:val="21"/>
              </w:rPr>
              <w:t>，无师德失范行为</w:t>
            </w:r>
            <w:r>
              <w:rPr>
                <w:rFonts w:eastAsia="仿宋"/>
                <w:kern w:val="0"/>
                <w:szCs w:val="21"/>
              </w:rPr>
              <w:t>；</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624" w:hRule="atLeast"/>
          <w:jc w:val="center"/>
        </w:trPr>
        <w:tc>
          <w:tcPr>
            <w:tcW w:w="1135"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3．教学文件齐备（课程标准（大纲）、教学进度表、教材或讲稿、教案、课件等），授课内容与教学进度表、教案基本吻合。</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454" w:hRule="atLeast"/>
          <w:jc w:val="center"/>
        </w:trPr>
        <w:tc>
          <w:tcPr>
            <w:tcW w:w="1135" w:type="dxa"/>
            <w:vMerge w:val="restart"/>
            <w:tcBorders>
              <w:top w:val="single" w:color="auto" w:sz="4" w:space="0"/>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教学内容</w:t>
            </w:r>
          </w:p>
          <w:p>
            <w:pPr>
              <w:pageBreakBefore w:val="0"/>
              <w:widowControl/>
              <w:topLinePunct w:val="0"/>
              <w:bidi w:val="0"/>
              <w:adjustRightInd w:val="0"/>
              <w:snapToGrid w:val="0"/>
              <w:jc w:val="center"/>
              <w:outlineLvl w:val="9"/>
              <w:rPr>
                <w:rFonts w:eastAsia="仿宋"/>
                <w:kern w:val="0"/>
                <w:szCs w:val="21"/>
              </w:rPr>
            </w:pPr>
            <w:r>
              <w:rPr>
                <w:rFonts w:eastAsia="仿宋"/>
                <w:kern w:val="0"/>
                <w:szCs w:val="21"/>
              </w:rPr>
              <w:t>（25）</w:t>
            </w: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1．根据课程标准（大纲）设定的知识、能力、素质要求组织教学；</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624" w:hRule="atLeast"/>
          <w:jc w:val="center"/>
        </w:trPr>
        <w:tc>
          <w:tcPr>
            <w:tcW w:w="1135" w:type="dxa"/>
            <w:vMerge w:val="continue"/>
            <w:tcBorders>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2．以真实工作任务及工作过程为依据整合、序化教学内容，内容充实，重点突出，容量适当，设计合理；</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topLinePunct w:val="0"/>
              <w:bidi w:val="0"/>
              <w:adjustRightInd w:val="0"/>
              <w:snapToGrid w:val="0"/>
              <w:jc w:val="center"/>
              <w:outlineLvl w:val="9"/>
              <w:rPr>
                <w:rFonts w:eastAsia="仿宋"/>
                <w:kern w:val="0"/>
                <w:szCs w:val="21"/>
              </w:rPr>
            </w:pPr>
            <w:r>
              <w:rPr>
                <w:rFonts w:eastAsia="仿宋"/>
                <w:kern w:val="0"/>
                <w:szCs w:val="21"/>
              </w:rPr>
              <w:t>10</w:t>
            </w:r>
          </w:p>
        </w:tc>
      </w:tr>
      <w:tr>
        <w:tblPrEx>
          <w:tblCellMar>
            <w:top w:w="0" w:type="dxa"/>
            <w:left w:w="108" w:type="dxa"/>
            <w:bottom w:w="0" w:type="dxa"/>
            <w:right w:w="108" w:type="dxa"/>
          </w:tblCellMar>
        </w:tblPrEx>
        <w:trPr>
          <w:trHeight w:val="624" w:hRule="exact"/>
          <w:jc w:val="center"/>
        </w:trPr>
        <w:tc>
          <w:tcPr>
            <w:tcW w:w="1135" w:type="dxa"/>
            <w:vMerge w:val="continue"/>
            <w:tcBorders>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3．教学内容符合行业企业发展需求和职业岗位需要；根据行业、专业的发展与新要求，即时补充教学内容。</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topLinePunct w:val="0"/>
              <w:bidi w:val="0"/>
              <w:adjustRightInd w:val="0"/>
              <w:snapToGrid w:val="0"/>
              <w:jc w:val="center"/>
              <w:outlineLvl w:val="9"/>
              <w:rPr>
                <w:rFonts w:eastAsia="仿宋"/>
                <w:kern w:val="0"/>
                <w:szCs w:val="21"/>
              </w:rPr>
            </w:pPr>
            <w:r>
              <w:rPr>
                <w:rFonts w:eastAsia="仿宋"/>
                <w:kern w:val="0"/>
                <w:szCs w:val="21"/>
              </w:rPr>
              <w:t>10</w:t>
            </w:r>
          </w:p>
        </w:tc>
      </w:tr>
      <w:tr>
        <w:trPr>
          <w:trHeight w:val="454" w:hRule="exact"/>
          <w:jc w:val="center"/>
        </w:trPr>
        <w:tc>
          <w:tcPr>
            <w:tcW w:w="1135" w:type="dxa"/>
            <w:vMerge w:val="restart"/>
            <w:tcBorders>
              <w:top w:val="single" w:color="auto" w:sz="4" w:space="0"/>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教学方法</w:t>
            </w:r>
          </w:p>
          <w:p>
            <w:pPr>
              <w:pageBreakBefore w:val="0"/>
              <w:widowControl/>
              <w:topLinePunct w:val="0"/>
              <w:bidi w:val="0"/>
              <w:adjustRightInd w:val="0"/>
              <w:snapToGrid w:val="0"/>
              <w:jc w:val="center"/>
              <w:outlineLvl w:val="9"/>
              <w:rPr>
                <w:rFonts w:eastAsia="仿宋"/>
                <w:kern w:val="0"/>
                <w:szCs w:val="21"/>
              </w:rPr>
            </w:pPr>
            <w:r>
              <w:rPr>
                <w:rFonts w:eastAsia="仿宋"/>
                <w:kern w:val="0"/>
                <w:szCs w:val="21"/>
              </w:rPr>
              <w:t>（25）</w:t>
            </w: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1．教学方法符合学生认知的规律，引导启发学生积极思考；</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624" w:hRule="exact"/>
          <w:jc w:val="center"/>
        </w:trPr>
        <w:tc>
          <w:tcPr>
            <w:tcW w:w="1135" w:type="dxa"/>
            <w:vMerge w:val="continue"/>
            <w:tcBorders>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2．突出学生主体地位；教学做一体，注重学生实践能力培养，学生能够得到充分的训练；训练任务、时间分配合理；</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15</w:t>
            </w:r>
          </w:p>
        </w:tc>
      </w:tr>
      <w:tr>
        <w:tblPrEx>
          <w:tblCellMar>
            <w:top w:w="0" w:type="dxa"/>
            <w:left w:w="108" w:type="dxa"/>
            <w:bottom w:w="0" w:type="dxa"/>
            <w:right w:w="108" w:type="dxa"/>
          </w:tblCellMar>
        </w:tblPrEx>
        <w:trPr>
          <w:trHeight w:val="454" w:hRule="atLeast"/>
          <w:jc w:val="center"/>
        </w:trPr>
        <w:tc>
          <w:tcPr>
            <w:tcW w:w="1135" w:type="dxa"/>
            <w:vMerge w:val="continue"/>
            <w:tcBorders>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3．信息化技术运用得当；合理运用板书和课件；注重实践指导。</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624" w:hRule="atLeast"/>
          <w:jc w:val="center"/>
        </w:trPr>
        <w:tc>
          <w:tcPr>
            <w:tcW w:w="1135" w:type="dxa"/>
            <w:vMerge w:val="restart"/>
            <w:tcBorders>
              <w:top w:val="single" w:color="auto" w:sz="4" w:space="0"/>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教学能力</w:t>
            </w:r>
          </w:p>
          <w:p>
            <w:pPr>
              <w:pageBreakBefore w:val="0"/>
              <w:widowControl/>
              <w:topLinePunct w:val="0"/>
              <w:bidi w:val="0"/>
              <w:adjustRightInd w:val="0"/>
              <w:snapToGrid w:val="0"/>
              <w:jc w:val="center"/>
              <w:outlineLvl w:val="9"/>
              <w:rPr>
                <w:rFonts w:eastAsia="仿宋"/>
                <w:kern w:val="0"/>
                <w:szCs w:val="21"/>
              </w:rPr>
            </w:pPr>
            <w:r>
              <w:rPr>
                <w:rFonts w:eastAsia="仿宋"/>
                <w:kern w:val="0"/>
                <w:szCs w:val="21"/>
              </w:rPr>
              <w:t>（20）</w:t>
            </w: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 xml:space="preserve">1．讲解条理清晰、层次分明，教学生动、善于启发，教学内容讲解准确、熟练，表述生动、流畅； </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rPr>
          <w:trHeight w:val="624" w:hRule="atLeast"/>
          <w:jc w:val="center"/>
        </w:trPr>
        <w:tc>
          <w:tcPr>
            <w:tcW w:w="1135" w:type="dxa"/>
            <w:vMerge w:val="continue"/>
            <w:tcBorders>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2．操作示范准确、规范、熟练；安全意识强，管理井然有序；驾驭课堂能力强；</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10</w:t>
            </w:r>
          </w:p>
        </w:tc>
      </w:tr>
      <w:tr>
        <w:tblPrEx>
          <w:tblCellMar>
            <w:top w:w="0" w:type="dxa"/>
            <w:left w:w="108" w:type="dxa"/>
            <w:bottom w:w="0" w:type="dxa"/>
            <w:right w:w="108" w:type="dxa"/>
          </w:tblCellMar>
        </w:tblPrEx>
        <w:trPr>
          <w:trHeight w:val="454" w:hRule="atLeast"/>
          <w:jc w:val="center"/>
        </w:trPr>
        <w:tc>
          <w:tcPr>
            <w:tcW w:w="1135" w:type="dxa"/>
            <w:vMerge w:val="continue"/>
            <w:tcBorders>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3．注重学生素质培养；重视并进行职业道德和组织纪律教育。</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624" w:hRule="atLeast"/>
          <w:jc w:val="center"/>
        </w:trPr>
        <w:tc>
          <w:tcPr>
            <w:tcW w:w="1135" w:type="dxa"/>
            <w:vMerge w:val="restart"/>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教学效果</w:t>
            </w:r>
          </w:p>
          <w:p>
            <w:pPr>
              <w:pageBreakBefore w:val="0"/>
              <w:widowControl/>
              <w:topLinePunct w:val="0"/>
              <w:bidi w:val="0"/>
              <w:adjustRightInd w:val="0"/>
              <w:snapToGrid w:val="0"/>
              <w:jc w:val="center"/>
              <w:outlineLvl w:val="9"/>
              <w:rPr>
                <w:rFonts w:eastAsia="仿宋"/>
                <w:kern w:val="0"/>
                <w:szCs w:val="21"/>
              </w:rPr>
            </w:pPr>
            <w:r>
              <w:rPr>
                <w:rFonts w:eastAsia="仿宋"/>
                <w:kern w:val="0"/>
                <w:szCs w:val="21"/>
              </w:rPr>
              <w:t>（15）</w:t>
            </w: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1．教师与学生有交流，互动效果好，课堂气氛活跃，激发了学生学习兴趣，学习积极性得到调动；</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454" w:hRule="atLeast"/>
          <w:jc w:val="center"/>
        </w:trPr>
        <w:tc>
          <w:tcPr>
            <w:tcW w:w="1135"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2．学生上课听得懂，能理解、看得清、学得会；</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454" w:hRule="atLeast"/>
          <w:jc w:val="center"/>
        </w:trPr>
        <w:tc>
          <w:tcPr>
            <w:tcW w:w="1135"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eastAsia="仿宋"/>
                <w:kern w:val="0"/>
                <w:szCs w:val="21"/>
              </w:rPr>
              <w:t>3．在规定时间内完成训练任务，教学目标基本达到。</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5</w:t>
            </w:r>
          </w:p>
        </w:tc>
      </w:tr>
      <w:tr>
        <w:tblPrEx>
          <w:tblCellMar>
            <w:top w:w="0" w:type="dxa"/>
            <w:left w:w="108" w:type="dxa"/>
            <w:bottom w:w="0" w:type="dxa"/>
            <w:right w:w="108" w:type="dxa"/>
          </w:tblCellMar>
        </w:tblPrEx>
        <w:trPr>
          <w:trHeight w:val="619" w:hRule="atLeast"/>
          <w:jc w:val="center"/>
        </w:trPr>
        <w:tc>
          <w:tcPr>
            <w:tcW w:w="1135" w:type="dxa"/>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hint="eastAsia" w:ascii="仿宋" w:hAnsi="仿宋" w:eastAsia="仿宋" w:cs="仿宋"/>
                <w:b/>
                <w:bCs/>
                <w:color w:val="000000"/>
                <w:kern w:val="0"/>
                <w:szCs w:val="21"/>
              </w:rPr>
              <w:t>一票否决</w:t>
            </w: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eastAsia="仿宋"/>
                <w:kern w:val="0"/>
                <w:szCs w:val="21"/>
              </w:rPr>
            </w:pPr>
            <w:r>
              <w:rPr>
                <w:rFonts w:hint="eastAsia" w:ascii="仿宋" w:hAnsi="仿宋" w:eastAsia="仿宋" w:cs="仿宋"/>
                <w:color w:val="000000"/>
              </w:rPr>
              <w:t>在</w:t>
            </w:r>
            <w:r>
              <w:rPr>
                <w:rFonts w:hint="eastAsia" w:ascii="仿宋" w:hAnsi="仿宋" w:eastAsia="仿宋" w:cs="仿宋"/>
                <w:color w:val="000000"/>
                <w:kern w:val="0"/>
              </w:rPr>
              <w:t>课堂教学过程中，有违背党和国家方针政策的言行；</w:t>
            </w:r>
            <w:r>
              <w:rPr>
                <w:rFonts w:hint="eastAsia" w:ascii="仿宋" w:hAnsi="仿宋" w:eastAsia="仿宋" w:cs="仿宋"/>
                <w:color w:val="000000"/>
                <w:kern w:val="0"/>
                <w:szCs w:val="21"/>
              </w:rPr>
              <w:t>师德出现失范行为。</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p>
        </w:tc>
      </w:tr>
      <w:tr>
        <w:trPr>
          <w:trHeight w:val="482" w:hRule="atLeast"/>
          <w:jc w:val="center"/>
        </w:trPr>
        <w:tc>
          <w:tcPr>
            <w:tcW w:w="7711" w:type="dxa"/>
            <w:gridSpan w:val="2"/>
            <w:tcBorders>
              <w:top w:val="single" w:color="auto" w:sz="4" w:space="0"/>
              <w:left w:val="double" w:color="auto" w:sz="4" w:space="0"/>
              <w:bottom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t>总分</w:t>
            </w:r>
          </w:p>
        </w:tc>
        <w:tc>
          <w:tcPr>
            <w:tcW w:w="710" w:type="dxa"/>
            <w:tcBorders>
              <w:top w:val="single" w:color="auto" w:sz="4" w:space="0"/>
              <w:left w:val="single" w:color="auto" w:sz="4" w:space="0"/>
              <w:bottom w:val="doub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eastAsia="仿宋"/>
                <w:kern w:val="0"/>
                <w:szCs w:val="21"/>
              </w:rPr>
            </w:pPr>
            <w:r>
              <w:rPr>
                <w:rFonts w:eastAsia="仿宋"/>
                <w:kern w:val="0"/>
                <w:szCs w:val="21"/>
              </w:rPr>
              <w:fldChar w:fldCharType="begin"/>
            </w:r>
            <w:r>
              <w:rPr>
                <w:rFonts w:eastAsia="仿宋"/>
                <w:kern w:val="0"/>
                <w:szCs w:val="21"/>
              </w:rPr>
              <w:instrText xml:space="preserve"> =SUM(ABOVE) </w:instrText>
            </w:r>
            <w:r>
              <w:rPr>
                <w:rFonts w:eastAsia="仿宋"/>
                <w:kern w:val="0"/>
                <w:szCs w:val="21"/>
              </w:rPr>
              <w:fldChar w:fldCharType="separate"/>
            </w:r>
            <w:r>
              <w:rPr>
                <w:rFonts w:eastAsia="仿宋"/>
                <w:kern w:val="0"/>
                <w:szCs w:val="21"/>
              </w:rPr>
              <w:t>100</w:t>
            </w:r>
            <w:r>
              <w:rPr>
                <w:rFonts w:eastAsia="仿宋"/>
                <w:kern w:val="0"/>
                <w:szCs w:val="21"/>
              </w:rPr>
              <w:fldChar w:fldCharType="end"/>
            </w:r>
          </w:p>
        </w:tc>
      </w:tr>
    </w:tbl>
    <w:p>
      <w:pPr>
        <w:pageBreakBefore w:val="0"/>
        <w:widowControl/>
        <w:topLinePunct w:val="0"/>
        <w:bidi w:val="0"/>
        <w:adjustRightInd w:val="0"/>
        <w:snapToGrid w:val="0"/>
        <w:spacing w:before="156" w:beforeLines="50" w:after="93" w:afterLines="30"/>
        <w:outlineLvl w:val="9"/>
        <w:rPr>
          <w:rFonts w:eastAsia="仿宋"/>
          <w:sz w:val="18"/>
          <w:szCs w:val="18"/>
        </w:rPr>
      </w:pPr>
    </w:p>
    <w:p>
      <w:pPr>
        <w:pageBreakBefore w:val="0"/>
        <w:widowControl/>
        <w:topLinePunct w:val="0"/>
        <w:bidi w:val="0"/>
        <w:adjustRightInd w:val="0"/>
        <w:snapToGrid w:val="0"/>
        <w:spacing w:before="156" w:beforeLines="50" w:after="93" w:afterLines="30"/>
        <w:outlineLvl w:val="9"/>
        <w:rPr>
          <w:rFonts w:eastAsia="仿宋"/>
          <w:sz w:val="18"/>
          <w:szCs w:val="18"/>
        </w:rPr>
      </w:pPr>
    </w:p>
    <w:p>
      <w:pPr>
        <w:pageBreakBefore w:val="0"/>
        <w:widowControl/>
        <w:topLinePunct w:val="0"/>
        <w:bidi w:val="0"/>
        <w:jc w:val="center"/>
        <w:outlineLvl w:val="9"/>
        <w:rPr>
          <w:rFonts w:eastAsia="仿宋"/>
          <w:b/>
          <w:bCs/>
          <w:kern w:val="0"/>
          <w:sz w:val="36"/>
          <w:szCs w:val="36"/>
        </w:rPr>
      </w:pPr>
      <w:r>
        <w:rPr>
          <w:rFonts w:eastAsia="仿宋"/>
        </w:rPr>
        <w:br w:type="page"/>
      </w:r>
      <w:r>
        <w:rPr>
          <w:rFonts w:eastAsia="仿宋"/>
          <w:b/>
          <w:bCs/>
          <w:kern w:val="0"/>
          <w:sz w:val="36"/>
          <w:szCs w:val="36"/>
        </w:rPr>
        <w:t>听课评课计划表</w:t>
      </w:r>
    </w:p>
    <w:p>
      <w:pPr>
        <w:pageBreakBefore w:val="0"/>
        <w:topLinePunct w:val="0"/>
        <w:bidi w:val="0"/>
        <w:spacing w:after="156" w:afterLines="50"/>
        <w:jc w:val="left"/>
        <w:outlineLvl w:val="9"/>
        <w:rPr>
          <w:rFonts w:eastAsia="仿宋"/>
          <w:b/>
          <w:kern w:val="0"/>
          <w:sz w:val="28"/>
          <w:szCs w:val="28"/>
        </w:rPr>
      </w:pPr>
      <w:r>
        <w:rPr>
          <w:rFonts w:eastAsia="仿宋"/>
          <w:b/>
          <w:kern w:val="0"/>
          <w:sz w:val="28"/>
          <w:szCs w:val="28"/>
        </w:rPr>
        <w:t>第一学期</w:t>
      </w:r>
    </w:p>
    <w:tbl>
      <w:tblPr>
        <w:tblStyle w:val="37"/>
        <w:tblW w:w="8970" w:type="dxa"/>
        <w:jc w:val="center"/>
        <w:tblLayout w:type="fixed"/>
        <w:tblCellMar>
          <w:top w:w="0" w:type="dxa"/>
          <w:left w:w="108" w:type="dxa"/>
          <w:bottom w:w="0" w:type="dxa"/>
          <w:right w:w="108" w:type="dxa"/>
        </w:tblCellMar>
      </w:tblPr>
      <w:tblGrid>
        <w:gridCol w:w="540"/>
        <w:gridCol w:w="856"/>
        <w:gridCol w:w="1417"/>
        <w:gridCol w:w="1418"/>
        <w:gridCol w:w="2163"/>
        <w:gridCol w:w="1248"/>
        <w:gridCol w:w="1328"/>
      </w:tblGrid>
      <w:tr>
        <w:tblPrEx>
          <w:tblCellMar>
            <w:top w:w="0" w:type="dxa"/>
            <w:left w:w="108" w:type="dxa"/>
            <w:bottom w:w="0" w:type="dxa"/>
            <w:right w:w="108" w:type="dxa"/>
          </w:tblCellMar>
        </w:tblPrEx>
        <w:trPr>
          <w:trHeight w:val="48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序号</w:t>
            </w:r>
          </w:p>
        </w:tc>
        <w:tc>
          <w:tcPr>
            <w:tcW w:w="85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周次</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日期</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班级</w:t>
            </w:r>
          </w:p>
        </w:tc>
        <w:tc>
          <w:tcPr>
            <w:tcW w:w="216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课程名称</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任课教师</w:t>
            </w: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备注</w:t>
            </w:r>
          </w:p>
        </w:tc>
      </w:tr>
      <w:tr>
        <w:tblPrEx>
          <w:tblCellMar>
            <w:top w:w="0" w:type="dxa"/>
            <w:left w:w="108" w:type="dxa"/>
            <w:bottom w:w="0" w:type="dxa"/>
            <w:right w:w="108" w:type="dxa"/>
          </w:tblCellMar>
        </w:tblPrEx>
        <w:trPr>
          <w:trHeight w:val="454"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85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454"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85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454"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85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454"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85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454"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85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454"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85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454"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85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bl>
    <w:p>
      <w:pPr>
        <w:pageBreakBefore w:val="0"/>
        <w:topLinePunct w:val="0"/>
        <w:bidi w:val="0"/>
        <w:spacing w:before="156" w:beforeLines="50" w:line="360" w:lineRule="auto"/>
        <w:outlineLvl w:val="9"/>
        <w:rPr>
          <w:rFonts w:eastAsia="仿宋"/>
          <w:kern w:val="0"/>
          <w:sz w:val="24"/>
        </w:rPr>
      </w:pPr>
      <w:r>
        <w:rPr>
          <w:rFonts w:eastAsia="仿宋"/>
          <w:kern w:val="0"/>
          <w:sz w:val="24"/>
        </w:rPr>
        <w:t>教研室主任审核：</w:t>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听课教师签字</w:t>
      </w:r>
    </w:p>
    <w:p>
      <w:pPr>
        <w:pageBreakBefore w:val="0"/>
        <w:topLinePunct w:val="0"/>
        <w:bidi w:val="0"/>
        <w:spacing w:line="360" w:lineRule="auto"/>
        <w:outlineLvl w:val="9"/>
        <w:rPr>
          <w:rFonts w:eastAsia="仿宋"/>
          <w:kern w:val="0"/>
          <w:sz w:val="24"/>
        </w:rPr>
      </w:pPr>
      <w:r>
        <w:rPr>
          <w:rFonts w:eastAsia="仿宋"/>
          <w:kern w:val="0"/>
          <w:sz w:val="24"/>
        </w:rPr>
        <w:t>日期：</w:t>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日期：</w:t>
      </w:r>
    </w:p>
    <w:p>
      <w:pPr>
        <w:pageBreakBefore w:val="0"/>
        <w:topLinePunct w:val="0"/>
        <w:bidi w:val="0"/>
        <w:outlineLvl w:val="9"/>
        <w:rPr>
          <w:rFonts w:eastAsia="仿宋"/>
        </w:rPr>
      </w:pPr>
    </w:p>
    <w:p>
      <w:pPr>
        <w:pageBreakBefore w:val="0"/>
        <w:topLinePunct w:val="0"/>
        <w:bidi w:val="0"/>
        <w:outlineLvl w:val="9"/>
        <w:rPr>
          <w:rFonts w:eastAsia="仿宋"/>
        </w:rPr>
      </w:pPr>
    </w:p>
    <w:p>
      <w:pPr>
        <w:pageBreakBefore w:val="0"/>
        <w:topLinePunct w:val="0"/>
        <w:bidi w:val="0"/>
        <w:outlineLvl w:val="9"/>
        <w:rPr>
          <w:rFonts w:eastAsia="仿宋"/>
        </w:rPr>
      </w:pPr>
    </w:p>
    <w:p>
      <w:pPr>
        <w:pageBreakBefore w:val="0"/>
        <w:topLinePunct w:val="0"/>
        <w:bidi w:val="0"/>
        <w:spacing w:after="156" w:afterLines="50"/>
        <w:jc w:val="left"/>
        <w:outlineLvl w:val="9"/>
        <w:rPr>
          <w:rFonts w:eastAsia="仿宋"/>
          <w:b/>
          <w:kern w:val="0"/>
          <w:sz w:val="28"/>
          <w:szCs w:val="28"/>
        </w:rPr>
      </w:pPr>
      <w:r>
        <w:rPr>
          <w:rFonts w:eastAsia="仿宋"/>
          <w:b/>
          <w:kern w:val="0"/>
          <w:sz w:val="28"/>
          <w:szCs w:val="28"/>
        </w:rPr>
        <w:t>第二学期</w:t>
      </w:r>
    </w:p>
    <w:tbl>
      <w:tblPr>
        <w:tblStyle w:val="37"/>
        <w:tblW w:w="8970" w:type="dxa"/>
        <w:jc w:val="center"/>
        <w:tblLayout w:type="fixed"/>
        <w:tblCellMar>
          <w:top w:w="0" w:type="dxa"/>
          <w:left w:w="108" w:type="dxa"/>
          <w:bottom w:w="0" w:type="dxa"/>
          <w:right w:w="108" w:type="dxa"/>
        </w:tblCellMar>
      </w:tblPr>
      <w:tblGrid>
        <w:gridCol w:w="540"/>
        <w:gridCol w:w="856"/>
        <w:gridCol w:w="1417"/>
        <w:gridCol w:w="1418"/>
        <w:gridCol w:w="2163"/>
        <w:gridCol w:w="1248"/>
        <w:gridCol w:w="1328"/>
      </w:tblGrid>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序号</w:t>
            </w:r>
          </w:p>
        </w:tc>
        <w:tc>
          <w:tcPr>
            <w:tcW w:w="85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周次</w:t>
            </w: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日期</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班级</w:t>
            </w:r>
          </w:p>
        </w:tc>
        <w:tc>
          <w:tcPr>
            <w:tcW w:w="216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课程名称</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任课教师</w:t>
            </w: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备注</w:t>
            </w:r>
          </w:p>
        </w:tc>
      </w:tr>
      <w:tr>
        <w:tblPrEx>
          <w:tblCellMar>
            <w:top w:w="0" w:type="dxa"/>
            <w:left w:w="108" w:type="dxa"/>
            <w:bottom w:w="0" w:type="dxa"/>
            <w:right w:w="108" w:type="dxa"/>
          </w:tblCellMar>
        </w:tblPrEx>
        <w:trPr>
          <w:trHeight w:val="454"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85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454"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85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454"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85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454"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85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454"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85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454"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85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454"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85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216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bl>
    <w:p>
      <w:pPr>
        <w:pageBreakBefore w:val="0"/>
        <w:topLinePunct w:val="0"/>
        <w:bidi w:val="0"/>
        <w:spacing w:before="156" w:beforeLines="50" w:line="360" w:lineRule="auto"/>
        <w:outlineLvl w:val="9"/>
        <w:rPr>
          <w:rFonts w:eastAsia="仿宋"/>
          <w:kern w:val="0"/>
          <w:sz w:val="24"/>
        </w:rPr>
      </w:pPr>
      <w:r>
        <w:rPr>
          <w:rFonts w:eastAsia="仿宋"/>
          <w:kern w:val="0"/>
          <w:sz w:val="24"/>
        </w:rPr>
        <w:t>教研室主任审核：</w:t>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听课教师签字</w:t>
      </w:r>
    </w:p>
    <w:p>
      <w:pPr>
        <w:pageBreakBefore w:val="0"/>
        <w:topLinePunct w:val="0"/>
        <w:bidi w:val="0"/>
        <w:spacing w:line="360" w:lineRule="auto"/>
        <w:outlineLvl w:val="9"/>
        <w:rPr>
          <w:rFonts w:eastAsia="仿宋"/>
          <w:kern w:val="0"/>
          <w:sz w:val="24"/>
        </w:rPr>
      </w:pPr>
      <w:r>
        <w:rPr>
          <w:rFonts w:eastAsia="仿宋"/>
          <w:kern w:val="0"/>
          <w:sz w:val="24"/>
        </w:rPr>
        <w:t>日期：</w:t>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日期：</w:t>
      </w:r>
    </w:p>
    <w:p>
      <w:pPr>
        <w:pageBreakBefore w:val="0"/>
        <w:topLinePunct w:val="0"/>
        <w:bidi w:val="0"/>
        <w:spacing w:line="360" w:lineRule="auto"/>
        <w:jc w:val="center"/>
        <w:outlineLvl w:val="9"/>
        <w:rPr>
          <w:rFonts w:eastAsia="仿宋"/>
          <w:b/>
          <w:bCs/>
          <w:kern w:val="0"/>
          <w:sz w:val="36"/>
          <w:szCs w:val="36"/>
        </w:rPr>
      </w:pPr>
      <w:r>
        <w:rPr>
          <w:rFonts w:eastAsia="仿宋"/>
          <w:b/>
          <w:bCs/>
          <w:kern w:val="0"/>
          <w:sz w:val="36"/>
          <w:szCs w:val="36"/>
        </w:rPr>
        <w:br w:type="page"/>
      </w:r>
      <w:r>
        <w:rPr>
          <w:rFonts w:eastAsia="仿宋"/>
          <w:b/>
          <w:bCs/>
          <w:kern w:val="0"/>
          <w:sz w:val="36"/>
          <w:szCs w:val="36"/>
        </w:rPr>
        <w:t>听课评课汇总表</w:t>
      </w:r>
    </w:p>
    <w:p>
      <w:pPr>
        <w:pageBreakBefore w:val="0"/>
        <w:topLinePunct w:val="0"/>
        <w:bidi w:val="0"/>
        <w:jc w:val="center"/>
        <w:outlineLvl w:val="9"/>
        <w:rPr>
          <w:rFonts w:eastAsia="仿宋"/>
        </w:rPr>
      </w:pPr>
    </w:p>
    <w:tbl>
      <w:tblPr>
        <w:tblStyle w:val="37"/>
        <w:tblW w:w="8970" w:type="dxa"/>
        <w:jc w:val="center"/>
        <w:tblLayout w:type="fixed"/>
        <w:tblCellMar>
          <w:top w:w="0" w:type="dxa"/>
          <w:left w:w="108" w:type="dxa"/>
          <w:bottom w:w="0" w:type="dxa"/>
          <w:right w:w="108" w:type="dxa"/>
        </w:tblCellMar>
      </w:tblPr>
      <w:tblGrid>
        <w:gridCol w:w="540"/>
        <w:gridCol w:w="1176"/>
        <w:gridCol w:w="1418"/>
        <w:gridCol w:w="1559"/>
        <w:gridCol w:w="1701"/>
        <w:gridCol w:w="1248"/>
        <w:gridCol w:w="1328"/>
      </w:tblGrid>
      <w:tr>
        <w:tblPrEx>
          <w:tblCellMar>
            <w:top w:w="0" w:type="dxa"/>
            <w:left w:w="108" w:type="dxa"/>
            <w:bottom w:w="0" w:type="dxa"/>
            <w:right w:w="108" w:type="dxa"/>
          </w:tblCellMar>
        </w:tblPrEx>
        <w:trPr>
          <w:trHeight w:val="48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序号</w:t>
            </w: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听课日期</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听课时间</w:t>
            </w: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班级</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课程名称</w:t>
            </w: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任课教师</w:t>
            </w: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听课地点</w:t>
            </w: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r>
        <w:tblPrEx>
          <w:tblCellMar>
            <w:top w:w="0" w:type="dxa"/>
            <w:left w:w="108" w:type="dxa"/>
            <w:bottom w:w="0" w:type="dxa"/>
            <w:right w:w="108" w:type="dxa"/>
          </w:tblCellMar>
        </w:tblPrEx>
        <w:trPr>
          <w:trHeight w:val="510" w:hRule="atLeast"/>
          <w:jc w:val="center"/>
        </w:trPr>
        <w:tc>
          <w:tcPr>
            <w:tcW w:w="54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1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24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0"/>
                <w:szCs w:val="20"/>
              </w:rPr>
            </w:pPr>
          </w:p>
        </w:tc>
      </w:tr>
    </w:tbl>
    <w:p>
      <w:pPr>
        <w:pageBreakBefore w:val="0"/>
        <w:topLinePunct w:val="0"/>
        <w:bidi w:val="0"/>
        <w:outlineLvl w:val="9"/>
        <w:rPr>
          <w:rFonts w:eastAsia="仿宋"/>
        </w:rPr>
      </w:pPr>
    </w:p>
    <w:p>
      <w:pPr>
        <w:pageBreakBefore w:val="0"/>
        <w:topLinePunct w:val="0"/>
        <w:bidi w:val="0"/>
        <w:spacing w:line="360" w:lineRule="auto"/>
        <w:outlineLvl w:val="9"/>
        <w:rPr>
          <w:rFonts w:eastAsia="仿宋"/>
          <w:kern w:val="0"/>
          <w:sz w:val="24"/>
        </w:rPr>
      </w:pPr>
      <w:r>
        <w:rPr>
          <w:rFonts w:eastAsia="仿宋"/>
          <w:kern w:val="0"/>
          <w:sz w:val="24"/>
        </w:rPr>
        <w:t>教研室主任审核：</w:t>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听课教师签字</w:t>
      </w:r>
    </w:p>
    <w:p>
      <w:pPr>
        <w:pageBreakBefore w:val="0"/>
        <w:topLinePunct w:val="0"/>
        <w:bidi w:val="0"/>
        <w:spacing w:line="360" w:lineRule="auto"/>
        <w:outlineLvl w:val="9"/>
        <w:rPr>
          <w:rFonts w:eastAsia="仿宋"/>
          <w:kern w:val="0"/>
          <w:sz w:val="24"/>
        </w:rPr>
      </w:pPr>
      <w:r>
        <w:rPr>
          <w:rFonts w:eastAsia="仿宋"/>
          <w:kern w:val="0"/>
          <w:sz w:val="24"/>
        </w:rPr>
        <w:t>日期：</w:t>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ab/>
      </w:r>
      <w:r>
        <w:rPr>
          <w:rFonts w:eastAsia="仿宋"/>
          <w:kern w:val="0"/>
          <w:sz w:val="24"/>
        </w:rPr>
        <w:t>日期：</w:t>
      </w:r>
    </w:p>
    <w:p>
      <w:pPr>
        <w:pageBreakBefore w:val="0"/>
        <w:topLinePunct w:val="0"/>
        <w:bidi w:val="0"/>
        <w:spacing w:line="360" w:lineRule="auto"/>
        <w:jc w:val="left"/>
        <w:outlineLvl w:val="9"/>
        <w:rPr>
          <w:rFonts w:eastAsia="仿宋"/>
          <w:color w:val="000000"/>
          <w:sz w:val="24"/>
        </w:rPr>
      </w:pPr>
      <w:r>
        <w:rPr>
          <w:rFonts w:eastAsia="仿宋"/>
          <w:b/>
          <w:sz w:val="30"/>
          <w:szCs w:val="30"/>
        </w:rPr>
        <w:br w:type="page"/>
      </w:r>
      <w:r>
        <w:rPr>
          <w:rFonts w:eastAsia="仿宋"/>
          <w:color w:val="000000"/>
          <w:sz w:val="24"/>
        </w:rPr>
        <w:t xml:space="preserve"> </w:t>
      </w:r>
    </w:p>
    <w:p>
      <w:pPr>
        <w:pageBreakBefore w:val="0"/>
        <w:topLinePunct w:val="0"/>
        <w:bidi w:val="0"/>
        <w:spacing w:after="156" w:afterLines="50"/>
        <w:jc w:val="center"/>
        <w:outlineLvl w:val="9"/>
        <w:rPr>
          <w:rFonts w:eastAsia="仿宋"/>
          <w:sz w:val="28"/>
          <w:szCs w:val="28"/>
        </w:rPr>
      </w:pPr>
      <w:r>
        <w:rPr>
          <w:rFonts w:eastAsia="仿宋"/>
          <w:sz w:val="28"/>
          <w:szCs w:val="28"/>
        </w:rPr>
        <w:t>听课记录表</w:t>
      </w:r>
    </w:p>
    <w:tbl>
      <w:tblPr>
        <w:tblStyle w:val="37"/>
        <w:tblW w:w="9570" w:type="dxa"/>
        <w:jc w:val="center"/>
        <w:tblLayout w:type="fixed"/>
        <w:tblCellMar>
          <w:top w:w="0" w:type="dxa"/>
          <w:left w:w="108" w:type="dxa"/>
          <w:bottom w:w="0" w:type="dxa"/>
          <w:right w:w="108" w:type="dxa"/>
        </w:tblCellMar>
      </w:tblPr>
      <w:tblGrid>
        <w:gridCol w:w="709"/>
        <w:gridCol w:w="1644"/>
        <w:gridCol w:w="708"/>
        <w:gridCol w:w="802"/>
        <w:gridCol w:w="709"/>
        <w:gridCol w:w="757"/>
        <w:gridCol w:w="709"/>
        <w:gridCol w:w="627"/>
        <w:gridCol w:w="753"/>
        <w:gridCol w:w="709"/>
        <w:gridCol w:w="709"/>
        <w:gridCol w:w="734"/>
      </w:tblGrid>
      <w:tr>
        <w:tblPrEx>
          <w:tblCellMar>
            <w:top w:w="0" w:type="dxa"/>
            <w:left w:w="108" w:type="dxa"/>
            <w:bottom w:w="0" w:type="dxa"/>
            <w:right w:w="108" w:type="dxa"/>
          </w:tblCellMar>
        </w:tblPrEx>
        <w:trPr>
          <w:trHeight w:val="480" w:hRule="atLeast"/>
          <w:jc w:val="center"/>
        </w:trPr>
        <w:tc>
          <w:tcPr>
            <w:tcW w:w="709" w:type="dxa"/>
            <w:tcBorders>
              <w:top w:val="double" w:color="auto" w:sz="6" w:space="0"/>
              <w:left w:val="double" w:color="auto" w:sz="6" w:space="0"/>
              <w:bottom w:val="single" w:color="auto" w:sz="4" w:space="0"/>
              <w:right w:val="single" w:color="000000"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课程名称</w:t>
            </w:r>
          </w:p>
        </w:tc>
        <w:tc>
          <w:tcPr>
            <w:tcW w:w="3863" w:type="dxa"/>
            <w:gridSpan w:val="4"/>
            <w:tcBorders>
              <w:top w:val="double" w:color="auto" w:sz="6" w:space="0"/>
              <w:left w:val="nil"/>
              <w:bottom w:val="single" w:color="auto" w:sz="4" w:space="0"/>
              <w:right w:val="single" w:color="000000" w:sz="4" w:space="0"/>
            </w:tcBorders>
            <w:noWrap w:val="0"/>
            <w:vAlign w:val="center"/>
          </w:tcPr>
          <w:p>
            <w:pPr>
              <w:pageBreakBefore w:val="0"/>
              <w:widowControl/>
              <w:topLinePunct w:val="0"/>
              <w:bidi w:val="0"/>
              <w:jc w:val="center"/>
              <w:outlineLvl w:val="9"/>
              <w:rPr>
                <w:rFonts w:eastAsia="仿宋"/>
                <w:kern w:val="0"/>
                <w:sz w:val="24"/>
              </w:rPr>
            </w:pPr>
          </w:p>
        </w:tc>
        <w:tc>
          <w:tcPr>
            <w:tcW w:w="1466" w:type="dxa"/>
            <w:gridSpan w:val="2"/>
            <w:tcBorders>
              <w:top w:val="double" w:color="auto" w:sz="6" w:space="0"/>
              <w:left w:val="nil"/>
              <w:bottom w:val="single" w:color="auto" w:sz="4" w:space="0"/>
              <w:right w:val="single" w:color="000000"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任课教师</w:t>
            </w:r>
          </w:p>
        </w:tc>
        <w:tc>
          <w:tcPr>
            <w:tcW w:w="1380" w:type="dxa"/>
            <w:gridSpan w:val="2"/>
            <w:tcBorders>
              <w:top w:val="double" w:color="auto" w:sz="6" w:space="0"/>
              <w:left w:val="nil"/>
              <w:bottom w:val="single" w:color="auto" w:sz="4" w:space="0"/>
              <w:right w:val="single" w:color="000000" w:sz="4" w:space="0"/>
            </w:tcBorders>
            <w:noWrap w:val="0"/>
            <w:vAlign w:val="center"/>
          </w:tcPr>
          <w:p>
            <w:pPr>
              <w:pageBreakBefore w:val="0"/>
              <w:widowControl/>
              <w:topLinePunct w:val="0"/>
              <w:bidi w:val="0"/>
              <w:jc w:val="center"/>
              <w:outlineLvl w:val="9"/>
              <w:rPr>
                <w:rFonts w:eastAsia="仿宋"/>
                <w:kern w:val="0"/>
                <w:sz w:val="24"/>
              </w:rPr>
            </w:pPr>
          </w:p>
        </w:tc>
        <w:tc>
          <w:tcPr>
            <w:tcW w:w="709" w:type="dxa"/>
            <w:tcBorders>
              <w:top w:val="double" w:color="auto" w:sz="6"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职称</w:t>
            </w:r>
          </w:p>
        </w:tc>
        <w:tc>
          <w:tcPr>
            <w:tcW w:w="1443" w:type="dxa"/>
            <w:gridSpan w:val="2"/>
            <w:tcBorders>
              <w:top w:val="double" w:color="auto" w:sz="6" w:space="0"/>
              <w:left w:val="nil"/>
              <w:bottom w:val="single" w:color="auto" w:sz="4" w:space="0"/>
              <w:right w:val="double" w:color="000000" w:sz="6" w:space="0"/>
            </w:tcBorders>
            <w:noWrap w:val="0"/>
            <w:vAlign w:val="center"/>
          </w:tcPr>
          <w:p>
            <w:pPr>
              <w:pageBreakBefore w:val="0"/>
              <w:widowControl/>
              <w:topLinePunct w:val="0"/>
              <w:bidi w:val="0"/>
              <w:jc w:val="center"/>
              <w:outlineLvl w:val="9"/>
              <w:rPr>
                <w:rFonts w:eastAsia="仿宋"/>
                <w:kern w:val="0"/>
                <w:sz w:val="24"/>
              </w:rPr>
            </w:pPr>
          </w:p>
        </w:tc>
      </w:tr>
      <w:tr>
        <w:tblPrEx>
          <w:tblCellMar>
            <w:top w:w="0" w:type="dxa"/>
            <w:left w:w="108" w:type="dxa"/>
            <w:bottom w:w="0" w:type="dxa"/>
            <w:right w:w="108" w:type="dxa"/>
          </w:tblCellMar>
        </w:tblPrEx>
        <w:trPr>
          <w:trHeight w:val="480" w:hRule="atLeast"/>
          <w:jc w:val="center"/>
        </w:trPr>
        <w:tc>
          <w:tcPr>
            <w:tcW w:w="709" w:type="dxa"/>
            <w:tcBorders>
              <w:top w:val="nil"/>
              <w:left w:val="double" w:color="auto" w:sz="6"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教学单位</w:t>
            </w:r>
          </w:p>
        </w:tc>
        <w:tc>
          <w:tcPr>
            <w:tcW w:w="3154" w:type="dxa"/>
            <w:gridSpan w:val="3"/>
            <w:tcBorders>
              <w:top w:val="single" w:color="auto" w:sz="4" w:space="0"/>
              <w:left w:val="nil"/>
              <w:bottom w:val="single" w:color="auto" w:sz="4" w:space="0"/>
              <w:right w:val="single" w:color="000000" w:sz="4" w:space="0"/>
            </w:tcBorders>
            <w:noWrap w:val="0"/>
            <w:vAlign w:val="center"/>
          </w:tcPr>
          <w:p>
            <w:pPr>
              <w:pageBreakBefore w:val="0"/>
              <w:widowControl/>
              <w:topLinePunct w:val="0"/>
              <w:bidi w:val="0"/>
              <w:jc w:val="center"/>
              <w:outlineLvl w:val="9"/>
              <w:rPr>
                <w:rFonts w:eastAsia="仿宋"/>
                <w:kern w:val="0"/>
                <w:sz w:val="24"/>
              </w:rPr>
            </w:pPr>
          </w:p>
        </w:tc>
        <w:tc>
          <w:tcPr>
            <w:tcW w:w="709" w:type="dxa"/>
            <w:tcBorders>
              <w:top w:val="single" w:color="auto" w:sz="4" w:space="0"/>
              <w:left w:val="nil"/>
              <w:bottom w:val="single" w:color="auto" w:sz="4" w:space="0"/>
              <w:right w:val="single" w:color="000000"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专业</w:t>
            </w:r>
          </w:p>
        </w:tc>
        <w:tc>
          <w:tcPr>
            <w:tcW w:w="2846" w:type="dxa"/>
            <w:gridSpan w:val="4"/>
            <w:tcBorders>
              <w:top w:val="nil"/>
              <w:left w:val="nil"/>
              <w:bottom w:val="single" w:color="auto" w:sz="4" w:space="0"/>
              <w:right w:val="single" w:color="000000" w:sz="4" w:space="0"/>
            </w:tcBorders>
            <w:noWrap w:val="0"/>
            <w:vAlign w:val="center"/>
          </w:tcPr>
          <w:p>
            <w:pPr>
              <w:pageBreakBefore w:val="0"/>
              <w:widowControl/>
              <w:topLinePunct w:val="0"/>
              <w:bidi w:val="0"/>
              <w:jc w:val="center"/>
              <w:outlineLvl w:val="9"/>
              <w:rPr>
                <w:rFonts w:eastAsia="仿宋"/>
                <w:kern w:val="0"/>
                <w:sz w:val="24"/>
              </w:rPr>
            </w:pPr>
          </w:p>
        </w:tc>
        <w:tc>
          <w:tcPr>
            <w:tcW w:w="1418" w:type="dxa"/>
            <w:gridSpan w:val="2"/>
            <w:tcBorders>
              <w:top w:val="single" w:color="auto" w:sz="4" w:space="0"/>
              <w:left w:val="nil"/>
              <w:bottom w:val="single" w:color="auto" w:sz="4" w:space="0"/>
              <w:right w:val="single" w:color="000000"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上课地点</w:t>
            </w:r>
          </w:p>
        </w:tc>
        <w:tc>
          <w:tcPr>
            <w:tcW w:w="734" w:type="dxa"/>
            <w:tcBorders>
              <w:top w:val="single" w:color="auto" w:sz="4" w:space="0"/>
              <w:left w:val="nil"/>
              <w:bottom w:val="single" w:color="auto" w:sz="4" w:space="0"/>
              <w:right w:val="double" w:color="000000" w:sz="6" w:space="0"/>
            </w:tcBorders>
            <w:noWrap w:val="0"/>
            <w:vAlign w:val="center"/>
          </w:tcPr>
          <w:p>
            <w:pPr>
              <w:pageBreakBefore w:val="0"/>
              <w:widowControl/>
              <w:topLinePunct w:val="0"/>
              <w:bidi w:val="0"/>
              <w:jc w:val="center"/>
              <w:outlineLvl w:val="9"/>
              <w:rPr>
                <w:rFonts w:eastAsia="仿宋"/>
                <w:kern w:val="0"/>
                <w:sz w:val="24"/>
              </w:rPr>
            </w:pPr>
          </w:p>
        </w:tc>
      </w:tr>
      <w:tr>
        <w:tblPrEx>
          <w:tblCellMar>
            <w:top w:w="0" w:type="dxa"/>
            <w:left w:w="108" w:type="dxa"/>
            <w:bottom w:w="0" w:type="dxa"/>
            <w:right w:w="108" w:type="dxa"/>
          </w:tblCellMar>
        </w:tblPrEx>
        <w:trPr>
          <w:trHeight w:val="480" w:hRule="atLeast"/>
          <w:jc w:val="center"/>
        </w:trPr>
        <w:tc>
          <w:tcPr>
            <w:tcW w:w="709" w:type="dxa"/>
            <w:tcBorders>
              <w:top w:val="nil"/>
              <w:left w:val="double" w:color="auto" w:sz="6"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班级</w:t>
            </w:r>
          </w:p>
        </w:tc>
        <w:tc>
          <w:tcPr>
            <w:tcW w:w="1644" w:type="dxa"/>
            <w:tcBorders>
              <w:top w:val="single" w:color="auto" w:sz="4" w:space="0"/>
              <w:left w:val="nil"/>
              <w:bottom w:val="single" w:color="auto" w:sz="4" w:space="0"/>
              <w:right w:val="single" w:color="000000" w:sz="4" w:space="0"/>
            </w:tcBorders>
            <w:noWrap w:val="0"/>
            <w:vAlign w:val="center"/>
          </w:tcPr>
          <w:p>
            <w:pPr>
              <w:pageBreakBefore w:val="0"/>
              <w:widowControl/>
              <w:topLinePunct w:val="0"/>
              <w:bidi w:val="0"/>
              <w:jc w:val="center"/>
              <w:outlineLvl w:val="9"/>
              <w:rPr>
                <w:rFonts w:eastAsia="仿宋"/>
                <w:kern w:val="0"/>
                <w:sz w:val="24"/>
              </w:rPr>
            </w:pPr>
          </w:p>
        </w:tc>
        <w:tc>
          <w:tcPr>
            <w:tcW w:w="708" w:type="dxa"/>
            <w:tcBorders>
              <w:top w:val="single" w:color="auto" w:sz="4" w:space="0"/>
              <w:left w:val="nil"/>
              <w:bottom w:val="single" w:color="auto" w:sz="4" w:space="0"/>
              <w:right w:val="single" w:color="000000"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应到</w:t>
            </w:r>
          </w:p>
        </w:tc>
        <w:tc>
          <w:tcPr>
            <w:tcW w:w="802" w:type="dxa"/>
            <w:tcBorders>
              <w:top w:val="single" w:color="auto" w:sz="4" w:space="0"/>
              <w:left w:val="nil"/>
              <w:bottom w:val="single" w:color="auto" w:sz="4" w:space="0"/>
              <w:right w:val="single" w:color="000000" w:sz="4" w:space="0"/>
            </w:tcBorders>
            <w:noWrap w:val="0"/>
            <w:vAlign w:val="center"/>
          </w:tcPr>
          <w:p>
            <w:pPr>
              <w:pageBreakBefore w:val="0"/>
              <w:widowControl/>
              <w:topLinePunct w:val="0"/>
              <w:bidi w:val="0"/>
              <w:jc w:val="center"/>
              <w:outlineLvl w:val="9"/>
              <w:rPr>
                <w:rFonts w:eastAsia="仿宋"/>
                <w:kern w:val="0"/>
                <w:sz w:val="24"/>
              </w:rPr>
            </w:pPr>
          </w:p>
        </w:tc>
        <w:tc>
          <w:tcPr>
            <w:tcW w:w="70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迟到</w:t>
            </w:r>
          </w:p>
        </w:tc>
        <w:tc>
          <w:tcPr>
            <w:tcW w:w="75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p>
        </w:tc>
        <w:tc>
          <w:tcPr>
            <w:tcW w:w="709" w:type="dxa"/>
            <w:tcBorders>
              <w:top w:val="nil"/>
              <w:left w:val="nil"/>
              <w:bottom w:val="single" w:color="auto" w:sz="4" w:space="0"/>
              <w:right w:val="nil"/>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早退</w:t>
            </w:r>
          </w:p>
        </w:tc>
        <w:tc>
          <w:tcPr>
            <w:tcW w:w="627"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p>
        </w:tc>
        <w:tc>
          <w:tcPr>
            <w:tcW w:w="753"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缺席</w:t>
            </w:r>
          </w:p>
        </w:tc>
        <w:tc>
          <w:tcPr>
            <w:tcW w:w="70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p>
        </w:tc>
        <w:tc>
          <w:tcPr>
            <w:tcW w:w="70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实到</w:t>
            </w:r>
          </w:p>
        </w:tc>
        <w:tc>
          <w:tcPr>
            <w:tcW w:w="734" w:type="dxa"/>
            <w:tcBorders>
              <w:top w:val="nil"/>
              <w:left w:val="nil"/>
              <w:bottom w:val="single" w:color="auto" w:sz="4" w:space="0"/>
              <w:right w:val="double" w:color="auto" w:sz="6" w:space="0"/>
            </w:tcBorders>
            <w:noWrap w:val="0"/>
            <w:vAlign w:val="center"/>
          </w:tcPr>
          <w:p>
            <w:pPr>
              <w:pageBreakBefore w:val="0"/>
              <w:widowControl/>
              <w:topLinePunct w:val="0"/>
              <w:bidi w:val="0"/>
              <w:jc w:val="center"/>
              <w:outlineLvl w:val="9"/>
              <w:rPr>
                <w:rFonts w:eastAsia="仿宋"/>
                <w:kern w:val="0"/>
                <w:sz w:val="24"/>
              </w:rPr>
            </w:pPr>
          </w:p>
        </w:tc>
      </w:tr>
      <w:tr>
        <w:tblPrEx>
          <w:tblCellMar>
            <w:top w:w="0" w:type="dxa"/>
            <w:left w:w="108" w:type="dxa"/>
            <w:bottom w:w="0" w:type="dxa"/>
            <w:right w:w="108" w:type="dxa"/>
          </w:tblCellMar>
        </w:tblPrEx>
        <w:trPr>
          <w:trHeight w:val="480" w:hRule="atLeast"/>
          <w:jc w:val="center"/>
        </w:trPr>
        <w:tc>
          <w:tcPr>
            <w:tcW w:w="3863" w:type="dxa"/>
            <w:gridSpan w:val="4"/>
            <w:tcBorders>
              <w:top w:val="single" w:color="auto" w:sz="4" w:space="0"/>
              <w:left w:val="double" w:color="auto" w:sz="6" w:space="0"/>
              <w:bottom w:val="single" w:color="auto" w:sz="4" w:space="0"/>
              <w:right w:val="nil"/>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听课人员（√）  校部□   学院□</w:t>
            </w:r>
          </w:p>
        </w:tc>
        <w:tc>
          <w:tcPr>
            <w:tcW w:w="709" w:type="dxa"/>
            <w:tcBorders>
              <w:top w:val="nil"/>
              <w:left w:val="single" w:color="auto" w:sz="4" w:space="0"/>
              <w:bottom w:val="single" w:color="auto" w:sz="4" w:space="0"/>
              <w:right w:val="nil"/>
            </w:tcBorders>
            <w:noWrap w:val="0"/>
            <w:vAlign w:val="center"/>
          </w:tcPr>
          <w:p>
            <w:pPr>
              <w:pageBreakBefore w:val="0"/>
              <w:widowControl/>
              <w:topLinePunct w:val="0"/>
              <w:bidi w:val="0"/>
              <w:jc w:val="center"/>
              <w:outlineLvl w:val="9"/>
              <w:rPr>
                <w:rFonts w:eastAsia="仿宋"/>
                <w:kern w:val="0"/>
                <w:sz w:val="24"/>
              </w:rPr>
            </w:pPr>
          </w:p>
        </w:tc>
        <w:tc>
          <w:tcPr>
            <w:tcW w:w="4998" w:type="dxa"/>
            <w:gridSpan w:val="7"/>
            <w:tcBorders>
              <w:top w:val="nil"/>
              <w:left w:val="nil"/>
              <w:bottom w:val="single" w:color="auto" w:sz="4" w:space="0"/>
              <w:right w:val="double" w:color="auto" w:sz="6" w:space="0"/>
            </w:tcBorders>
            <w:noWrap w:val="0"/>
            <w:vAlign w:val="center"/>
          </w:tcPr>
          <w:p>
            <w:pPr>
              <w:pageBreakBefore w:val="0"/>
              <w:widowControl/>
              <w:topLinePunct w:val="0"/>
              <w:bidi w:val="0"/>
              <w:jc w:val="center"/>
              <w:outlineLvl w:val="9"/>
              <w:rPr>
                <w:rFonts w:eastAsia="仿宋"/>
                <w:kern w:val="0"/>
                <w:sz w:val="24"/>
              </w:rPr>
            </w:pPr>
            <w:r>
              <w:rPr>
                <w:rFonts w:eastAsia="仿宋"/>
                <w:kern w:val="0"/>
                <w:sz w:val="24"/>
              </w:rPr>
              <w:t>听课日期         第      节至第     节</w:t>
            </w:r>
          </w:p>
        </w:tc>
      </w:tr>
      <w:tr>
        <w:tblPrEx>
          <w:tblCellMar>
            <w:top w:w="0" w:type="dxa"/>
            <w:left w:w="108" w:type="dxa"/>
            <w:bottom w:w="0" w:type="dxa"/>
            <w:right w:w="108" w:type="dxa"/>
          </w:tblCellMar>
        </w:tblPrEx>
        <w:trPr>
          <w:trHeight w:val="10080" w:hRule="atLeast"/>
          <w:jc w:val="center"/>
        </w:trPr>
        <w:tc>
          <w:tcPr>
            <w:tcW w:w="9570" w:type="dxa"/>
            <w:gridSpan w:val="12"/>
            <w:tcBorders>
              <w:top w:val="single" w:color="auto" w:sz="4" w:space="0"/>
              <w:left w:val="double" w:color="auto" w:sz="6" w:space="0"/>
              <w:bottom w:val="double" w:color="auto" w:sz="6" w:space="0"/>
              <w:right w:val="double" w:color="000000" w:sz="6" w:space="0"/>
            </w:tcBorders>
            <w:noWrap w:val="0"/>
            <w:vAlign w:val="top"/>
          </w:tcPr>
          <w:p>
            <w:pPr>
              <w:pageBreakBefore w:val="0"/>
              <w:widowControl/>
              <w:topLinePunct w:val="0"/>
              <w:bidi w:val="0"/>
              <w:spacing w:before="156" w:beforeLines="50"/>
              <w:jc w:val="left"/>
              <w:outlineLvl w:val="9"/>
              <w:rPr>
                <w:rFonts w:eastAsia="仿宋"/>
                <w:kern w:val="0"/>
                <w:sz w:val="24"/>
              </w:rPr>
            </w:pPr>
            <w:r>
              <w:rPr>
                <w:rFonts w:eastAsia="仿宋"/>
                <w:kern w:val="0"/>
                <w:sz w:val="24"/>
              </w:rPr>
              <w:t>授课内容：</w:t>
            </w:r>
          </w:p>
          <w:p>
            <w:pPr>
              <w:pageBreakBefore w:val="0"/>
              <w:widowControl/>
              <w:topLinePunct w:val="0"/>
              <w:bidi w:val="0"/>
              <w:jc w:val="left"/>
              <w:outlineLvl w:val="9"/>
              <w:rPr>
                <w:rFonts w:eastAsia="仿宋"/>
                <w:kern w:val="0"/>
                <w:szCs w:val="21"/>
              </w:rPr>
            </w:pPr>
          </w:p>
        </w:tc>
      </w:tr>
    </w:tbl>
    <w:p>
      <w:pPr>
        <w:pageBreakBefore w:val="0"/>
        <w:topLinePunct w:val="0"/>
        <w:bidi w:val="0"/>
        <w:outlineLvl w:val="9"/>
        <w:rPr>
          <w:rFonts w:eastAsia="仿宋"/>
        </w:rPr>
      </w:pPr>
      <w:r>
        <w:rPr>
          <w:rFonts w:eastAsia="仿宋"/>
        </w:rPr>
        <w:br w:type="page"/>
      </w:r>
    </w:p>
    <w:tbl>
      <w:tblPr>
        <w:tblStyle w:val="37"/>
        <w:tblW w:w="9621" w:type="dxa"/>
        <w:jc w:val="center"/>
        <w:tblBorders>
          <w:top w:val="double" w:color="auto" w:sz="4" w:space="0"/>
          <w:left w:val="double" w:color="auto" w:sz="4" w:space="0"/>
          <w:bottom w:val="double" w:color="auto" w:sz="4" w:space="0"/>
          <w:right w:val="double" w:color="auto" w:sz="4" w:space="0"/>
          <w:insideH w:val="single" w:color="auto" w:sz="4" w:space="0"/>
          <w:insideV w:val="double" w:color="auto" w:sz="4" w:space="0"/>
        </w:tblBorders>
        <w:tblLayout w:type="fixed"/>
        <w:tblCellMar>
          <w:top w:w="0" w:type="dxa"/>
          <w:left w:w="108" w:type="dxa"/>
          <w:bottom w:w="0" w:type="dxa"/>
          <w:right w:w="108" w:type="dxa"/>
        </w:tblCellMar>
      </w:tblPr>
      <w:tblGrid>
        <w:gridCol w:w="9621"/>
      </w:tblGrid>
      <w:tr>
        <w:tblPrEx>
          <w:tblBorders>
            <w:top w:val="double" w:color="auto" w:sz="4" w:space="0"/>
            <w:left w:val="double" w:color="auto" w:sz="4" w:space="0"/>
            <w:bottom w:val="double" w:color="auto" w:sz="4" w:space="0"/>
            <w:right w:val="double" w:color="auto" w:sz="4" w:space="0"/>
            <w:insideH w:val="single" w:color="auto" w:sz="4" w:space="0"/>
            <w:insideV w:val="double" w:color="auto" w:sz="4" w:space="0"/>
          </w:tblBorders>
          <w:tblCellMar>
            <w:top w:w="0" w:type="dxa"/>
            <w:left w:w="108" w:type="dxa"/>
            <w:bottom w:w="0" w:type="dxa"/>
            <w:right w:w="108" w:type="dxa"/>
          </w:tblCellMar>
        </w:tblPrEx>
        <w:trPr>
          <w:trHeight w:val="6382" w:hRule="atLeast"/>
          <w:jc w:val="center"/>
        </w:trPr>
        <w:tc>
          <w:tcPr>
            <w:tcW w:w="9621" w:type="dxa"/>
            <w:noWrap w:val="0"/>
            <w:vAlign w:val="top"/>
          </w:tcPr>
          <w:p>
            <w:pPr>
              <w:pageBreakBefore w:val="0"/>
              <w:topLinePunct w:val="0"/>
              <w:bidi w:val="0"/>
              <w:spacing w:before="156" w:beforeLines="50"/>
              <w:jc w:val="left"/>
              <w:outlineLvl w:val="9"/>
              <w:rPr>
                <w:rFonts w:eastAsia="仿宋"/>
              </w:rPr>
            </w:pPr>
            <w:r>
              <w:rPr>
                <w:rFonts w:eastAsia="仿宋"/>
                <w:kern w:val="0"/>
                <w:sz w:val="24"/>
              </w:rPr>
              <w:t>意见和建议：</w:t>
            </w:r>
          </w:p>
        </w:tc>
      </w:tr>
      <w:tr>
        <w:tblPrEx>
          <w:tblBorders>
            <w:top w:val="double" w:color="auto" w:sz="4" w:space="0"/>
            <w:left w:val="double" w:color="auto" w:sz="4" w:space="0"/>
            <w:bottom w:val="double" w:color="auto" w:sz="4" w:space="0"/>
            <w:right w:val="double" w:color="auto" w:sz="4" w:space="0"/>
            <w:insideH w:val="single" w:color="auto" w:sz="4" w:space="0"/>
            <w:insideV w:val="double" w:color="auto" w:sz="4" w:space="0"/>
          </w:tblBorders>
          <w:tblCellMar>
            <w:top w:w="0" w:type="dxa"/>
            <w:left w:w="108" w:type="dxa"/>
            <w:bottom w:w="0" w:type="dxa"/>
            <w:right w:w="108" w:type="dxa"/>
          </w:tblCellMar>
        </w:tblPrEx>
        <w:trPr>
          <w:trHeight w:val="5091" w:hRule="atLeast"/>
          <w:jc w:val="center"/>
        </w:trPr>
        <w:tc>
          <w:tcPr>
            <w:tcW w:w="9621" w:type="dxa"/>
            <w:noWrap w:val="0"/>
            <w:vAlign w:val="top"/>
          </w:tcPr>
          <w:p>
            <w:pPr>
              <w:pageBreakBefore w:val="0"/>
              <w:widowControl/>
              <w:topLinePunct w:val="0"/>
              <w:bidi w:val="0"/>
              <w:adjustRightInd w:val="0"/>
              <w:snapToGrid w:val="0"/>
              <w:outlineLvl w:val="9"/>
              <w:rPr>
                <w:rFonts w:eastAsia="仿宋"/>
                <w:kern w:val="0"/>
                <w:szCs w:val="21"/>
              </w:rPr>
            </w:pPr>
          </w:p>
          <w:p>
            <w:pPr>
              <w:pageBreakBefore w:val="0"/>
              <w:widowControl/>
              <w:topLinePunct w:val="0"/>
              <w:bidi w:val="0"/>
              <w:adjustRightInd w:val="0"/>
              <w:snapToGrid w:val="0"/>
              <w:outlineLvl w:val="9"/>
              <w:rPr>
                <w:rFonts w:eastAsia="仿宋"/>
                <w:kern w:val="0"/>
                <w:sz w:val="24"/>
              </w:rPr>
            </w:pPr>
            <w:r>
              <w:rPr>
                <w:rFonts w:eastAsia="仿宋"/>
                <w:kern w:val="0"/>
                <w:sz w:val="24"/>
              </w:rPr>
              <w:t>向任课老师反馈的情况：</w:t>
            </w:r>
          </w:p>
        </w:tc>
      </w:tr>
    </w:tbl>
    <w:p>
      <w:pPr>
        <w:pageBreakBefore w:val="0"/>
        <w:topLinePunct w:val="0"/>
        <w:bidi w:val="0"/>
        <w:outlineLvl w:val="9"/>
        <w:rPr>
          <w:rFonts w:eastAsia="仿宋"/>
        </w:rPr>
      </w:pPr>
    </w:p>
    <w:tbl>
      <w:tblPr>
        <w:tblStyle w:val="37"/>
        <w:tblW w:w="9533" w:type="dxa"/>
        <w:jc w:val="center"/>
        <w:tblLayout w:type="fixed"/>
        <w:tblCellMar>
          <w:top w:w="0" w:type="dxa"/>
          <w:left w:w="108" w:type="dxa"/>
          <w:bottom w:w="0" w:type="dxa"/>
          <w:right w:w="108" w:type="dxa"/>
        </w:tblCellMar>
      </w:tblPr>
      <w:tblGrid>
        <w:gridCol w:w="9533"/>
      </w:tblGrid>
      <w:tr>
        <w:tblPrEx>
          <w:tblCellMar>
            <w:top w:w="0" w:type="dxa"/>
            <w:left w:w="108" w:type="dxa"/>
            <w:bottom w:w="0" w:type="dxa"/>
            <w:right w:w="108" w:type="dxa"/>
          </w:tblCellMar>
        </w:tblPrEx>
        <w:trPr>
          <w:trHeight w:val="657" w:hRule="atLeast"/>
          <w:jc w:val="center"/>
        </w:trPr>
        <w:tc>
          <w:tcPr>
            <w:tcW w:w="9533" w:type="dxa"/>
            <w:tcBorders>
              <w:top w:val="nil"/>
              <w:left w:val="nil"/>
              <w:bottom w:val="nil"/>
            </w:tcBorders>
            <w:noWrap w:val="0"/>
            <w:vAlign w:val="center"/>
          </w:tcPr>
          <w:p>
            <w:pPr>
              <w:pageBreakBefore w:val="0"/>
              <w:widowControl/>
              <w:topLinePunct w:val="0"/>
              <w:bidi w:val="0"/>
              <w:jc w:val="left"/>
              <w:outlineLvl w:val="9"/>
              <w:rPr>
                <w:rFonts w:eastAsia="仿宋"/>
                <w:kern w:val="0"/>
                <w:sz w:val="24"/>
              </w:rPr>
            </w:pPr>
          </w:p>
        </w:tc>
      </w:tr>
      <w:tr>
        <w:tblPrEx>
          <w:tblCellMar>
            <w:top w:w="0" w:type="dxa"/>
            <w:left w:w="108" w:type="dxa"/>
            <w:bottom w:w="0" w:type="dxa"/>
            <w:right w:w="108" w:type="dxa"/>
          </w:tblCellMar>
        </w:tblPrEx>
        <w:trPr>
          <w:trHeight w:val="390" w:hRule="atLeast"/>
          <w:jc w:val="center"/>
        </w:trPr>
        <w:tc>
          <w:tcPr>
            <w:tcW w:w="9533" w:type="dxa"/>
            <w:tcBorders>
              <w:top w:val="nil"/>
              <w:left w:val="nil"/>
              <w:bottom w:val="nil"/>
              <w:right w:val="nil"/>
            </w:tcBorders>
            <w:noWrap w:val="0"/>
            <w:vAlign w:val="bottom"/>
          </w:tcPr>
          <w:p>
            <w:pPr>
              <w:pageBreakBefore w:val="0"/>
              <w:widowControl/>
              <w:topLinePunct w:val="0"/>
              <w:bidi w:val="0"/>
              <w:jc w:val="left"/>
              <w:outlineLvl w:val="9"/>
              <w:rPr>
                <w:rFonts w:eastAsia="仿宋"/>
                <w:kern w:val="0"/>
                <w:szCs w:val="21"/>
              </w:rPr>
            </w:pPr>
            <w:r>
              <w:rPr>
                <w:rFonts w:eastAsia="仿宋"/>
                <w:kern w:val="0"/>
                <w:szCs w:val="21"/>
              </w:rPr>
              <w:t>注：学校领导、学校督导员、职能部门领导听课，此簿教务处留存；各教学单位的听课，此簿本部门留存。</w:t>
            </w:r>
          </w:p>
        </w:tc>
      </w:tr>
    </w:tbl>
    <w:p>
      <w:pPr>
        <w:pageBreakBefore w:val="0"/>
        <w:topLinePunct w:val="0"/>
        <w:bidi w:val="0"/>
        <w:jc w:val="left"/>
        <w:outlineLvl w:val="9"/>
        <w:rPr>
          <w:rFonts w:eastAsia="仿宋"/>
          <w:sz w:val="16"/>
          <w:szCs w:val="16"/>
        </w:rPr>
      </w:pPr>
    </w:p>
    <w:p>
      <w:pPr>
        <w:pageBreakBefore w:val="0"/>
        <w:topLinePunct w:val="0"/>
        <w:bidi w:val="0"/>
        <w:outlineLvl w:val="9"/>
      </w:pPr>
    </w:p>
    <w:p>
      <w:pPr>
        <w:pageBreakBefore w:val="0"/>
        <w:topLinePunct w:val="0"/>
        <w:bidi w:val="0"/>
        <w:ind w:right="-874" w:rightChars="-416"/>
        <w:outlineLvl w:val="9"/>
        <w:rPr>
          <w:rFonts w:hint="eastAsia"/>
          <w:sz w:val="24"/>
        </w:rPr>
      </w:pPr>
      <w:r>
        <w:rPr>
          <w:rFonts w:hint="eastAsia"/>
        </w:rPr>
        <w:br w:type="page"/>
      </w:r>
    </w:p>
    <w:p>
      <w:pPr>
        <w:pageBreakBefore w:val="0"/>
        <w:topLinePunct w:val="0"/>
        <w:bidi w:val="0"/>
        <w:jc w:val="center"/>
        <w:outlineLvl w:val="9"/>
        <w:rPr>
          <w:rFonts w:hint="eastAsia"/>
          <w:sz w:val="24"/>
        </w:rPr>
      </w:pPr>
    </w:p>
    <w:p>
      <w:pPr>
        <w:pageBreakBefore w:val="0"/>
        <w:topLinePunct w:val="0"/>
        <w:bidi w:val="0"/>
        <w:jc w:val="center"/>
        <w:outlineLvl w:val="9"/>
        <w:rPr>
          <w:rFonts w:hint="eastAsia"/>
          <w:sz w:val="24"/>
        </w:rPr>
      </w:pPr>
    </w:p>
    <w:p>
      <w:pPr>
        <w:pageBreakBefore w:val="0"/>
        <w:topLinePunct w:val="0"/>
        <w:bidi w:val="0"/>
        <w:jc w:val="center"/>
        <w:outlineLvl w:val="9"/>
        <w:rPr>
          <w:rFonts w:hint="eastAsia"/>
          <w:sz w:val="24"/>
        </w:rPr>
      </w:pPr>
    </w:p>
    <w:p>
      <w:pPr>
        <w:pageBreakBefore w:val="0"/>
        <w:topLinePunct w:val="0"/>
        <w:bidi w:val="0"/>
        <w:jc w:val="center"/>
        <w:outlineLvl w:val="9"/>
        <w:rPr>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spacing w:before="156" w:beforeLines="50"/>
        <w:jc w:val="center"/>
        <w:outlineLvl w:val="9"/>
        <w:rPr>
          <w:sz w:val="24"/>
        </w:rPr>
      </w:pPr>
    </w:p>
    <w:p>
      <w:pPr>
        <w:pageBreakBefore w:val="0"/>
        <w:topLinePunct w:val="0"/>
        <w:bidi w:val="0"/>
        <w:spacing w:before="156" w:beforeLines="50"/>
        <w:jc w:val="center"/>
        <w:outlineLvl w:val="9"/>
        <w:rPr>
          <w:rFonts w:ascii="仿宋_GB2312" w:eastAsia="仿宋_GB2312"/>
          <w:sz w:val="32"/>
          <w:szCs w:val="32"/>
        </w:rPr>
      </w:pPr>
      <w:r>
        <w:rPr>
          <w:rFonts w:hint="eastAsia" w:ascii="仿宋_GB2312" w:eastAsia="仿宋_GB2312"/>
          <w:color w:val="000000"/>
          <w:kern w:val="0"/>
          <w:sz w:val="32"/>
          <w:szCs w:val="28"/>
        </w:rPr>
        <w:t>沪电信职院〔2019〕</w:t>
      </w:r>
      <w:r>
        <w:rPr>
          <w:rFonts w:hint="eastAsia" w:ascii="仿宋_GB2312" w:eastAsia="仿宋_GB2312"/>
          <w:color w:val="000000"/>
          <w:kern w:val="0"/>
          <w:sz w:val="32"/>
          <w:szCs w:val="28"/>
          <w:lang w:val="en-US" w:eastAsia="zh-CN"/>
        </w:rPr>
        <w:t>53</w:t>
      </w:r>
      <w:r>
        <w:rPr>
          <w:rFonts w:hint="eastAsia" w:ascii="仿宋_GB2312" w:eastAsia="仿宋_GB2312"/>
          <w:color w:val="000000"/>
          <w:kern w:val="0"/>
          <w:sz w:val="32"/>
          <w:szCs w:val="28"/>
        </w:rPr>
        <w:t xml:space="preserve">号  </w:t>
      </w:r>
    </w:p>
    <w:p>
      <w:pPr>
        <w:pageBreakBefore w:val="0"/>
        <w:topLinePunct w:val="0"/>
        <w:bidi w:val="0"/>
        <w:spacing w:line="440" w:lineRule="exact"/>
        <w:outlineLvl w:val="9"/>
        <w:rPr>
          <w:rFonts w:hint="eastAsia" w:ascii="黑体" w:eastAsia="黑体"/>
          <w:color w:val="FF0000"/>
          <w:sz w:val="28"/>
          <w:szCs w:val="28"/>
          <w:u w:val="thick"/>
        </w:rPr>
      </w:pPr>
      <w:r>
        <w:rPr>
          <w:rFonts w:hint="eastAsia" w:ascii="黑体" w:eastAsia="黑体"/>
          <w:color w:val="FF0000"/>
          <w:sz w:val="28"/>
          <w:szCs w:val="28"/>
          <w:u w:val="thick"/>
        </w:rPr>
        <w:t xml:space="preserve">                                                           </w:t>
      </w:r>
    </w:p>
    <w:p>
      <w:pPr>
        <w:pageBreakBefore w:val="0"/>
        <w:topLinePunct w:val="0"/>
        <w:bidi w:val="0"/>
        <w:spacing w:line="560" w:lineRule="exact"/>
        <w:jc w:val="center"/>
        <w:outlineLvl w:val="9"/>
        <w:rPr>
          <w:rFonts w:hint="eastAsia" w:hAnsi="华文中宋" w:eastAsia="华文中宋"/>
          <w:b/>
          <w:kern w:val="0"/>
          <w:sz w:val="36"/>
          <w:szCs w:val="36"/>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b/>
          <w:color w:val="000000"/>
          <w:sz w:val="32"/>
          <w:szCs w:val="32"/>
        </w:rPr>
      </w:pPr>
      <w:bookmarkStart w:id="253" w:name="_Toc32232"/>
      <w:r>
        <w:rPr>
          <w:rFonts w:hint="eastAsia" w:ascii="黑体" w:hAnsi="黑体" w:eastAsia="黑体" w:cs="黑体"/>
          <w:b/>
          <w:kern w:val="0"/>
          <w:sz w:val="36"/>
          <w:szCs w:val="36"/>
        </w:rPr>
        <w:t>关于印发《上海电子信息职业技术学院教学管理规范（修订）》的通知</w:t>
      </w:r>
      <w:bookmarkEnd w:id="253"/>
    </w:p>
    <w:p>
      <w:pPr>
        <w:pageBreakBefore w:val="0"/>
        <w:widowControl/>
        <w:topLinePunct w:val="0"/>
        <w:bidi w:val="0"/>
        <w:adjustRightInd w:val="0"/>
        <w:snapToGrid w:val="0"/>
        <w:spacing w:before="312" w:beforeLines="100"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各教学单位、职能部门： </w:t>
      </w:r>
    </w:p>
    <w:p>
      <w:pPr>
        <w:pageBreakBefore w:val="0"/>
        <w:topLinePunct w:val="0"/>
        <w:bidi w:val="0"/>
        <w:spacing w:line="560" w:lineRule="exact"/>
        <w:ind w:firstLine="645"/>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现将《上海电子信息职业技术学院教学管理规范（修订）》印发给你们，请结合本部门工作实际，认真研究执行。</w:t>
      </w:r>
    </w:p>
    <w:p>
      <w:pPr>
        <w:pageBreakBefore w:val="0"/>
        <w:widowControl/>
        <w:topLinePunct w:val="0"/>
        <w:bidi w:val="0"/>
        <w:adjustRightInd w:val="0"/>
        <w:snapToGrid w:val="0"/>
        <w:spacing w:line="560" w:lineRule="exact"/>
        <w:jc w:val="center"/>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附件：上海电子信息职业技术学院教学管理规范            </w:t>
      </w:r>
    </w:p>
    <w:p>
      <w:pPr>
        <w:pageBreakBefore w:val="0"/>
        <w:topLinePunct w:val="0"/>
        <w:bidi w:val="0"/>
        <w:spacing w:line="560" w:lineRule="exact"/>
        <w:ind w:left="1575" w:leftChars="350" w:hanging="840" w:hangingChars="3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ind w:left="1693" w:leftChars="806" w:firstLine="1120" w:firstLineChars="4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left="1693" w:leftChars="806" w:firstLine="1120" w:firstLineChars="4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left="1693" w:leftChars="806" w:firstLine="1680" w:firstLineChars="6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r>
        <w:rPr>
          <w:rFonts w:hint="eastAsia" w:ascii="仿宋_GB2312" w:hAnsi="仿宋_GB2312" w:eastAsia="仿宋_GB2312" w:cs="仿宋_GB2312"/>
          <w:kern w:val="2"/>
          <w:sz w:val="28"/>
          <w:szCs w:val="28"/>
          <w:highlight w:val="none"/>
          <w:lang w:val="en-US" w:eastAsia="zh-CN" w:bidi="ar-SA"/>
        </w:rPr>
        <w:br w:type="textWrapping"/>
      </w:r>
      <w:r>
        <w:rPr>
          <w:rFonts w:hint="eastAsia" w:ascii="仿宋_GB2312" w:hAnsi="仿宋_GB2312" w:eastAsia="仿宋_GB2312" w:cs="仿宋_GB2312"/>
          <w:kern w:val="2"/>
          <w:sz w:val="28"/>
          <w:szCs w:val="28"/>
          <w:highlight w:val="none"/>
          <w:lang w:val="en-US" w:eastAsia="zh-CN" w:bidi="ar-SA"/>
        </w:rPr>
        <w:t xml:space="preserve">                  2019年4月23日</w:t>
      </w:r>
    </w:p>
    <w:p>
      <w:pPr>
        <w:pageBreakBefore w:val="0"/>
        <w:topLinePunct w:val="0"/>
        <w:bidi w:val="0"/>
        <w:spacing w:line="400" w:lineRule="exact"/>
        <w:jc w:val="center"/>
        <w:outlineLvl w:val="9"/>
        <w:rPr>
          <w:rFonts w:hint="eastAsia" w:ascii="宋体" w:hAnsi="宋体"/>
          <w:b/>
          <w:color w:val="000000"/>
          <w:sz w:val="32"/>
          <w:szCs w:val="32"/>
        </w:rPr>
      </w:pPr>
    </w:p>
    <w:p>
      <w:pPr>
        <w:pageBreakBefore w:val="0"/>
        <w:topLinePunct w:val="0"/>
        <w:bidi w:val="0"/>
        <w:spacing w:line="400" w:lineRule="exact"/>
        <w:jc w:val="center"/>
        <w:outlineLvl w:val="9"/>
        <w:rPr>
          <w:rFonts w:hint="eastAsia" w:ascii="宋体" w:hAnsi="宋体"/>
          <w:b/>
          <w:color w:val="000000"/>
          <w:sz w:val="32"/>
          <w:szCs w:val="32"/>
        </w:rPr>
      </w:pPr>
    </w:p>
    <w:p>
      <w:pPr>
        <w:pageBreakBefore w:val="0"/>
        <w:topLinePunct w:val="0"/>
        <w:bidi w:val="0"/>
        <w:spacing w:line="400" w:lineRule="exact"/>
        <w:jc w:val="center"/>
        <w:outlineLvl w:val="9"/>
        <w:rPr>
          <w:rFonts w:hint="eastAsia" w:ascii="宋体" w:hAnsi="宋体"/>
          <w:b/>
          <w:color w:val="000000"/>
          <w:sz w:val="32"/>
          <w:szCs w:val="32"/>
        </w:rPr>
      </w:pPr>
    </w:p>
    <w:p>
      <w:pPr>
        <w:pageBreakBefore w:val="0"/>
        <w:topLinePunct w:val="0"/>
        <w:bidi w:val="0"/>
        <w:spacing w:line="560" w:lineRule="exact"/>
        <w:jc w:val="lef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w:t>
      </w:r>
    </w:p>
    <w:p>
      <w:pPr>
        <w:pageBreakBefore w:val="0"/>
        <w:topLinePunct w:val="0"/>
        <w:bidi w:val="0"/>
        <w:spacing w:line="400" w:lineRule="exact"/>
        <w:jc w:val="center"/>
        <w:outlineLvl w:val="9"/>
        <w:rPr>
          <w:rFonts w:hint="eastAsia" w:ascii="黑体" w:hAnsi="黑体" w:eastAsia="黑体" w:cs="黑体"/>
          <w:b/>
          <w:color w:val="000000"/>
          <w:sz w:val="36"/>
          <w:szCs w:val="36"/>
        </w:rPr>
      </w:pPr>
      <w:r>
        <w:rPr>
          <w:rFonts w:hint="eastAsia" w:ascii="黑体" w:hAnsi="黑体" w:eastAsia="黑体" w:cs="黑体"/>
          <w:b/>
          <w:color w:val="000000"/>
          <w:sz w:val="36"/>
          <w:szCs w:val="36"/>
        </w:rPr>
        <w:t>上海电子信息职业技术学院</w:t>
      </w:r>
    </w:p>
    <w:p>
      <w:pPr>
        <w:pageBreakBefore w:val="0"/>
        <w:topLinePunct w:val="0"/>
        <w:bidi w:val="0"/>
        <w:spacing w:before="156" w:beforeLines="50" w:line="400" w:lineRule="exact"/>
        <w:jc w:val="center"/>
        <w:outlineLvl w:val="9"/>
        <w:rPr>
          <w:rFonts w:hint="eastAsia" w:ascii="黑体" w:hAnsi="黑体" w:eastAsia="黑体" w:cs="黑体"/>
          <w:b/>
          <w:color w:val="000000"/>
          <w:sz w:val="36"/>
          <w:szCs w:val="36"/>
        </w:rPr>
      </w:pPr>
      <w:r>
        <w:rPr>
          <w:rFonts w:hint="eastAsia" w:ascii="黑体" w:hAnsi="黑体" w:eastAsia="黑体" w:cs="黑体"/>
          <w:b/>
          <w:color w:val="000000"/>
          <w:sz w:val="36"/>
          <w:szCs w:val="36"/>
        </w:rPr>
        <w:t>教学管理规范（修订）</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学工作是学校经常性的中心工作。为了提高我校教学管理水平，促进教学改革，建立良好的教学秩序，提高教学质量和办学效益，保证人才培养目标的实现，根据《教育部关于加强高职高专教育人才培养工作的意见》（教高[2000]2号）、《国务院关于印发国家职业教育改革实施方案的通知》（国发[2019]4号）、“教育部关于印发《新时代高校教师职业行为十项准则》的通知”（教育部教师〔2018〕16号）和《教育部关于高校教师师德失范行为处理的指导意见》（教育部教师〔2018〕17号）文件精神，及上海市教育委员会有关规定，结合我校实际，特修订本规范。</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bookmarkStart w:id="254" w:name="_Toc295991763"/>
      <w:r>
        <w:rPr>
          <w:rFonts w:hint="eastAsia" w:ascii="仿宋_GB2312" w:hAnsi="仿宋_GB2312" w:eastAsia="仿宋_GB2312" w:cs="仿宋_GB2312"/>
          <w:kern w:val="2"/>
          <w:sz w:val="28"/>
          <w:szCs w:val="28"/>
          <w:highlight w:val="none"/>
          <w:lang w:val="en-US" w:eastAsia="zh-CN" w:bidi="ar-SA"/>
        </w:rPr>
        <w:t>一、总 则</w:t>
      </w:r>
      <w:bookmarkEnd w:id="254"/>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（一）学校教学管理坚持社会主义办学方向，坚持把德育放在首位，坚持德、智、体、美全面发展的方针，不断深化教学改革，努力培养适应生产、建设、管理和服务第一线需要的高素质技术技能人才。</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教学管理的基本任务是：研究高素质技术技能人才的培养规律和教学管理规律，改进教学管理工作，提高教学管理水平，调动教师和学生教与学的积极性、主动性、创造性；建立稳定的教学秩序，保证教学工作的正常运行；研究并组织实施教学改革和教学基本建设；研究建立充满生机与活力的教学运行机制，形成特色，提高教学质量。</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健全教学工作的领导体制。学校党政一把手是教学质量的第一责任人，校长全面负责学校的教学工作，分管教学的副校长协助校长主持教学日常工作。建立健全教学工作会议制度和各级领导定期听课、学习、调研督查、考核等制度，提高决策和管理水平。</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（四）设立教学工作委员会。教学工作委员会由直接从事教学工作、有丰富教学经验的教师和熟悉教学工作、有经验的教学管理人员组成，在校长领导下，研究和决定学校教学管理工作中的一些重大问题。</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设立教学督导委员会。选聘一批热爱教育事业、教育思想先进、有丰富教学经验、工作认真负责的老教师(包括退休教师)、教育专家、行企业专家和有专业管理经验的管理人员组成教学督导委员会，对教学工作进行监督、管理和指导。</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建立院校两级教学管理机构。学校按高等职业教育发展要求，建立院校两级教学管理机构，明确岗位职责。充分发挥教学管理部门和学生管理部门在整个教学管理系统中的职能作用，建立教学管理工作协调机制。</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1．教务处是学校教学管理的主要职能部门，应配备得力人员，以保证教学工作稳定、有序地运行，不断提高管理水平和工作质量。</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2．二级学院组织是学校教学管理机构的基本单位。二级学院院长全面负责本院工作，教学副院长协助院长开展教学及管理工作，教务办公室负责处理日常教学管理的具体工作。</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3.教学系全面负责各专业建设及教学组织实施、质量监控工作。</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4．教研室是按专业或课程设置的教学基层组织，其主要任务是按专业人才培养方案规定实施教学工作，开展教学研究及科研工作，不断提高教学质量和学术水平。</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学校教学工作严格执行计划管理。学校各级教学管理组织分别按年度或学期制订工作计划。学校教学工作计划，由分管教学的副校长组织拟定，经学校教学工作委员会审议，报校长办公会议审批后执行；二级学院工作计划经分管教学的副校长审批后执行；教研室工作计划经二级学院负责人审批后执行。</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学校各级教学管理组织必须定期检查计划的实施情况，学期结束时做好工作总结。</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（八）教学管理的基本内容包括培养方案管理、教学运行管理、教学质量管理、师资队伍管理、教学基本建设管理等。</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bookmarkStart w:id="255" w:name="_Toc295991764"/>
      <w:r>
        <w:rPr>
          <w:rFonts w:hint="eastAsia" w:ascii="仿宋_GB2312" w:hAnsi="仿宋_GB2312" w:eastAsia="仿宋_GB2312" w:cs="仿宋_GB2312"/>
          <w:kern w:val="2"/>
          <w:sz w:val="28"/>
          <w:szCs w:val="28"/>
          <w:highlight w:val="none"/>
          <w:lang w:val="en-US" w:eastAsia="zh-CN" w:bidi="ar-SA"/>
        </w:rPr>
        <w:t>二、培养方案管理</w:t>
      </w:r>
      <w:bookmarkEnd w:id="255"/>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（一）人才培养方案是人才培养目标、基本规格以及培养过程和方式的总体设计，是学校保证教学质量的基本教学文件，是学校组织教学、安排教学任务的重要依据，是教学管理的纲领性文件。</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（二）编制人才培养方案时，应当贯彻教育部和上海市教育委员会的有关文件精神，遵守学校关于人才培养方案编制的有关规定。制订人才培养方案的一般程序是：</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1．教务处根据上级有关文件精神提出学校制订人才培养方案的实施意见和要求；</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2．二级学院在广泛开展社会人才市场需求调研基础上，组织专业建设指导委员会论证培养目标、人才培养规格，主持制订、优化人才培养方案；</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3．教务处初步审定二级学院提交的人才培养方案；</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4．学校教学工作委员会审议并签字批准；</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5．教务处正式印制，下发执行。</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（三）人才培养方案的主要内容包括：专业的名称、代码；修业年限；专业的培养目标；人才培养规格要求和知识、能力、素质结构；就业岗位；课程设置、教学环节及学时分配；教学进程表；必要的说明。</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（四）三年制专业的课内教学总学时1600－1800学时（含校内理论课、实践课、选修课），实践教学一般不低于教学活动总学时的50%。</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（五）人才培养方案的实施</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人才培养方案的实施是学校教学管理中的一项重要工作，是完成教学任务、稳定教学秩序、保证人才培养质量的前提条件。教务处要充分发挥学校教学管理中枢的职能作用。</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1．二级学院编制分学期的教学进程计划，教务处对各教学环节提出总体协调意见。</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2．各二级学院根据教务处的总体协调意见，安排学期教学任务、教室和其他教学场所、落实任课教师、编制各教学环节的教学实施计划。</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3．人才培养方案确定的课程、教学环节、学时、授课时间、考核方式等均不得随意改动，执行过程中需要调整的，应严格按照审批程序执行。</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bookmarkStart w:id="256" w:name="_Toc295991765"/>
      <w:r>
        <w:rPr>
          <w:rFonts w:hint="eastAsia" w:ascii="仿宋_GB2312" w:hAnsi="仿宋_GB2312" w:eastAsia="仿宋_GB2312" w:cs="仿宋_GB2312"/>
          <w:kern w:val="2"/>
          <w:sz w:val="28"/>
          <w:szCs w:val="28"/>
          <w:highlight w:val="none"/>
          <w:lang w:val="en-US" w:eastAsia="zh-CN" w:bidi="ar-SA"/>
        </w:rPr>
        <w:t>三、教学运行管理</w:t>
      </w:r>
      <w:bookmarkEnd w:id="256"/>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学运行管理是学校组织实施人才培养方案最核心的管理。整个教学运行管理要抓住两个重点：一是以课堂教学(包括实验、实习、实训教学等)为主的教学过程管理，要充分发挥教师的主导作用和学生的主体作用，贯彻教学相长的原则；二是以教学管理职能部门为主体的教学行政管理，制订教学工作制度及规程，对课堂教学、实验教学、实习(实训)教学、毕业实习等教学环节提出要求，并认真组织实施。</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（二）制定课程标准。课程标准是进行课程教学的重要文件，所有课程均应有课程标准。制订课程标准的基本原则是：</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1．课程标准要准确地贯彻人才培养方案所体现的教育思想和培养目标，各门课程的课程标准均须服从人才培养方案的整体要求。</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2．新开发的课程，原则上要先制订课程标准，而后编写讲义或确定教材。</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3．课程标准要体现改革精神，不能拘泥于教材或某一时期的特定限制。</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4．课程标准的主要内容应包括课程目标、课程内容和要求、实施建议等。</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5．课程标准应由承担教学任务的教研室根据专业需要组织制订，经所在二级学院审核、分管教学的副校长审批后执行。</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任课教师必须认真按照课程标准进行教学，执行中允许在完成课程标准基本要求的前提下有所增删，但不得减少实践教学时数。</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（三）课堂教学的组织管理。课堂教学是教学的基本形式，课堂教学的组织与管理是教学管理工作最基本的管理活动。</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1．认真选聘有相应学术水平、责任心和教学经验的教师任课。对新任教师和开设新课的教师应进行岗前培训，并要求课前试讲。</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2．组织任课教师认真研究和讨论课程标准，组织编写或选用与课程标准相适应的教材或教学参考资料。</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任课教师应认真备课。在熟悉人才培养方案、课程标准的基础上，以二级学院下达的教学任务书为依据，制订课程学期授课计划和教学进程，撰写教案和讲稿。学期授课计划应全面考虑讲授、实验、实习(实训)、习题课、课外作业、复习、考核等内容，突出重点，教学进度设计要科学合理。</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任课教师应认真组织教学。要遵循教书育人、因材施教的原则，采用符合高职教育规律的启发式、讨论式、指导式等多种教学方法，把思想政治教育、职业道德教育、创业创新教育融于教学全过程，把传授知识、开发智力、培养能力等诸方面统一起来。</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5．经常(或定期)组织教师开展教学研究。对积极钻研并创造新的教学方法，在培养学生良好学风、提高自学能力和创新能力方面做出贡献的教师，要给予奖励。</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6．积极推广计算机辅助教学、多媒体教学技术、虚拟技术等现代教育技术，扩大课程教学的信息量，提高课堂教学效率。</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（四）实践性教学环节的组织管理。实践性教学内容要严格依据专业人才培养方案及课程标准中对实践环节的要求进行教学，主要形式包括实习、实训、顶岗实习和毕业实习等。</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l．实习、实训课程标准由各二级学院结合校内外具体情况拟定，实习、实训课程标准的主要内容包括：实习、实训的性质、目的与任务；内容、方式、场所和时间分配；学生分组情况与指导教师的安排；教学考核与成绩评定方法等。</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2．毕业实习是学生毕业前进行综合训练和模拟从业训练的重要实践性教学环节，选题应注重针对性、应用性和实践性，具体由各二级学院拟定并组织实施。</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选聘有一定理论水平和较丰富的专业实践经验的实习指导教师或工程技术人员指导学生实践活动。实习指导教师应根据实践课程标准的要求，认真准备，耐心指导，注重学生基本技能、技术应用能力、创业精神和创新意识培养。</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4．指导教师应及时、认真地批改学生实践活动后提交的实习、实训、调查报告或设计成果，综合学生在实践活动中的表现评定成绩，写出评语。实践教学活动一般单独开设，单独考核。</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课程考核管理。凡人才培养方案规定开设的课程都要对学生进行考核。考核命题应以课程标准为依据，积极改革考核的内容和方法，着重检查学生掌握所学课程的基本理论、基础知识和基本技能的情况和实际应用能力。鼓励采用试题库命题，实行教、考分离，项目课程采用过程考核。要制定严格的考试制度，严肃考风考纪，精心安排考务工作。对考试作弊者，要依据有关规定严肃处理。试卷评阅要认真、公正、客观。教务处负责考核的指导、组织和检查工作。</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学校应重视对学生课外学习活动的安排与组织管理工作，课外作业的份量和安排辅导答疑要适当。要有计划、多形式地组织学生参加课外活动，丰富学生知识，提高学生的综合素质。安排非教学活动不得占用教学活动时间。</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日常教学管理。学校要依据各专业人才培养方案，制定学期教学进程表、课表、考表，保证全校教学秩序稳定，对这三项重要表格文件的执行情况要有管理制度和检查办法，执行结果要记录在案。在实施过程中，各二级学院和教务处应经常了解教学信息，严格控制对教学进度及课表变更的审批，及时处理执行过程中出现的问题或事故。</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（八）学籍管理。学籍管理的基本内容包括对学生的入学资格、注册及学籍异动、在校学习情况、毕业等环节的管理。依据上级有关规定，学校制订学籍管理办法，建立健全学籍档案，建立严格的学期注册制度。</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九）教学资源管理。做好教室、实习实训基地等教学设施的合理配置、规划建设与管理，建立健全规章制度，充分发挥现有设施与设备的作用，保证教学需要，最大限度发挥校内教学资源效益。积极开发、合理应用社会教育资源，建立相对稳定的校外实习基地。根据需要与可能，改进教室的功能，建设必要的多功能教室。</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教学档案管理。学校按档案管理的有关要求建立健全教学档案管理制度。教学档案实行分级管理，教务处和二级学院应安排专人负责，按年度分类管理、编目造册及归档；积极推行档案管理现代化建设，建立档案查阅制度，充分发挥教学档案的作用。教学档案的范围主要包括：</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l．上级教育主管部门下达的政策性、指导性教学文件及有关规定；</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2．学校制订的各项教学文件和教学制度；</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3．教学基本建设的各种规划和计划；</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4．人才需求调研分析报告、教学科研课题资料、教学改革实施方案及总结等；</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5．学期教学工作计划、教学工作进程表、人才培养方案、课程标准、总课表、课程教学进程表、考试安排表、课程教学总结等；</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6．实习、实训计划及总结、优秀毕业实习报告；</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7．学生名册、学籍异动情况、学生学业成绩、学生成绩统计分析、毕业生质量跟踪调查、毕业资格审核等材料；</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8．使用教材目录、自编教材(或讲义)、教学参考资料、实验(实习)指导书、习题集、试题库、试卷分析以及各种声像资料等；</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9．教师业务档案，包括教师基本情况登记表、教案及教学工作小结、教师考核资料、教学工作和工作量统计表、论文论著及成果、进修(培训)登记及考核材料等；</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10．教学检查统计分析材料、教师评教材料、督导活动材料、教学工作会议纪要、各种奖惩材料等；</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11．其他有必要立档的教学文件和资料。</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教学档案实行分级管理，编目造册。建立教学档案查阅制度，充分发挥教学档案的作用。教学档案管理，应充分使用现代化管理手段。</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（十一）要充分发挥教学管理组织在教学运行过程中的管理职能。</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1．教研室应按学期初制订的“教研室工作计划”，组织集体备课、公开教学，组织政治与业务学习和教学研究活动，定期组织检查和测评教师的教学进程和教学状况。</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2．二级学院要定期召开教研室主任会议和任课教师会议，总结和交流教学及管理工作的经验，及时研究解决教学过程中出现的问题。</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3．教务处应协助分管教学的校领导定期或不定期地召开二级学院院长教学工作例会或专题工作研究会，了解、协调和处理专业人才培养方案实施过程中出现的各种问题。</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bookmarkStart w:id="257" w:name="_Toc295991766"/>
      <w:r>
        <w:rPr>
          <w:rFonts w:hint="eastAsia" w:ascii="仿宋_GB2312" w:hAnsi="仿宋_GB2312" w:eastAsia="仿宋_GB2312" w:cs="仿宋_GB2312"/>
          <w:kern w:val="2"/>
          <w:sz w:val="28"/>
          <w:szCs w:val="28"/>
          <w:highlight w:val="none"/>
          <w:lang w:val="en-US" w:eastAsia="zh-CN" w:bidi="ar-SA"/>
        </w:rPr>
        <w:t>四、教学质量管理</w:t>
      </w:r>
      <w:bookmarkEnd w:id="257"/>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保证和提高教学质量是教学管理的最终目的。必须牢固树立质量意识和全面的质量观，坚持严格的质量标准。要从影响学校教学质量的内外部各主要因素(教师、学生、管理、政策、体制等)入手，严格把好质量关，建立科学合理的教学质量管理体系，形成分析、评价、反馈制度，营造良好的教学环境，达到最佳教学效果。</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（二）认真抓好教学全过程的管理。</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1．把好招生质量关，做好招生宣传、招生录取及入学新生复查工作。</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2．抓好人才培养方案实施过程的质量管理，要做到精心设计，整体优化。</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3．建立教学质量监控体系，把好教学过程各个环节的质量关。</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4．提供教学设施、教学设备、图书资料等辅助教学保障，保证服务质量。</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5．建立科学的考试工作程序和制度，严格考试过程管理，进行必要的试题、试卷和成绩分析，认真进行考试与课程教学工作总结。</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建立教学信息反馈网，实行毕业生质量的跟踪调查制度，加强与社会用人部门的联系，经常(或定期)召开教师及学生座谈会，调查了解教学情况，及时改进教学工作，保证教学质量。毕业生跟踪调查一般每年至少进行一次。</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建立教学质量检查考核制度。制订科学的、可操作的教师教学质量考评指标体系，建立经常的教学检查和阶段性教学质量检查制度，加强对教师教学质量考评。教学质量检查考核由质量管理处、教务处会同各二级学院组织实施。</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（四）实行教学工作督导制。充分发挥教学督导委员会的作用，组织经常性的教学督导，及时提供反馈信息。</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建立听课制度。学校领导、教学管理部门和二级学院负责人、教研室主任等应定期深入课堂听课，全面了解教师授课与学生学习的情况，及时解决存在的问题。二级学院与教研室应积极组织教师课堂教学观摩。</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建立教学激励机制与约束机制。教学质量考评结果与部门工作考核、教师职务评聘、报酬以及奖惩挂钩。对在教学上取得优秀成绩的部门和教师应给予奖励。完善教学事故界定及处理办法，对造成教学责任事故者，要按章予以处理。</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（七）建立教学信息的采集和统计制度。对新生入学基本情况、学生学习和考试情况、毕业生质量及就业情况等主要教学信息应定期采集并进行统计分析，不断改进学校的教学工作。</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bookmarkStart w:id="258" w:name="_Toc295991767"/>
      <w:r>
        <w:rPr>
          <w:rFonts w:hint="eastAsia" w:ascii="仿宋_GB2312" w:hAnsi="仿宋_GB2312" w:eastAsia="仿宋_GB2312" w:cs="仿宋_GB2312"/>
          <w:kern w:val="2"/>
          <w:sz w:val="28"/>
          <w:szCs w:val="28"/>
          <w:highlight w:val="none"/>
          <w:lang w:val="en-US" w:eastAsia="zh-CN" w:bidi="ar-SA"/>
        </w:rPr>
        <w:t>五、师资队伍管理</w:t>
      </w:r>
      <w:bookmarkEnd w:id="258"/>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师资队伍建设是学校最基本、最关键的教学建设。学校应根据国家和上海市有关文件精神，并结合自身的教育教学工作实际，确定教师编制，制定师资队伍建设管理办法。要建立教师教学工作规范和教师岗位责任制，实行聘任制和目标管理。</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制定师资队伍建设规划，明确师资队伍建设目标。采用培养与培训结合、引人与引智结合的办法，制定行之有效的措施，努力建设一支人员素质优良、结构合理、专兼结合、特色鲜明、相对稳定的教师队伍。要实行教师轮训制度，加快“双师型”教师队伍建设，要把教师师德建设放在突出的位置。</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通过教学实践、专业实践和业务进修，尽快形成一批既有一定理论水平和教学水平，又有较强实际工作能力的“双师型”专任教师；重视从企事业单位选聘既有丰富实践经验和专业知识，又能胜任教学工作的技术、管理人员作为兼职教师；有计划地组织教师参加教研科研活动和技术应用实践活动，鼓励从事工程和职业教育的教师取得相应的职业证书或技术等级证书。注意选拔和培养专业带头人、骨干教师，发挥老教师的传、帮、带作用，抓好中青年骨干教师的培养和提高。</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定期对教师的政治表现、业务水平和工作成绩进行考核，一般每年度考核一次，考核情况载入教师业务档案。教师不得在教学活动中及其他场合有损害党中央权威、违背党的路线方针政策的言行，无师德失范行为，若出现此类情况，按照《教育部关于高校教师师德失范行为处理的指导意见》（教育部教师〔2018〕17号）文件给予相应处理或处分。教师的政治表现、工作量完成情况与教学质量的优劣应作为教师考核、聘任、职务晋升的重要依据。在教师职务评聘中，实行教学考核一票否决制。</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bookmarkStart w:id="259" w:name="_Toc295991768"/>
      <w:r>
        <w:rPr>
          <w:rFonts w:hint="eastAsia" w:ascii="仿宋_GB2312" w:hAnsi="仿宋_GB2312" w:eastAsia="仿宋_GB2312" w:cs="仿宋_GB2312"/>
          <w:kern w:val="2"/>
          <w:sz w:val="28"/>
          <w:szCs w:val="28"/>
          <w:highlight w:val="none"/>
          <w:lang w:val="en-US" w:eastAsia="zh-CN" w:bidi="ar-SA"/>
        </w:rPr>
        <w:t>六、教学基本建设管理</w:t>
      </w:r>
      <w:bookmarkEnd w:id="259"/>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专业建设。根据高职高专教育的培养目标和有关专业设置的指导意见，针对社会经济发展的需要和技术领域或职业岗位（群）实际要求设置和调整专业。专业口径可宽可窄，宽窄并存。要重视专业教学改革，积极开展专业改革试点，并以此为切入点，推动教学工作及其管理工作全面改革。要积极组建专业建设指导委员会，并充分发挥其在专业建设中的作用。要增加专业建设投入，确保必要的办学条件，充分利用自身优势，努力形成专业特色。</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实践性教学基地建设。建立相对稳定的校内外实践性教学基地是培养高素质技能人才的必备条件，也是形成办学特色的关键。学校要依据所设专业的实际需要，对实践性教学基地建设进行全面规划，逐步实施。实践教学要尽可能与生产、建设、管理、服务第一线相一致，形成真实或仿真的职业环境。要注意资源的优化配置和共享，防止各专业自成体系。要特别重视校外实习基地建设，按照互利双赢原则，尽可能争取与专业有关的企事业单位合作，使学生在真实的职业环境中顶岗实习，并逐步建立形成产学研合作机制。切实做好实践性教学基地管理，努力提高设备利用率和完好率，提高投资效益。</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教材建设。教材建设和使用要有合理的规划和完善的制度。基础理论课教材的选用既要注意教材内容的先进性，又要保持教材的相对稳定性，鼓励选用国家规划教材，专业课程可依据课程标准组织自编特色教材或讲义。教材的类型包括文字教材、实物教材和声像视听教材等，鼓励教师使用声像视听教材。</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学风建设。通过思想建设、组织建设、制度建设和环境建设，抓好教师严谨的治学作风以及学生的学习目的、学习态度、学习纪律等方面的学习作风建设，形成良好的学风。结合高等职业教育人才培养的特点，鼓励学生学习职业技能及相关知识，并取得相应的职业证书，注意培养学生的创业精神。特别重视考风考纪的教育，杜绝考试作弊行为。把学校的德育工作和对学生职业道德的教育相结合，加强学生职业道德的培养。</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（五）教学管理制度建设。按照教育部以及上海市教育委员会的有关要求，建立和健全各种教学管理制度，制定完备的教学基本文件，实现教学管理的制度化和规范化。</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教学管理与教学理论研究。学校的教学管理必须以正确的教育理论为指导，以教学管理研究和教育理论研究为基础。把教学管理作为教育科研工作的重要内容，有计划、有目的地组织教学管理的一些重点课题进行立项研究。</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（七）注重加强与国内外、校际间以及校企间的交流与合作，合作开展教学管理课题的理论研究和工作研究，共同提高教学管理水平。</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bookmarkStart w:id="260" w:name="_Toc295991769"/>
      <w:r>
        <w:rPr>
          <w:rFonts w:hint="eastAsia" w:ascii="仿宋_GB2312" w:hAnsi="仿宋_GB2312" w:eastAsia="仿宋_GB2312" w:cs="仿宋_GB2312"/>
          <w:kern w:val="2"/>
          <w:sz w:val="28"/>
          <w:szCs w:val="28"/>
          <w:highlight w:val="none"/>
          <w:lang w:val="en-US" w:eastAsia="zh-CN" w:bidi="ar-SA"/>
        </w:rPr>
        <w:t>七、附 则</w:t>
      </w:r>
      <w:bookmarkEnd w:id="260"/>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（一）本规范在实施过程中，如有与上级教学主管部门颁发的规定、办法不一致时，以上级教学主管部门颁发的规定、办法为准。</w:t>
      </w:r>
    </w:p>
    <w:p>
      <w:pPr>
        <w:keepNext w:val="0"/>
        <w:keepLines w:val="0"/>
        <w:pageBreakBefore w:val="0"/>
        <w:widowControl w:val="0"/>
        <w:kinsoku/>
        <w:wordWrap/>
        <w:overflowPunct/>
        <w:topLinePunct w:val="0"/>
        <w:autoSpaceDE/>
        <w:autoSpaceDN/>
        <w:bidi w:val="0"/>
        <w:adjustRightInd/>
        <w:snapToGrid/>
        <w:spacing w:line="360" w:lineRule="auto"/>
        <w:ind w:firstLine="646"/>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（二）本规范自公布之日起试行，由上海电子信息职业技术学院教务处负责解释。原《上海电子信息职业技术学院上海电子信息职业技术学院教学管理规范》（沪电信职院〔2017〕101号）废止。</w:t>
      </w:r>
    </w:p>
    <w:p>
      <w:pPr>
        <w:pageBreakBefore w:val="0"/>
        <w:topLinePunct w:val="0"/>
        <w:bidi w:val="0"/>
        <w:spacing w:line="560" w:lineRule="exact"/>
        <w:ind w:firstLine="645"/>
        <w:jc w:val="left"/>
        <w:outlineLvl w:val="9"/>
        <w:rPr>
          <w:rFonts w:hint="eastAsia" w:ascii="仿宋_GB2312" w:hAnsi="Calibri" w:eastAsia="仿宋_GB2312"/>
          <w:color w:val="000000"/>
          <w:kern w:val="0"/>
          <w:sz w:val="32"/>
          <w:szCs w:val="32"/>
        </w:rPr>
      </w:pPr>
    </w:p>
    <w:p>
      <w:pPr>
        <w:pageBreakBefore w:val="0"/>
        <w:topLinePunct w:val="0"/>
        <w:bidi w:val="0"/>
        <w:jc w:val="left"/>
        <w:outlineLvl w:val="9"/>
        <w:rPr>
          <w:rFonts w:hint="eastAsia" w:ascii="宋体" w:hAnsi="宋体"/>
          <w:color w:val="000000"/>
        </w:rPr>
      </w:pPr>
    </w:p>
    <w:p>
      <w:pPr>
        <w:pageBreakBefore w:val="0"/>
        <w:topLinePunct w:val="0"/>
        <w:bidi w:val="0"/>
        <w:jc w:val="lef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right"/>
        <w:outlineLvl w:val="9"/>
        <w:rPr>
          <w:rFonts w:hint="eastAsia" w:ascii="宋体" w:hAnsi="宋体"/>
          <w:color w:val="000000"/>
        </w:rPr>
      </w:pPr>
    </w:p>
    <w:p>
      <w:pPr>
        <w:pageBreakBefore w:val="0"/>
        <w:topLinePunct w:val="0"/>
        <w:bidi w:val="0"/>
        <w:jc w:val="center"/>
        <w:outlineLvl w:val="9"/>
        <w:rPr>
          <w:sz w:val="24"/>
        </w:rPr>
      </w:pPr>
      <w:bookmarkStart w:id="261" w:name="_Toc16973"/>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9〕</w:t>
      </w:r>
      <w:r>
        <w:rPr>
          <w:rFonts w:hint="eastAsia" w:ascii="仿宋_GB2312" w:eastAsia="仿宋_GB2312"/>
          <w:color w:val="000000"/>
          <w:kern w:val="0"/>
          <w:sz w:val="32"/>
          <w:szCs w:val="28"/>
          <w:lang w:val="en-US" w:eastAsia="zh-CN"/>
        </w:rPr>
        <w:t>58</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312" w:beforeLines="100"/>
        <w:ind w:firstLine="420"/>
        <w:jc w:val="center"/>
        <w:textAlignment w:val="auto"/>
        <w:outlineLvl w:val="0"/>
        <w:rPr>
          <w:rFonts w:hint="eastAsia" w:ascii="黑体" w:hAnsi="黑体" w:eastAsia="黑体" w:cs="黑体"/>
          <w:b/>
          <w:bCs/>
          <w:color w:val="000000"/>
          <w:sz w:val="36"/>
          <w:szCs w:val="36"/>
        </w:rPr>
      </w:pPr>
      <w:bookmarkStart w:id="262" w:name="_Toc5832"/>
      <w:r>
        <w:rPr>
          <w:rFonts w:hint="eastAsia" w:ascii="黑体" w:hAnsi="黑体" w:eastAsia="黑体" w:cs="黑体"/>
          <w:b/>
          <w:sz w:val="36"/>
          <w:szCs w:val="36"/>
        </w:rPr>
        <w:t>关于印</w:t>
      </w:r>
      <w:r>
        <w:rPr>
          <w:rFonts w:hint="eastAsia" w:ascii="黑体" w:hAnsi="黑体" w:eastAsia="黑体" w:cs="黑体"/>
          <w:b/>
          <w:kern w:val="0"/>
          <w:sz w:val="36"/>
          <w:szCs w:val="36"/>
        </w:rPr>
        <w:t>发《上海电子信息</w:t>
      </w:r>
      <w:r>
        <w:rPr>
          <w:rFonts w:hint="eastAsia" w:ascii="黑体" w:hAnsi="黑体" w:eastAsia="黑体" w:cs="黑体"/>
          <w:b/>
          <w:sz w:val="36"/>
          <w:szCs w:val="36"/>
        </w:rPr>
        <w:t>职业技术学院课程教学质量评价实施办法（修订）》的通知</w:t>
      </w:r>
      <w:bookmarkEnd w:id="262"/>
    </w:p>
    <w:p>
      <w:pPr>
        <w:pageBreakBefore w:val="0"/>
        <w:topLinePunct w:val="0"/>
        <w:bidi w:val="0"/>
        <w:spacing w:before="312" w:beforeLines="100"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现将《上海电子信息职业技术学院课程教学质量评价实施办法（修订）》印发给你们，请结合本部门工作实际，认真研究执行。</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ind w:firstLine="645"/>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firstLine="645"/>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附件：上海电子信息职业技术学院课程教学质量评价实        </w:t>
      </w:r>
    </w:p>
    <w:p>
      <w:pPr>
        <w:pageBreakBefore w:val="0"/>
        <w:topLinePunct w:val="0"/>
        <w:bidi w:val="0"/>
        <w:spacing w:line="560" w:lineRule="exact"/>
        <w:ind w:firstLine="645"/>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施办法（修订）</w:t>
      </w:r>
    </w:p>
    <w:p>
      <w:pPr>
        <w:pageBreakBefore w:val="0"/>
        <w:topLinePunct w:val="0"/>
        <w:bidi w:val="0"/>
        <w:spacing w:line="560" w:lineRule="exact"/>
        <w:ind w:firstLine="645"/>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p>
    <w:p>
      <w:pPr>
        <w:pageBreakBefore w:val="0"/>
        <w:topLinePunct w:val="0"/>
        <w:bidi w:val="0"/>
        <w:spacing w:line="520" w:lineRule="exact"/>
        <w:ind w:right="480"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2019年5月5日</w:t>
      </w:r>
    </w:p>
    <w:p>
      <w:pPr>
        <w:pageBreakBefore w:val="0"/>
        <w:topLinePunct w:val="0"/>
        <w:bidi w:val="0"/>
        <w:spacing w:line="520" w:lineRule="exact"/>
        <w:ind w:right="480" w:firstLine="3840" w:firstLineChars="1200"/>
        <w:outlineLvl w:val="9"/>
        <w:rPr>
          <w:rFonts w:ascii="仿宋_GB2312" w:hAnsi="宋体" w:eastAsia="仿宋_GB2312"/>
          <w:sz w:val="32"/>
          <w:szCs w:val="32"/>
        </w:rPr>
      </w:pPr>
    </w:p>
    <w:p>
      <w:pPr>
        <w:pageBreakBefore w:val="0"/>
        <w:topLinePunct w:val="0"/>
        <w:bidi w:val="0"/>
        <w:spacing w:line="520" w:lineRule="exact"/>
        <w:ind w:right="480" w:firstLine="3840" w:firstLineChars="1200"/>
        <w:outlineLvl w:val="9"/>
        <w:rPr>
          <w:rFonts w:ascii="仿宋_GB2312" w:hAnsi="宋体" w:eastAsia="仿宋_GB2312"/>
          <w:sz w:val="32"/>
          <w:szCs w:val="32"/>
        </w:rPr>
      </w:pPr>
    </w:p>
    <w:p>
      <w:pPr>
        <w:pageBreakBefore w:val="0"/>
        <w:topLinePunct w:val="0"/>
        <w:bidi w:val="0"/>
        <w:jc w:val="center"/>
        <w:outlineLvl w:val="9"/>
        <w:rPr>
          <w:rFonts w:hint="eastAsia" w:ascii="黑体" w:hAnsi="黑体" w:eastAsia="黑体" w:cs="黑体"/>
          <w:b/>
          <w:color w:val="000000"/>
          <w:sz w:val="32"/>
          <w:szCs w:val="32"/>
        </w:rPr>
      </w:pPr>
      <w:r>
        <w:rPr>
          <w:rFonts w:hint="eastAsia" w:ascii="黑体" w:hAnsi="黑体" w:eastAsia="黑体" w:cs="黑体"/>
          <w:b/>
          <w:color w:val="000000"/>
          <w:sz w:val="32"/>
          <w:szCs w:val="32"/>
        </w:rPr>
        <w:t>上海电子信息职业技术学院</w:t>
      </w:r>
    </w:p>
    <w:p>
      <w:pPr>
        <w:pageBreakBefore w:val="0"/>
        <w:topLinePunct w:val="0"/>
        <w:bidi w:val="0"/>
        <w:jc w:val="center"/>
        <w:outlineLvl w:val="9"/>
        <w:rPr>
          <w:rFonts w:hint="eastAsia" w:ascii="黑体" w:hAnsi="黑体" w:eastAsia="黑体" w:cs="黑体"/>
          <w:sz w:val="32"/>
          <w:szCs w:val="32"/>
        </w:rPr>
      </w:pPr>
      <w:r>
        <w:rPr>
          <w:rFonts w:hint="eastAsia" w:ascii="黑体" w:hAnsi="黑体" w:eastAsia="黑体" w:cs="黑体"/>
          <w:b/>
          <w:color w:val="000000"/>
          <w:sz w:val="32"/>
          <w:szCs w:val="32"/>
        </w:rPr>
        <w:t>课程教学质量评价实施办法</w:t>
      </w:r>
      <w:bookmarkEnd w:id="261"/>
      <w:r>
        <w:rPr>
          <w:rFonts w:hint="eastAsia" w:ascii="黑体" w:hAnsi="黑体" w:eastAsia="黑体" w:cs="黑体"/>
          <w:b/>
          <w:color w:val="000000"/>
          <w:sz w:val="32"/>
          <w:szCs w:val="32"/>
        </w:rPr>
        <w:t>（修订）</w:t>
      </w:r>
    </w:p>
    <w:p>
      <w:pPr>
        <w:pStyle w:val="34"/>
        <w:pageBreakBefore w:val="0"/>
        <w:topLinePunct w:val="0"/>
        <w:bidi w:val="0"/>
        <w:spacing w:beforeAutospacing="0" w:afterAutospacing="0"/>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一、总则</w:t>
      </w:r>
    </w:p>
    <w:p>
      <w:pPr>
        <w:pStyle w:val="34"/>
        <w:pageBreakBefore w:val="0"/>
        <w:topLinePunct w:val="0"/>
        <w:bidi w:val="0"/>
        <w:spacing w:beforeAutospacing="0" w:afterAutospacing="0" w:line="360" w:lineRule="auto"/>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为加强教学质量管理，提高人才培养质量，依据《国务院关于印发国家职业教育改革实施方案的通知》（国发[2019]4号）、“教育部关于印发《新时代高校教师职业行为十项准则》的通知”（教育部教师〔2018〕16号）和《教育部关于高校教师师德失范行为处理的指导意见》（教育部教师〔2018〕17号）文件精神，特修订上海电子信息职业技术学院课程教学质量评价实施办法。</w:t>
      </w:r>
    </w:p>
    <w:p>
      <w:pPr>
        <w:pStyle w:val="34"/>
        <w:pageBreakBefore w:val="0"/>
        <w:topLinePunct w:val="0"/>
        <w:bidi w:val="0"/>
        <w:spacing w:beforeAutospacing="0" w:afterAutospacing="0" w:line="360" w:lineRule="auto"/>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（二）本实施办法所指的课程是人才培养方案中设置的所有课程。</w:t>
      </w:r>
    </w:p>
    <w:p>
      <w:pPr>
        <w:pStyle w:val="34"/>
        <w:pageBreakBefore w:val="0"/>
        <w:topLinePunct w:val="0"/>
        <w:bidi w:val="0"/>
        <w:spacing w:beforeAutospacing="0" w:afterAutospacing="0" w:line="360" w:lineRule="auto"/>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（三）课程教学质量评价的依据是专业人才培养方案和本课程的课程标准。</w:t>
      </w:r>
    </w:p>
    <w:p>
      <w:pPr>
        <w:pStyle w:val="34"/>
        <w:pageBreakBefore w:val="0"/>
        <w:topLinePunct w:val="0"/>
        <w:bidi w:val="0"/>
        <w:spacing w:beforeAutospacing="0" w:afterAutospacing="0"/>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二、评价内容</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课程教学质量评价的内容包含：教学管理、教学条件、教学文件、教学内容、教学成效。重点评价：</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1．教学条件、教学内容、教学方法与教学手段、课程考核的方法与手段与课程标准要求的符合度。</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2．教学文件的规范性、齐备性。</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3．教师的教学能力和实践教学能力对课程教学的适应性。</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4．教学效果与课程标准对素质、能力、知识的培养目标要求的一致性。</w:t>
      </w:r>
    </w:p>
    <w:p>
      <w:pPr>
        <w:pStyle w:val="34"/>
        <w:pageBreakBefore w:val="0"/>
        <w:topLinePunct w:val="0"/>
        <w:bidi w:val="0"/>
        <w:spacing w:beforeAutospacing="0" w:afterAutospacing="0"/>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三、评价方法</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课程教学质量评价的方法包括：教学文件与教学资料的查阅、听课、学生座谈会、与任课教师交流、学生评教、同行评教、教师评学。</w:t>
      </w:r>
    </w:p>
    <w:p>
      <w:pPr>
        <w:pStyle w:val="34"/>
        <w:pageBreakBefore w:val="0"/>
        <w:topLinePunct w:val="0"/>
        <w:bidi w:val="0"/>
        <w:spacing w:beforeAutospacing="0" w:afterAutospacing="0"/>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四、评价实施</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（一）课程教学评价的实施采用学校重点检查和常规检查相结合的方法进行。</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（二）教务处每年组织专家（含行业企业专家）对各教学单位的若干门课程进行重点检查，给出评价结果，并由专家组撰写评价报告。</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（三）常规检查</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听课。各类听课人员每学期按照听课制度相关要求听课并填写教学评价表，主要对教师的基本素养、教学方法、教学能力和教学效果等做出分析和评价。学校领导、学校督导员、职能部门领导填写的教学评价表交教务处，各教学单位组织听课的教学评价表由本单位留存、汇总信息报送教务处。</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学生评教。教务处每学期组织开展学生评教工作，主要从教学基本素养、教学方法与手段、教学管理、现场讲授、技术指导、常规管理、教学效果等方面对任课教师的教学进行评价，学生评教的信息由教务处负责汇总与分析。</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3．学生座谈会。教务处每学期按二级学院组织召开学生座谈会，了解学生对教师队伍、教学条件、教学计划、教学内容、教学方法及教学管理等方面的意见和建议，并进行汇总、分析。</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学生教学信息员。学校建立学生教学信息员制度，成立由教务处管理的学生教学信息中心，成员由各班学习委员组成，就教师队伍、教学条件、教学计划、教学内容、教学方法及教学管理等方面提出意见和建议，参与教学管理。</w:t>
      </w:r>
    </w:p>
    <w:p>
      <w:pPr>
        <w:pStyle w:val="34"/>
        <w:pageBreakBefore w:val="0"/>
        <w:topLinePunct w:val="0"/>
        <w:bidi w:val="0"/>
        <w:spacing w:beforeAutospacing="0" w:afterAutospacing="0"/>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五、评价结果的应用</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教务处将重点检查的课程教学评价结果、检查分析报告及时报送教学副校长，并根据实际情况提出针对性的意见和建议。同时将重点检查的课程教学评价结果、检查分析报告反馈给相应的教学单位，并督促、检查教学单位的整改情况。</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（二）教务处将常规检查的汇总与分析结果及时反馈给教学单位和相关教学管理部门，并督促、检查教学单位和相关教学管理部门的整改情况。对重要的信息及时报送校长、分管副校长。</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（三）各教学单位督导组组织的课程教学检查和评价信息，以及改进教学工作的意见和建议，及时反馈给本单位领导。</w:t>
      </w:r>
    </w:p>
    <w:p>
      <w:pPr>
        <w:pStyle w:val="34"/>
        <w:pageBreakBefore w:val="0"/>
        <w:topLinePunct w:val="0"/>
        <w:bidi w:val="0"/>
        <w:spacing w:beforeAutospacing="0" w:afterAutospacing="0" w:line="360" w:lineRule="auto"/>
        <w:ind w:firstLine="561"/>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（四）重点检查的课程教学评价结果及所反映的问题和整改情况将作为教学单位和教学管理部门年度考核的依据之一。</w:t>
      </w:r>
    </w:p>
    <w:p>
      <w:pPr>
        <w:pStyle w:val="34"/>
        <w:pageBreakBefore w:val="0"/>
        <w:topLinePunct w:val="0"/>
        <w:bidi w:val="0"/>
        <w:spacing w:beforeAutospacing="0" w:afterAutospacing="0"/>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六、附则</w:t>
      </w:r>
    </w:p>
    <w:p>
      <w:pPr>
        <w:pStyle w:val="34"/>
        <w:pageBreakBefore w:val="0"/>
        <w:topLinePunct w:val="0"/>
        <w:bidi w:val="0"/>
        <w:spacing w:beforeAutospacing="0" w:afterAutospacing="0" w:line="360" w:lineRule="auto"/>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本办法自颁布之日起正式实施，由上海电子信息职业技术学院教务处负责解释。原《上海电子信息职业技术学院课程教学质量评价实施办法》（沪电信职院〔2018〕22号）同时废止。</w:t>
      </w:r>
    </w:p>
    <w:p>
      <w:pPr>
        <w:pStyle w:val="34"/>
        <w:pageBreakBefore w:val="0"/>
        <w:topLinePunct w:val="0"/>
        <w:bidi w:val="0"/>
        <w:spacing w:beforeAutospacing="0" w:afterAutospacing="0"/>
        <w:ind w:firstLine="560"/>
        <w:outlineLvl w:val="9"/>
        <w:rPr>
          <w:rFonts w:hint="eastAsia" w:ascii="仿宋_GB2312" w:hAnsi="仿宋_GB2312" w:eastAsia="仿宋_GB2312" w:cs="仿宋_GB2312"/>
          <w:color w:val="auto"/>
          <w:kern w:val="2"/>
          <w:sz w:val="28"/>
          <w:szCs w:val="28"/>
          <w:highlight w:val="none"/>
          <w:lang w:val="en-US" w:eastAsia="zh-CN" w:bidi="ar-SA"/>
        </w:rPr>
      </w:pPr>
    </w:p>
    <w:p>
      <w:pPr>
        <w:pageBreakBefore w:val="0"/>
        <w:widowControl/>
        <w:topLinePunct w:val="0"/>
        <w:bidi w:val="0"/>
        <w:spacing w:line="400" w:lineRule="exac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附件1—10</w:t>
      </w:r>
    </w:p>
    <w:p>
      <w:pPr>
        <w:pageBreakBefore w:val="0"/>
        <w:widowControl/>
        <w:numPr>
          <w:ilvl w:val="0"/>
          <w:numId w:val="8"/>
        </w:numPr>
        <w:topLinePunct w:val="0"/>
        <w:bidi w:val="0"/>
        <w:spacing w:line="400" w:lineRule="exac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课程教学质量评价实施细则</w:t>
      </w:r>
    </w:p>
    <w:p>
      <w:pPr>
        <w:pageBreakBefore w:val="0"/>
        <w:widowControl/>
        <w:numPr>
          <w:ilvl w:val="0"/>
          <w:numId w:val="8"/>
        </w:numPr>
        <w:topLinePunct w:val="0"/>
        <w:bidi w:val="0"/>
        <w:spacing w:line="400" w:lineRule="exac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学校课程评审指标（2010）</w:t>
      </w:r>
    </w:p>
    <w:p>
      <w:pPr>
        <w:pageBreakBefore w:val="0"/>
        <w:widowControl/>
        <w:numPr>
          <w:ilvl w:val="0"/>
          <w:numId w:val="8"/>
        </w:numPr>
        <w:topLinePunct w:val="0"/>
        <w:bidi w:val="0"/>
        <w:spacing w:line="400" w:lineRule="exac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说课评价表</w:t>
      </w:r>
    </w:p>
    <w:p>
      <w:pPr>
        <w:pageBreakBefore w:val="0"/>
        <w:widowControl/>
        <w:numPr>
          <w:ilvl w:val="0"/>
          <w:numId w:val="8"/>
        </w:numPr>
        <w:topLinePunct w:val="0"/>
        <w:bidi w:val="0"/>
        <w:spacing w:line="400" w:lineRule="exac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课程评价专家意见表</w:t>
      </w:r>
    </w:p>
    <w:p>
      <w:pPr>
        <w:pageBreakBefore w:val="0"/>
        <w:widowControl/>
        <w:numPr>
          <w:ilvl w:val="0"/>
          <w:numId w:val="8"/>
        </w:numPr>
        <w:topLinePunct w:val="0"/>
        <w:bidi w:val="0"/>
        <w:spacing w:line="400" w:lineRule="exac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理论教学评价表</w:t>
      </w:r>
    </w:p>
    <w:p>
      <w:pPr>
        <w:pageBreakBefore w:val="0"/>
        <w:widowControl/>
        <w:numPr>
          <w:ilvl w:val="0"/>
          <w:numId w:val="8"/>
        </w:numPr>
        <w:topLinePunct w:val="0"/>
        <w:bidi w:val="0"/>
        <w:spacing w:line="400" w:lineRule="exac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实践教学评价表（含教学做一体）</w:t>
      </w:r>
    </w:p>
    <w:p>
      <w:pPr>
        <w:pageBreakBefore w:val="0"/>
        <w:widowControl/>
        <w:numPr>
          <w:ilvl w:val="0"/>
          <w:numId w:val="8"/>
        </w:numPr>
        <w:topLinePunct w:val="0"/>
        <w:bidi w:val="0"/>
        <w:spacing w:line="400" w:lineRule="exac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学生顶岗实习评价表</w:t>
      </w:r>
    </w:p>
    <w:p>
      <w:pPr>
        <w:pageBreakBefore w:val="0"/>
        <w:widowControl/>
        <w:numPr>
          <w:ilvl w:val="0"/>
          <w:numId w:val="8"/>
        </w:numPr>
        <w:topLinePunct w:val="0"/>
        <w:bidi w:val="0"/>
        <w:spacing w:line="400" w:lineRule="exac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学生问卷调查表</w:t>
      </w:r>
    </w:p>
    <w:p>
      <w:pPr>
        <w:pageBreakBefore w:val="0"/>
        <w:widowControl/>
        <w:numPr>
          <w:ilvl w:val="0"/>
          <w:numId w:val="8"/>
        </w:numPr>
        <w:topLinePunct w:val="0"/>
        <w:bidi w:val="0"/>
        <w:spacing w:line="400" w:lineRule="exac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学生问卷调查表（实训教学）</w:t>
      </w:r>
    </w:p>
    <w:p>
      <w:pPr>
        <w:pageBreakBefore w:val="0"/>
        <w:widowControl/>
        <w:numPr>
          <w:ilvl w:val="0"/>
          <w:numId w:val="8"/>
        </w:numPr>
        <w:topLinePunct w:val="0"/>
        <w:bidi w:val="0"/>
        <w:spacing w:line="400" w:lineRule="exac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教师评学表</w:t>
      </w:r>
    </w:p>
    <w:p>
      <w:pPr>
        <w:pageBreakBefore w:val="0"/>
        <w:widowControl/>
        <w:topLinePunct w:val="0"/>
        <w:bidi w:val="0"/>
        <w:jc w:val="left"/>
        <w:outlineLvl w:val="9"/>
        <w:rPr>
          <w:rFonts w:ascii="仿宋" w:hAnsi="仿宋" w:eastAsia="仿宋" w:cs="仿宋"/>
          <w:bCs/>
          <w:kern w:val="0"/>
          <w:sz w:val="24"/>
        </w:rPr>
      </w:pPr>
      <w:r>
        <w:rPr>
          <w:rFonts w:hint="eastAsia" w:ascii="仿宋_GB2312" w:hAnsi="仿宋_GB2312" w:eastAsia="仿宋_GB2312" w:cs="仿宋_GB2312"/>
          <w:color w:val="auto"/>
          <w:kern w:val="2"/>
          <w:sz w:val="28"/>
          <w:szCs w:val="28"/>
          <w:highlight w:val="none"/>
          <w:lang w:val="en-US" w:eastAsia="zh-CN" w:bidi="ar-SA"/>
        </w:rPr>
        <w:br w:type="page"/>
      </w:r>
      <w:r>
        <w:rPr>
          <w:rFonts w:hint="eastAsia" w:ascii="仿宋" w:hAnsi="仿宋" w:eastAsia="仿宋" w:cs="仿宋"/>
          <w:color w:val="000000"/>
          <w:sz w:val="28"/>
          <w:szCs w:val="28"/>
        </w:rPr>
        <w:t>附件1</w:t>
      </w:r>
    </w:p>
    <w:p>
      <w:pPr>
        <w:pageBreakBefore w:val="0"/>
        <w:topLinePunct w:val="0"/>
        <w:bidi w:val="0"/>
        <w:spacing w:line="360" w:lineRule="auto"/>
        <w:jc w:val="center"/>
        <w:outlineLvl w:val="9"/>
        <w:rPr>
          <w:rFonts w:ascii="仿宋" w:hAnsi="仿宋" w:eastAsia="仿宋" w:cs="仿宋"/>
          <w:sz w:val="28"/>
          <w:szCs w:val="28"/>
        </w:rPr>
      </w:pPr>
      <w:r>
        <w:rPr>
          <w:rFonts w:hint="eastAsia" w:ascii="仿宋" w:hAnsi="仿宋" w:eastAsia="仿宋" w:cs="仿宋"/>
          <w:sz w:val="28"/>
          <w:szCs w:val="28"/>
        </w:rPr>
        <w:t>课程教学质量评价实施细则</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一、为进一步加强教学质量管理，提高人才培养质量，学校决定自2011学年度起开展课程教学质量评价的工作。</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二、课程教学质量评价的课程为重点专业学期正在实施的核心课程（原则上先从申报精品课程评审的课程中选取）。</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三、课程教学质量评价主要依据专业人才培养方案与该课程的课程标准（教学大纲），同时参考国家精品课程评审指标（高职）。</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四、课程教学质量评价重点</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1．教学设备与课程内容是否匹配、工位数是否满足需求、环境布置是否与企业实际工作环境相近。</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2．教学文件是否规范、齐全。</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3．教学内容是否符合课程标准或教学大纲要求，教学方法与教学手段是否按照课程标准或教学大纲实施。</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4．课堂教学中语言文字是否规范，有无违背党和国家方针政策的言行。</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5．教师的教学能力和实践动手能力是否适应课程教学的要求。</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6．课程考核的方法与手段是否符合课程标准或教学大纲要求。</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7．教学效果是否达到了课程标准或教学大纲对素质、能力、知识的培养目标要求。五、实施步骤</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1．确定一至二门本学期正在实施的重点专业的核心课程作为评价课程。</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2．学校成立课程评价专家组，专家组由校内外专家组成。</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3．专家组通过听说课、听课、学生座谈会、与任课教师交流、学生评教、同行评教、教师评学、查阅资料、考察实践条件等对该课程进行全面检查，由专家组撰写课程评价分析报告，并召开反馈会。</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教学单位参评课程资料准备清单（电子稿和打印稿各一份）：</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1. 课程所属专业的人才培养方案</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2. 课程标准</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3. 师资队伍现状</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4. 实践教学条件</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5. 教材与实训指导书</w:t>
      </w:r>
    </w:p>
    <w:p>
      <w:pPr>
        <w:pageBreakBefore w:val="0"/>
        <w:widowControl/>
        <w:topLinePunct w:val="0"/>
        <w:bidi w:val="0"/>
        <w:spacing w:line="400" w:lineRule="exact"/>
        <w:ind w:firstLine="420"/>
        <w:outlineLvl w:val="9"/>
        <w:rPr>
          <w:rFonts w:ascii="仿宋" w:hAnsi="仿宋" w:eastAsia="仿宋" w:cs="仿宋"/>
          <w:color w:val="000000"/>
        </w:rPr>
      </w:pPr>
      <w:r>
        <w:rPr>
          <w:rFonts w:hint="eastAsia" w:ascii="仿宋" w:hAnsi="仿宋" w:eastAsia="仿宋" w:cs="仿宋"/>
          <w:color w:val="000000"/>
        </w:rPr>
        <w:t>6. 教学文件（开课计划、教学进度表、教案、课程考核评价资料、评教评学资料、实践教学实施资料、开课班级学生名册等）</w:t>
      </w:r>
    </w:p>
    <w:p>
      <w:pPr>
        <w:pageBreakBefore w:val="0"/>
        <w:widowControl/>
        <w:topLinePunct w:val="0"/>
        <w:bidi w:val="0"/>
        <w:spacing w:line="400" w:lineRule="exact"/>
        <w:ind w:firstLine="420"/>
        <w:outlineLvl w:val="9"/>
        <w:rPr>
          <w:rFonts w:ascii="仿宋" w:hAnsi="仿宋" w:eastAsia="仿宋" w:cs="仿宋"/>
          <w:sz w:val="28"/>
          <w:szCs w:val="28"/>
        </w:rPr>
      </w:pPr>
      <w:r>
        <w:rPr>
          <w:rFonts w:hint="eastAsia" w:ascii="仿宋" w:hAnsi="仿宋" w:eastAsia="仿宋" w:cs="仿宋"/>
          <w:color w:val="000000"/>
        </w:rPr>
        <w:t>7. 说课材料（PPT）</w:t>
      </w:r>
    </w:p>
    <w:p>
      <w:pPr>
        <w:pageBreakBefore w:val="0"/>
        <w:widowControl/>
        <w:topLinePunct w:val="0"/>
        <w:bidi w:val="0"/>
        <w:jc w:val="left"/>
        <w:outlineLvl w:val="9"/>
        <w:rPr>
          <w:rFonts w:ascii="仿宋" w:hAnsi="仿宋" w:eastAsia="仿宋" w:cs="仿宋"/>
          <w:color w:val="000000"/>
        </w:rPr>
      </w:pPr>
    </w:p>
    <w:p>
      <w:pPr>
        <w:pageBreakBefore w:val="0"/>
        <w:widowControl/>
        <w:topLinePunct w:val="0"/>
        <w:bidi w:val="0"/>
        <w:jc w:val="left"/>
        <w:outlineLvl w:val="9"/>
        <w:rPr>
          <w:rFonts w:ascii="仿宋" w:hAnsi="仿宋" w:eastAsia="仿宋" w:cs="仿宋"/>
          <w:color w:val="000000"/>
          <w:sz w:val="28"/>
          <w:szCs w:val="28"/>
        </w:rPr>
      </w:pPr>
      <w:r>
        <w:rPr>
          <w:rFonts w:hint="eastAsia" w:ascii="仿宋" w:hAnsi="仿宋" w:eastAsia="仿宋" w:cs="仿宋"/>
          <w:color w:val="000000"/>
          <w:sz w:val="28"/>
          <w:szCs w:val="28"/>
        </w:rPr>
        <w:t>附件2</w:t>
      </w:r>
    </w:p>
    <w:p>
      <w:pPr>
        <w:pageBreakBefore w:val="0"/>
        <w:topLinePunct w:val="0"/>
        <w:bidi w:val="0"/>
        <w:spacing w:line="360" w:lineRule="auto"/>
        <w:jc w:val="center"/>
        <w:outlineLvl w:val="9"/>
        <w:rPr>
          <w:rFonts w:ascii="仿宋" w:hAnsi="仿宋" w:eastAsia="仿宋" w:cs="仿宋"/>
          <w:sz w:val="28"/>
          <w:szCs w:val="28"/>
        </w:rPr>
      </w:pPr>
      <w:r>
        <w:rPr>
          <w:rFonts w:hint="eastAsia" w:ascii="仿宋" w:hAnsi="仿宋" w:eastAsia="仿宋" w:cs="仿宋"/>
          <w:sz w:val="28"/>
          <w:szCs w:val="28"/>
        </w:rPr>
        <w:t>课程评价指标及内涵</w:t>
      </w:r>
    </w:p>
    <w:tbl>
      <w:tblPr>
        <w:tblStyle w:val="37"/>
        <w:tblW w:w="8994" w:type="dxa"/>
        <w:jc w:val="center"/>
        <w:tblLayout w:type="fixed"/>
        <w:tblCellMar>
          <w:top w:w="0" w:type="dxa"/>
          <w:left w:w="108" w:type="dxa"/>
          <w:bottom w:w="0" w:type="dxa"/>
          <w:right w:w="108" w:type="dxa"/>
        </w:tblCellMar>
      </w:tblPr>
      <w:tblGrid>
        <w:gridCol w:w="2779"/>
        <w:gridCol w:w="2881"/>
        <w:gridCol w:w="3334"/>
      </w:tblGrid>
      <w:tr>
        <w:tblPrEx>
          <w:tblCellMar>
            <w:top w:w="0" w:type="dxa"/>
            <w:left w:w="108" w:type="dxa"/>
            <w:bottom w:w="0" w:type="dxa"/>
            <w:right w:w="108" w:type="dxa"/>
          </w:tblCellMar>
        </w:tblPrEx>
        <w:trPr>
          <w:jc w:val="center"/>
        </w:trPr>
        <w:tc>
          <w:tcPr>
            <w:tcW w:w="2779" w:type="dxa"/>
            <w:noWrap w:val="0"/>
            <w:vAlign w:val="center"/>
          </w:tcPr>
          <w:p>
            <w:pPr>
              <w:pageBreakBefore w:val="0"/>
              <w:widowControl/>
              <w:topLinePunct w:val="0"/>
              <w:bidi w:val="0"/>
              <w:outlineLvl w:val="9"/>
              <w:rPr>
                <w:rFonts w:ascii="仿宋" w:hAnsi="仿宋" w:eastAsia="仿宋" w:cs="仿宋"/>
                <w:kern w:val="0"/>
                <w:sz w:val="22"/>
                <w:szCs w:val="22"/>
                <w:u w:val="single"/>
              </w:rPr>
            </w:pPr>
            <w:r>
              <w:rPr>
                <w:rFonts w:hint="eastAsia" w:ascii="仿宋" w:hAnsi="仿宋" w:eastAsia="仿宋" w:cs="仿宋"/>
                <w:kern w:val="0"/>
                <w:sz w:val="22"/>
                <w:szCs w:val="22"/>
              </w:rPr>
              <w:t>部门</w:t>
            </w:r>
          </w:p>
        </w:tc>
        <w:tc>
          <w:tcPr>
            <w:tcW w:w="2881" w:type="dxa"/>
            <w:noWrap w:val="0"/>
            <w:vAlign w:val="center"/>
          </w:tcPr>
          <w:p>
            <w:pPr>
              <w:pageBreakBefore w:val="0"/>
              <w:widowControl/>
              <w:topLinePunct w:val="0"/>
              <w:bidi w:val="0"/>
              <w:outlineLvl w:val="9"/>
              <w:rPr>
                <w:rFonts w:ascii="仿宋" w:hAnsi="仿宋" w:eastAsia="仿宋" w:cs="仿宋"/>
                <w:kern w:val="0"/>
                <w:sz w:val="22"/>
                <w:szCs w:val="22"/>
              </w:rPr>
            </w:pPr>
            <w:r>
              <w:rPr>
                <w:rFonts w:hint="eastAsia" w:ascii="仿宋" w:hAnsi="仿宋" w:eastAsia="仿宋" w:cs="仿宋"/>
                <w:kern w:val="0"/>
                <w:sz w:val="22"/>
                <w:szCs w:val="22"/>
              </w:rPr>
              <w:t>专业</w:t>
            </w:r>
          </w:p>
        </w:tc>
        <w:tc>
          <w:tcPr>
            <w:tcW w:w="3334" w:type="dxa"/>
            <w:noWrap w:val="0"/>
            <w:vAlign w:val="center"/>
          </w:tcPr>
          <w:p>
            <w:pPr>
              <w:pageBreakBefore w:val="0"/>
              <w:widowControl/>
              <w:topLinePunct w:val="0"/>
              <w:bidi w:val="0"/>
              <w:outlineLvl w:val="9"/>
              <w:rPr>
                <w:rFonts w:ascii="仿宋" w:hAnsi="仿宋" w:eastAsia="仿宋" w:cs="仿宋"/>
                <w:kern w:val="0"/>
                <w:sz w:val="22"/>
                <w:szCs w:val="22"/>
                <w:u w:val="single"/>
              </w:rPr>
            </w:pPr>
            <w:r>
              <w:rPr>
                <w:rFonts w:hint="eastAsia" w:ascii="仿宋" w:hAnsi="仿宋" w:eastAsia="仿宋" w:cs="仿宋"/>
                <w:kern w:val="0"/>
                <w:sz w:val="22"/>
                <w:szCs w:val="22"/>
              </w:rPr>
              <w:t>课程名称</w:t>
            </w:r>
          </w:p>
        </w:tc>
      </w:tr>
    </w:tbl>
    <w:p>
      <w:pPr>
        <w:pageBreakBefore w:val="0"/>
        <w:topLinePunct w:val="0"/>
        <w:bidi w:val="0"/>
        <w:snapToGrid w:val="0"/>
        <w:outlineLvl w:val="9"/>
        <w:rPr>
          <w:rFonts w:ascii="仿宋" w:hAnsi="仿宋" w:eastAsia="仿宋" w:cs="仿宋"/>
          <w:color w:val="000000"/>
          <w:sz w:val="10"/>
          <w:szCs w:val="10"/>
        </w:rPr>
      </w:pPr>
    </w:p>
    <w:tbl>
      <w:tblPr>
        <w:tblStyle w:val="37"/>
        <w:tblW w:w="9142"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0" w:type="dxa"/>
          <w:bottom w:w="0" w:type="dxa"/>
          <w:right w:w="0" w:type="dxa"/>
        </w:tblCellMar>
      </w:tblPr>
      <w:tblGrid>
        <w:gridCol w:w="603"/>
        <w:gridCol w:w="709"/>
        <w:gridCol w:w="964"/>
        <w:gridCol w:w="4311"/>
        <w:gridCol w:w="470"/>
        <w:gridCol w:w="408"/>
        <w:gridCol w:w="419"/>
        <w:gridCol w:w="413"/>
        <w:gridCol w:w="413"/>
        <w:gridCol w:w="432"/>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360" w:hRule="atLeast"/>
          <w:jc w:val="center"/>
        </w:trPr>
        <w:tc>
          <w:tcPr>
            <w:tcW w:w="603" w:type="dxa"/>
            <w:vMerge w:val="restart"/>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bCs/>
                <w:color w:val="000000"/>
                <w:szCs w:val="21"/>
              </w:rPr>
              <w:t>一级指标</w:t>
            </w:r>
          </w:p>
        </w:tc>
        <w:tc>
          <w:tcPr>
            <w:tcW w:w="709" w:type="dxa"/>
            <w:vMerge w:val="restart"/>
            <w:noWrap w:val="0"/>
            <w:tcMar>
              <w:top w:w="0" w:type="dxa"/>
              <w:left w:w="57" w:type="dxa"/>
              <w:bottom w:w="0" w:type="dxa"/>
              <w:right w:w="57" w:type="dxa"/>
            </w:tcMar>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二级</w:t>
            </w:r>
          </w:p>
          <w:p>
            <w:pPr>
              <w:pageBreakBefore w:val="0"/>
              <w:topLinePunct w:val="0"/>
              <w:bidi w:val="0"/>
              <w:spacing w:line="300" w:lineRule="exact"/>
              <w:jc w:val="center"/>
              <w:outlineLvl w:val="9"/>
              <w:rPr>
                <w:rFonts w:ascii="仿宋" w:hAnsi="仿宋" w:eastAsia="仿宋" w:cs="仿宋"/>
                <w:color w:val="000000"/>
                <w:szCs w:val="21"/>
              </w:rPr>
            </w:pPr>
            <w:r>
              <w:rPr>
                <w:rFonts w:hint="eastAsia" w:ascii="仿宋" w:hAnsi="仿宋" w:eastAsia="仿宋" w:cs="仿宋"/>
                <w:bCs/>
                <w:color w:val="000000"/>
                <w:szCs w:val="21"/>
              </w:rPr>
              <w:t>指标</w:t>
            </w:r>
          </w:p>
        </w:tc>
        <w:tc>
          <w:tcPr>
            <w:tcW w:w="964" w:type="dxa"/>
            <w:vMerge w:val="restart"/>
            <w:noWrap w:val="0"/>
            <w:tcMar>
              <w:top w:w="0" w:type="dxa"/>
              <w:left w:w="57" w:type="dxa"/>
              <w:bottom w:w="0" w:type="dxa"/>
              <w:right w:w="57" w:type="dxa"/>
            </w:tcMar>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主  要</w:t>
            </w:r>
          </w:p>
          <w:p>
            <w:pPr>
              <w:pageBreakBefore w:val="0"/>
              <w:topLinePunct w:val="0"/>
              <w:bidi w:val="0"/>
              <w:spacing w:line="300" w:lineRule="exact"/>
              <w:jc w:val="center"/>
              <w:outlineLvl w:val="9"/>
              <w:rPr>
                <w:rFonts w:ascii="仿宋" w:hAnsi="仿宋" w:eastAsia="仿宋" w:cs="仿宋"/>
                <w:color w:val="000000"/>
                <w:szCs w:val="21"/>
              </w:rPr>
            </w:pPr>
            <w:r>
              <w:rPr>
                <w:rFonts w:hint="eastAsia" w:ascii="仿宋" w:hAnsi="仿宋" w:eastAsia="仿宋" w:cs="仿宋"/>
                <w:bCs/>
                <w:color w:val="000000"/>
                <w:szCs w:val="21"/>
              </w:rPr>
              <w:t>观测点</w:t>
            </w:r>
          </w:p>
        </w:tc>
        <w:tc>
          <w:tcPr>
            <w:tcW w:w="4311" w:type="dxa"/>
            <w:vMerge w:val="restart"/>
            <w:noWrap w:val="0"/>
            <w:tcMar>
              <w:top w:w="0" w:type="dxa"/>
              <w:left w:w="57" w:type="dxa"/>
              <w:bottom w:w="0" w:type="dxa"/>
              <w:right w:w="57" w:type="dxa"/>
            </w:tcMar>
            <w:vAlign w:val="center"/>
          </w:tcPr>
          <w:p>
            <w:pPr>
              <w:pageBreakBefore w:val="0"/>
              <w:topLinePunct w:val="0"/>
              <w:bidi w:val="0"/>
              <w:spacing w:line="300" w:lineRule="exact"/>
              <w:jc w:val="center"/>
              <w:outlineLvl w:val="9"/>
              <w:rPr>
                <w:rFonts w:ascii="仿宋" w:hAnsi="仿宋" w:eastAsia="仿宋" w:cs="仿宋"/>
                <w:color w:val="000000"/>
                <w:szCs w:val="21"/>
              </w:rPr>
            </w:pPr>
            <w:r>
              <w:rPr>
                <w:rFonts w:hint="eastAsia" w:ascii="仿宋" w:hAnsi="仿宋" w:eastAsia="仿宋" w:cs="仿宋"/>
                <w:bCs/>
                <w:color w:val="000000"/>
                <w:szCs w:val="21"/>
              </w:rPr>
              <w:t>评审标准</w:t>
            </w:r>
          </w:p>
        </w:tc>
        <w:tc>
          <w:tcPr>
            <w:tcW w:w="470" w:type="dxa"/>
            <w:vMerge w:val="restart"/>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分值</w:t>
            </w:r>
          </w:p>
        </w:tc>
        <w:tc>
          <w:tcPr>
            <w:tcW w:w="2085" w:type="dxa"/>
            <w:gridSpan w:val="5"/>
            <w:noWrap w:val="0"/>
            <w:vAlign w:val="top"/>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评价等级</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311" w:hRule="atLeast"/>
          <w:jc w:val="center"/>
        </w:trPr>
        <w:tc>
          <w:tcPr>
            <w:tcW w:w="603" w:type="dxa"/>
            <w:vMerge w:val="continue"/>
            <w:noWrap w:val="0"/>
            <w:tcMar>
              <w:top w:w="0" w:type="dxa"/>
              <w:left w:w="57" w:type="dxa"/>
              <w:bottom w:w="0" w:type="dxa"/>
              <w:right w:w="57" w:type="dxa"/>
            </w:tcMar>
            <w:vAlign w:val="center"/>
          </w:tcPr>
          <w:p>
            <w:pPr>
              <w:pageBreakBefore w:val="0"/>
              <w:topLinePunct w:val="0"/>
              <w:bidi w:val="0"/>
              <w:ind w:firstLine="102" w:firstLineChars="49"/>
              <w:jc w:val="center"/>
              <w:outlineLvl w:val="9"/>
              <w:rPr>
                <w:rFonts w:ascii="仿宋" w:hAnsi="仿宋" w:eastAsia="仿宋" w:cs="仿宋"/>
                <w:bCs/>
                <w:color w:val="000000"/>
                <w:szCs w:val="21"/>
              </w:rPr>
            </w:pPr>
          </w:p>
        </w:tc>
        <w:tc>
          <w:tcPr>
            <w:tcW w:w="709" w:type="dxa"/>
            <w:vMerge w:val="continue"/>
            <w:noWrap w:val="0"/>
            <w:tcMar>
              <w:top w:w="0" w:type="dxa"/>
              <w:left w:w="57" w:type="dxa"/>
              <w:bottom w:w="0" w:type="dxa"/>
              <w:right w:w="57" w:type="dxa"/>
            </w:tcMar>
            <w:vAlign w:val="center"/>
          </w:tcPr>
          <w:p>
            <w:pPr>
              <w:pageBreakBefore w:val="0"/>
              <w:topLinePunct w:val="0"/>
              <w:bidi w:val="0"/>
              <w:spacing w:line="300" w:lineRule="exact"/>
              <w:jc w:val="center"/>
              <w:outlineLvl w:val="9"/>
              <w:rPr>
                <w:rFonts w:ascii="仿宋" w:hAnsi="仿宋" w:eastAsia="仿宋" w:cs="仿宋"/>
                <w:bCs/>
                <w:color w:val="000000"/>
                <w:szCs w:val="21"/>
              </w:rPr>
            </w:pPr>
          </w:p>
        </w:tc>
        <w:tc>
          <w:tcPr>
            <w:tcW w:w="964" w:type="dxa"/>
            <w:vMerge w:val="continue"/>
            <w:noWrap w:val="0"/>
            <w:tcMar>
              <w:top w:w="0" w:type="dxa"/>
              <w:left w:w="57" w:type="dxa"/>
              <w:bottom w:w="0" w:type="dxa"/>
              <w:right w:w="57" w:type="dxa"/>
            </w:tcMar>
            <w:vAlign w:val="center"/>
          </w:tcPr>
          <w:p>
            <w:pPr>
              <w:pageBreakBefore w:val="0"/>
              <w:topLinePunct w:val="0"/>
              <w:bidi w:val="0"/>
              <w:spacing w:line="300" w:lineRule="exact"/>
              <w:jc w:val="center"/>
              <w:outlineLvl w:val="9"/>
              <w:rPr>
                <w:rFonts w:ascii="仿宋" w:hAnsi="仿宋" w:eastAsia="仿宋" w:cs="仿宋"/>
                <w:bCs/>
                <w:color w:val="000000"/>
                <w:szCs w:val="21"/>
              </w:rPr>
            </w:pPr>
          </w:p>
        </w:tc>
        <w:tc>
          <w:tcPr>
            <w:tcW w:w="4311" w:type="dxa"/>
            <w:vMerge w:val="continue"/>
            <w:noWrap w:val="0"/>
            <w:tcMar>
              <w:top w:w="0" w:type="dxa"/>
              <w:left w:w="57" w:type="dxa"/>
              <w:bottom w:w="0" w:type="dxa"/>
              <w:right w:w="57" w:type="dxa"/>
            </w:tcMar>
            <w:vAlign w:val="center"/>
          </w:tcPr>
          <w:p>
            <w:pPr>
              <w:pageBreakBefore w:val="0"/>
              <w:topLinePunct w:val="0"/>
              <w:bidi w:val="0"/>
              <w:spacing w:line="300" w:lineRule="exact"/>
              <w:jc w:val="center"/>
              <w:outlineLvl w:val="9"/>
              <w:rPr>
                <w:rFonts w:ascii="仿宋" w:hAnsi="仿宋" w:eastAsia="仿宋" w:cs="仿宋"/>
                <w:bCs/>
                <w:color w:val="000000"/>
                <w:szCs w:val="21"/>
              </w:rPr>
            </w:pPr>
          </w:p>
        </w:tc>
        <w:tc>
          <w:tcPr>
            <w:tcW w:w="470" w:type="dxa"/>
            <w:vMerge w:val="continue"/>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p>
        </w:tc>
        <w:tc>
          <w:tcPr>
            <w:tcW w:w="408"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A</w:t>
            </w:r>
          </w:p>
        </w:tc>
        <w:tc>
          <w:tcPr>
            <w:tcW w:w="419"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B</w:t>
            </w:r>
          </w:p>
        </w:tc>
        <w:tc>
          <w:tcPr>
            <w:tcW w:w="413"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C</w:t>
            </w:r>
          </w:p>
        </w:tc>
        <w:tc>
          <w:tcPr>
            <w:tcW w:w="413"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D</w:t>
            </w:r>
          </w:p>
        </w:tc>
        <w:tc>
          <w:tcPr>
            <w:tcW w:w="432"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E</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360" w:hRule="atLeast"/>
          <w:jc w:val="center"/>
        </w:trPr>
        <w:tc>
          <w:tcPr>
            <w:tcW w:w="603" w:type="dxa"/>
            <w:vMerge w:val="continue"/>
            <w:noWrap w:val="0"/>
            <w:tcMar>
              <w:top w:w="0" w:type="dxa"/>
              <w:left w:w="57" w:type="dxa"/>
              <w:bottom w:w="0" w:type="dxa"/>
              <w:right w:w="57" w:type="dxa"/>
            </w:tcMar>
            <w:vAlign w:val="center"/>
          </w:tcPr>
          <w:p>
            <w:pPr>
              <w:pageBreakBefore w:val="0"/>
              <w:topLinePunct w:val="0"/>
              <w:bidi w:val="0"/>
              <w:ind w:firstLine="102" w:firstLineChars="49"/>
              <w:jc w:val="center"/>
              <w:outlineLvl w:val="9"/>
              <w:rPr>
                <w:rFonts w:ascii="仿宋" w:hAnsi="仿宋" w:eastAsia="仿宋" w:cs="仿宋"/>
                <w:bCs/>
                <w:color w:val="000000"/>
                <w:szCs w:val="21"/>
              </w:rPr>
            </w:pPr>
          </w:p>
        </w:tc>
        <w:tc>
          <w:tcPr>
            <w:tcW w:w="709" w:type="dxa"/>
            <w:vMerge w:val="continue"/>
            <w:noWrap w:val="0"/>
            <w:tcMar>
              <w:top w:w="0" w:type="dxa"/>
              <w:left w:w="57" w:type="dxa"/>
              <w:bottom w:w="0" w:type="dxa"/>
              <w:right w:w="57" w:type="dxa"/>
            </w:tcMar>
            <w:vAlign w:val="center"/>
          </w:tcPr>
          <w:p>
            <w:pPr>
              <w:pageBreakBefore w:val="0"/>
              <w:topLinePunct w:val="0"/>
              <w:bidi w:val="0"/>
              <w:spacing w:line="300" w:lineRule="exact"/>
              <w:jc w:val="center"/>
              <w:outlineLvl w:val="9"/>
              <w:rPr>
                <w:rFonts w:ascii="仿宋" w:hAnsi="仿宋" w:eastAsia="仿宋" w:cs="仿宋"/>
                <w:bCs/>
                <w:color w:val="000000"/>
                <w:szCs w:val="21"/>
              </w:rPr>
            </w:pPr>
          </w:p>
        </w:tc>
        <w:tc>
          <w:tcPr>
            <w:tcW w:w="964" w:type="dxa"/>
            <w:vMerge w:val="continue"/>
            <w:noWrap w:val="0"/>
            <w:tcMar>
              <w:top w:w="0" w:type="dxa"/>
              <w:left w:w="57" w:type="dxa"/>
              <w:bottom w:w="0" w:type="dxa"/>
              <w:right w:w="57" w:type="dxa"/>
            </w:tcMar>
            <w:vAlign w:val="center"/>
          </w:tcPr>
          <w:p>
            <w:pPr>
              <w:pageBreakBefore w:val="0"/>
              <w:topLinePunct w:val="0"/>
              <w:bidi w:val="0"/>
              <w:spacing w:line="300" w:lineRule="exact"/>
              <w:jc w:val="center"/>
              <w:outlineLvl w:val="9"/>
              <w:rPr>
                <w:rFonts w:ascii="仿宋" w:hAnsi="仿宋" w:eastAsia="仿宋" w:cs="仿宋"/>
                <w:bCs/>
                <w:color w:val="000000"/>
                <w:szCs w:val="21"/>
              </w:rPr>
            </w:pPr>
          </w:p>
        </w:tc>
        <w:tc>
          <w:tcPr>
            <w:tcW w:w="4311" w:type="dxa"/>
            <w:vMerge w:val="continue"/>
            <w:noWrap w:val="0"/>
            <w:tcMar>
              <w:top w:w="0" w:type="dxa"/>
              <w:left w:w="57" w:type="dxa"/>
              <w:bottom w:w="0" w:type="dxa"/>
              <w:right w:w="57" w:type="dxa"/>
            </w:tcMar>
            <w:vAlign w:val="center"/>
          </w:tcPr>
          <w:p>
            <w:pPr>
              <w:pageBreakBefore w:val="0"/>
              <w:topLinePunct w:val="0"/>
              <w:bidi w:val="0"/>
              <w:spacing w:line="300" w:lineRule="exact"/>
              <w:jc w:val="center"/>
              <w:outlineLvl w:val="9"/>
              <w:rPr>
                <w:rFonts w:ascii="仿宋" w:hAnsi="仿宋" w:eastAsia="仿宋" w:cs="仿宋"/>
                <w:bCs/>
                <w:color w:val="000000"/>
                <w:szCs w:val="21"/>
              </w:rPr>
            </w:pPr>
          </w:p>
        </w:tc>
        <w:tc>
          <w:tcPr>
            <w:tcW w:w="470" w:type="dxa"/>
            <w:vMerge w:val="continue"/>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p>
        </w:tc>
        <w:tc>
          <w:tcPr>
            <w:tcW w:w="408"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1.0</w:t>
            </w:r>
          </w:p>
        </w:tc>
        <w:tc>
          <w:tcPr>
            <w:tcW w:w="419"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0.8</w:t>
            </w:r>
          </w:p>
        </w:tc>
        <w:tc>
          <w:tcPr>
            <w:tcW w:w="413"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0.6</w:t>
            </w:r>
          </w:p>
        </w:tc>
        <w:tc>
          <w:tcPr>
            <w:tcW w:w="413"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0.4</w:t>
            </w:r>
          </w:p>
        </w:tc>
        <w:tc>
          <w:tcPr>
            <w:tcW w:w="432"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0.2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1654" w:hRule="atLeast"/>
          <w:jc w:val="center"/>
        </w:trPr>
        <w:tc>
          <w:tcPr>
            <w:tcW w:w="603" w:type="dxa"/>
            <w:vMerge w:val="restart"/>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一</w:t>
            </w:r>
          </w:p>
          <w:p>
            <w:pPr>
              <w:pageBreakBefore w:val="0"/>
              <w:topLinePunct w:val="0"/>
              <w:bidi w:val="0"/>
              <w:jc w:val="center"/>
              <w:outlineLvl w:val="9"/>
              <w:rPr>
                <w:rFonts w:ascii="仿宋" w:hAnsi="仿宋" w:eastAsia="仿宋" w:cs="仿宋"/>
                <w:bCs/>
                <w:color w:val="000000"/>
                <w:szCs w:val="21"/>
              </w:rPr>
            </w:pP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课</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程</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设</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置</w:t>
            </w:r>
          </w:p>
          <w:p>
            <w:pPr>
              <w:pageBreakBefore w:val="0"/>
              <w:topLinePunct w:val="0"/>
              <w:bidi w:val="0"/>
              <w:jc w:val="center"/>
              <w:outlineLvl w:val="9"/>
              <w:rPr>
                <w:rFonts w:ascii="仿宋" w:hAnsi="仿宋" w:eastAsia="仿宋" w:cs="仿宋"/>
                <w:bCs/>
                <w:color w:val="000000"/>
                <w:szCs w:val="21"/>
              </w:rPr>
            </w:pP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10</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分</w:t>
            </w:r>
          </w:p>
        </w:tc>
        <w:tc>
          <w:tcPr>
            <w:tcW w:w="709"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1-1</w:t>
            </w:r>
          </w:p>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课程</w:t>
            </w:r>
          </w:p>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定位</w:t>
            </w:r>
          </w:p>
        </w:tc>
        <w:tc>
          <w:tcPr>
            <w:tcW w:w="964"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性质与</w:t>
            </w:r>
          </w:p>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作用</w:t>
            </w:r>
          </w:p>
        </w:tc>
        <w:tc>
          <w:tcPr>
            <w:tcW w:w="4311" w:type="dxa"/>
            <w:noWrap w:val="0"/>
            <w:tcMar>
              <w:top w:w="0" w:type="dxa"/>
              <w:left w:w="57" w:type="dxa"/>
              <w:bottom w:w="0" w:type="dxa"/>
              <w:right w:w="57" w:type="dxa"/>
            </w:tcMar>
            <w:vAlign w:val="center"/>
          </w:tcPr>
          <w:p>
            <w:pPr>
              <w:pageBreakBefore w:val="0"/>
              <w:topLinePunct w:val="0"/>
              <w:bidi w:val="0"/>
              <w:outlineLvl w:val="9"/>
              <w:rPr>
                <w:rFonts w:ascii="仿宋" w:hAnsi="仿宋" w:eastAsia="仿宋" w:cs="仿宋"/>
                <w:color w:val="000000"/>
                <w:szCs w:val="21"/>
              </w:rPr>
            </w:pPr>
            <w:r>
              <w:rPr>
                <w:rFonts w:hint="eastAsia" w:ascii="仿宋" w:hAnsi="仿宋" w:eastAsia="仿宋" w:cs="仿宋"/>
                <w:bCs/>
                <w:color w:val="000000"/>
                <w:szCs w:val="21"/>
              </w:rPr>
              <w:t>专业课程体系符合高技能人才培养目标和专业相关技术领域职业岗位（群）的任职要求；本课程对学生职业能力培养和职业素养养成起主要支撑或明显促进作用，且与前、后续课程衔接得当。</w:t>
            </w:r>
          </w:p>
        </w:tc>
        <w:tc>
          <w:tcPr>
            <w:tcW w:w="470"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4</w:t>
            </w:r>
          </w:p>
        </w:tc>
        <w:tc>
          <w:tcPr>
            <w:tcW w:w="408"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9"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32"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1115" w:hRule="atLeast"/>
          <w:jc w:val="center"/>
        </w:trPr>
        <w:tc>
          <w:tcPr>
            <w:tcW w:w="603" w:type="dxa"/>
            <w:vMerge w:val="continue"/>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p>
        </w:tc>
        <w:tc>
          <w:tcPr>
            <w:tcW w:w="709"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1-2</w:t>
            </w:r>
          </w:p>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课程设计</w:t>
            </w:r>
          </w:p>
        </w:tc>
        <w:tc>
          <w:tcPr>
            <w:tcW w:w="964"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理念与</w:t>
            </w:r>
          </w:p>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思路</w:t>
            </w:r>
          </w:p>
        </w:tc>
        <w:tc>
          <w:tcPr>
            <w:tcW w:w="4311" w:type="dxa"/>
            <w:noWrap w:val="0"/>
            <w:tcMar>
              <w:top w:w="0" w:type="dxa"/>
              <w:left w:w="57" w:type="dxa"/>
              <w:bottom w:w="0" w:type="dxa"/>
              <w:right w:w="57" w:type="dxa"/>
            </w:tcMar>
            <w:vAlign w:val="center"/>
          </w:tcPr>
          <w:p>
            <w:pPr>
              <w:pageBreakBefore w:val="0"/>
              <w:topLinePunct w:val="0"/>
              <w:bidi w:val="0"/>
              <w:outlineLvl w:val="9"/>
              <w:rPr>
                <w:rFonts w:ascii="仿宋" w:hAnsi="仿宋" w:eastAsia="仿宋" w:cs="仿宋"/>
                <w:bCs/>
                <w:color w:val="000000"/>
                <w:szCs w:val="21"/>
              </w:rPr>
            </w:pPr>
            <w:r>
              <w:rPr>
                <w:rFonts w:hint="eastAsia" w:ascii="仿宋" w:hAnsi="仿宋" w:eastAsia="仿宋" w:cs="仿宋"/>
                <w:bCs/>
                <w:color w:val="000000"/>
                <w:szCs w:val="21"/>
              </w:rPr>
              <w:t>以职业能力培养为重点，与行业企业合作进行基于工作过程的课程开发与设计，充分体现职业性、实践性和开放性的要求。</w:t>
            </w:r>
          </w:p>
        </w:tc>
        <w:tc>
          <w:tcPr>
            <w:tcW w:w="470"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6</w:t>
            </w:r>
          </w:p>
        </w:tc>
        <w:tc>
          <w:tcPr>
            <w:tcW w:w="408"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9"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32"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1258" w:hRule="atLeast"/>
          <w:jc w:val="center"/>
        </w:trPr>
        <w:tc>
          <w:tcPr>
            <w:tcW w:w="603" w:type="dxa"/>
            <w:vMerge w:val="restart"/>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二</w:t>
            </w:r>
          </w:p>
          <w:p>
            <w:pPr>
              <w:pageBreakBefore w:val="0"/>
              <w:topLinePunct w:val="0"/>
              <w:bidi w:val="0"/>
              <w:jc w:val="center"/>
              <w:outlineLvl w:val="9"/>
              <w:rPr>
                <w:rFonts w:ascii="仿宋" w:hAnsi="仿宋" w:eastAsia="仿宋" w:cs="仿宋"/>
                <w:bCs/>
                <w:color w:val="000000"/>
                <w:szCs w:val="21"/>
              </w:rPr>
            </w:pP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教</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学</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内</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容</w:t>
            </w:r>
          </w:p>
          <w:p>
            <w:pPr>
              <w:pageBreakBefore w:val="0"/>
              <w:topLinePunct w:val="0"/>
              <w:bidi w:val="0"/>
              <w:jc w:val="center"/>
              <w:outlineLvl w:val="9"/>
              <w:rPr>
                <w:rFonts w:ascii="仿宋" w:hAnsi="仿宋" w:eastAsia="仿宋" w:cs="仿宋"/>
                <w:bCs/>
                <w:color w:val="000000"/>
                <w:szCs w:val="21"/>
              </w:rPr>
            </w:pP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25</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分</w:t>
            </w:r>
          </w:p>
        </w:tc>
        <w:tc>
          <w:tcPr>
            <w:tcW w:w="709"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2-1</w:t>
            </w:r>
          </w:p>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bCs/>
                <w:color w:val="000000"/>
                <w:szCs w:val="21"/>
              </w:rPr>
              <w:t>内容选取</w:t>
            </w:r>
          </w:p>
        </w:tc>
        <w:tc>
          <w:tcPr>
            <w:tcW w:w="964"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bCs/>
                <w:color w:val="000000"/>
                <w:szCs w:val="21"/>
              </w:rPr>
              <w:t>针对性和适用性</w:t>
            </w:r>
          </w:p>
        </w:tc>
        <w:tc>
          <w:tcPr>
            <w:tcW w:w="4311" w:type="dxa"/>
            <w:noWrap w:val="0"/>
            <w:tcMar>
              <w:top w:w="0" w:type="dxa"/>
              <w:left w:w="57" w:type="dxa"/>
              <w:bottom w:w="0" w:type="dxa"/>
              <w:right w:w="57" w:type="dxa"/>
            </w:tcMar>
            <w:vAlign w:val="center"/>
          </w:tcPr>
          <w:p>
            <w:pPr>
              <w:pageBreakBefore w:val="0"/>
              <w:topLinePunct w:val="0"/>
              <w:bidi w:val="0"/>
              <w:outlineLvl w:val="9"/>
              <w:rPr>
                <w:rFonts w:ascii="仿宋" w:hAnsi="仿宋" w:eastAsia="仿宋" w:cs="仿宋"/>
                <w:color w:val="000000"/>
                <w:szCs w:val="21"/>
              </w:rPr>
            </w:pPr>
            <w:r>
              <w:rPr>
                <w:rFonts w:hint="eastAsia" w:ascii="仿宋" w:hAnsi="仿宋" w:eastAsia="仿宋" w:cs="仿宋"/>
                <w:bCs/>
                <w:color w:val="000000"/>
                <w:szCs w:val="21"/>
              </w:rPr>
              <w:t>根据行业企业发展需要和完成职业岗位实际工作任务所需要的知识、能力、素质要求，选取教学内容，并为学生可持续发展奠定良好的基础。</w:t>
            </w:r>
          </w:p>
        </w:tc>
        <w:tc>
          <w:tcPr>
            <w:tcW w:w="470"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10</w:t>
            </w:r>
          </w:p>
        </w:tc>
        <w:tc>
          <w:tcPr>
            <w:tcW w:w="408"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9"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32"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1506" w:hRule="atLeast"/>
          <w:jc w:val="center"/>
        </w:trPr>
        <w:tc>
          <w:tcPr>
            <w:tcW w:w="603" w:type="dxa"/>
            <w:vMerge w:val="continue"/>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p>
        </w:tc>
        <w:tc>
          <w:tcPr>
            <w:tcW w:w="709"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bCs/>
                <w:color w:val="000000"/>
                <w:szCs w:val="21"/>
              </w:rPr>
              <w:t>2-2</w:t>
            </w:r>
          </w:p>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内容组织</w:t>
            </w:r>
          </w:p>
        </w:tc>
        <w:tc>
          <w:tcPr>
            <w:tcW w:w="964"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组织与</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安排</w:t>
            </w:r>
          </w:p>
        </w:tc>
        <w:tc>
          <w:tcPr>
            <w:tcW w:w="4311" w:type="dxa"/>
            <w:noWrap w:val="0"/>
            <w:tcMar>
              <w:top w:w="0" w:type="dxa"/>
              <w:left w:w="57" w:type="dxa"/>
              <w:bottom w:w="0" w:type="dxa"/>
              <w:right w:w="57" w:type="dxa"/>
            </w:tcMar>
            <w:vAlign w:val="center"/>
          </w:tcPr>
          <w:p>
            <w:pPr>
              <w:pageBreakBefore w:val="0"/>
              <w:topLinePunct w:val="0"/>
              <w:bidi w:val="0"/>
              <w:outlineLvl w:val="9"/>
              <w:rPr>
                <w:rFonts w:ascii="仿宋" w:hAnsi="仿宋" w:eastAsia="仿宋" w:cs="仿宋"/>
                <w:bCs/>
                <w:color w:val="000000"/>
                <w:szCs w:val="21"/>
              </w:rPr>
            </w:pPr>
            <w:r>
              <w:rPr>
                <w:rFonts w:hint="eastAsia" w:ascii="仿宋" w:hAnsi="仿宋" w:eastAsia="仿宋" w:cs="仿宋"/>
                <w:bCs/>
                <w:color w:val="000000"/>
                <w:szCs w:val="21"/>
              </w:rPr>
              <w:t>遵循学生职业能力培养的基本规律，以真实工作任务及其工作过程为依据整合、序化教学内容，科学设计学习性工作任务，教、学、做结合，理论与实践一体化，实训、实习等教学环节设计合理。</w:t>
            </w:r>
          </w:p>
        </w:tc>
        <w:tc>
          <w:tcPr>
            <w:tcW w:w="470"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10</w:t>
            </w:r>
          </w:p>
        </w:tc>
        <w:tc>
          <w:tcPr>
            <w:tcW w:w="408"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9"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32"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1339" w:hRule="atLeast"/>
          <w:jc w:val="center"/>
        </w:trPr>
        <w:tc>
          <w:tcPr>
            <w:tcW w:w="603" w:type="dxa"/>
            <w:vMerge w:val="continue"/>
            <w:noWrap w:val="0"/>
            <w:vAlign w:val="center"/>
          </w:tcPr>
          <w:p>
            <w:pPr>
              <w:pageBreakBefore w:val="0"/>
              <w:widowControl/>
              <w:topLinePunct w:val="0"/>
              <w:bidi w:val="0"/>
              <w:jc w:val="center"/>
              <w:outlineLvl w:val="9"/>
              <w:rPr>
                <w:rFonts w:ascii="仿宋" w:hAnsi="仿宋" w:eastAsia="仿宋" w:cs="仿宋"/>
                <w:bCs/>
                <w:color w:val="000000"/>
                <w:szCs w:val="21"/>
              </w:rPr>
            </w:pPr>
          </w:p>
        </w:tc>
        <w:tc>
          <w:tcPr>
            <w:tcW w:w="709"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2-3</w:t>
            </w:r>
          </w:p>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表现形式</w:t>
            </w:r>
          </w:p>
        </w:tc>
        <w:tc>
          <w:tcPr>
            <w:tcW w:w="964"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教材及相关资料</w:t>
            </w:r>
          </w:p>
        </w:tc>
        <w:tc>
          <w:tcPr>
            <w:tcW w:w="4311" w:type="dxa"/>
            <w:noWrap w:val="0"/>
            <w:tcMar>
              <w:top w:w="0" w:type="dxa"/>
              <w:left w:w="57" w:type="dxa"/>
              <w:bottom w:w="0" w:type="dxa"/>
              <w:right w:w="57" w:type="dxa"/>
            </w:tcMar>
            <w:vAlign w:val="center"/>
          </w:tcPr>
          <w:p>
            <w:pPr>
              <w:pageBreakBefore w:val="0"/>
              <w:topLinePunct w:val="0"/>
              <w:bidi w:val="0"/>
              <w:outlineLvl w:val="9"/>
              <w:rPr>
                <w:rFonts w:ascii="仿宋" w:hAnsi="仿宋" w:eastAsia="仿宋" w:cs="仿宋"/>
                <w:bCs/>
                <w:color w:val="000000"/>
                <w:szCs w:val="21"/>
              </w:rPr>
            </w:pPr>
            <w:r>
              <w:rPr>
                <w:rFonts w:hint="eastAsia" w:ascii="仿宋" w:hAnsi="仿宋" w:eastAsia="仿宋" w:cs="仿宋"/>
                <w:bCs/>
                <w:color w:val="000000"/>
                <w:szCs w:val="21"/>
              </w:rPr>
              <w:t>选用先进、适用教材，与行业企业合作编写工学结合特色教材，课件、案例、习题、实训实习项目、学习指南等教学相关资料齐全，符合课程设计要求，满足网络课程教学需要。</w:t>
            </w:r>
          </w:p>
        </w:tc>
        <w:tc>
          <w:tcPr>
            <w:tcW w:w="470"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5</w:t>
            </w:r>
          </w:p>
        </w:tc>
        <w:tc>
          <w:tcPr>
            <w:tcW w:w="408"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9"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32"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1406" w:hRule="atLeast"/>
          <w:jc w:val="center"/>
        </w:trPr>
        <w:tc>
          <w:tcPr>
            <w:tcW w:w="603" w:type="dxa"/>
            <w:vMerge w:val="restart"/>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三</w:t>
            </w:r>
          </w:p>
          <w:p>
            <w:pPr>
              <w:pageBreakBefore w:val="0"/>
              <w:topLinePunct w:val="0"/>
              <w:bidi w:val="0"/>
              <w:jc w:val="center"/>
              <w:outlineLvl w:val="9"/>
              <w:rPr>
                <w:rFonts w:ascii="仿宋" w:hAnsi="仿宋" w:eastAsia="仿宋" w:cs="仿宋"/>
                <w:bCs/>
                <w:color w:val="000000"/>
                <w:szCs w:val="21"/>
              </w:rPr>
            </w:pP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教学</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方法</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与</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手段</w:t>
            </w:r>
          </w:p>
          <w:p>
            <w:pPr>
              <w:pageBreakBefore w:val="0"/>
              <w:topLinePunct w:val="0"/>
              <w:bidi w:val="0"/>
              <w:jc w:val="center"/>
              <w:outlineLvl w:val="9"/>
              <w:rPr>
                <w:rFonts w:ascii="仿宋" w:hAnsi="仿宋" w:eastAsia="仿宋" w:cs="仿宋"/>
                <w:bCs/>
                <w:color w:val="000000"/>
                <w:szCs w:val="21"/>
              </w:rPr>
            </w:pP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25</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分</w:t>
            </w:r>
          </w:p>
        </w:tc>
        <w:tc>
          <w:tcPr>
            <w:tcW w:w="709"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3-1</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教学设计</w:t>
            </w:r>
          </w:p>
        </w:tc>
        <w:tc>
          <w:tcPr>
            <w:tcW w:w="964" w:type="dxa"/>
            <w:noWrap w:val="0"/>
            <w:tcMar>
              <w:top w:w="0" w:type="dxa"/>
              <w:left w:w="57" w:type="dxa"/>
              <w:bottom w:w="0" w:type="dxa"/>
              <w:right w:w="57" w:type="dxa"/>
            </w:tcMar>
            <w:vAlign w:val="center"/>
          </w:tcPr>
          <w:p>
            <w:pPr>
              <w:pageBreakBefore w:val="0"/>
              <w:topLinePunct w:val="0"/>
              <w:bidi w:val="0"/>
              <w:outlineLvl w:val="9"/>
              <w:rPr>
                <w:rFonts w:ascii="仿宋" w:hAnsi="仿宋" w:eastAsia="仿宋" w:cs="仿宋"/>
                <w:bCs/>
                <w:color w:val="000000"/>
                <w:szCs w:val="21"/>
              </w:rPr>
            </w:pPr>
            <w:r>
              <w:rPr>
                <w:rFonts w:hint="eastAsia" w:ascii="仿宋" w:hAnsi="仿宋" w:eastAsia="仿宋" w:cs="仿宋"/>
                <w:bCs/>
                <w:color w:val="000000"/>
                <w:szCs w:val="21"/>
              </w:rPr>
              <w:t>教学模式</w:t>
            </w:r>
          </w:p>
        </w:tc>
        <w:tc>
          <w:tcPr>
            <w:tcW w:w="4311" w:type="dxa"/>
            <w:noWrap w:val="0"/>
            <w:tcMar>
              <w:top w:w="0" w:type="dxa"/>
              <w:left w:w="57" w:type="dxa"/>
              <w:bottom w:w="0" w:type="dxa"/>
              <w:right w:w="57" w:type="dxa"/>
            </w:tcMar>
            <w:vAlign w:val="center"/>
          </w:tcPr>
          <w:p>
            <w:pPr>
              <w:pageBreakBefore w:val="0"/>
              <w:topLinePunct w:val="0"/>
              <w:bidi w:val="0"/>
              <w:outlineLvl w:val="9"/>
              <w:rPr>
                <w:rFonts w:ascii="仿宋" w:hAnsi="仿宋" w:eastAsia="仿宋" w:cs="仿宋"/>
                <w:bCs/>
                <w:color w:val="000000"/>
                <w:szCs w:val="21"/>
              </w:rPr>
            </w:pPr>
            <w:r>
              <w:rPr>
                <w:rFonts w:hint="eastAsia" w:ascii="仿宋" w:hAnsi="仿宋" w:eastAsia="仿宋" w:cs="仿宋"/>
                <w:color w:val="000000"/>
                <w:szCs w:val="21"/>
              </w:rPr>
              <w:t>重视学生在校学习与实际工作的一致性，有针对性地采取工学交替、任务驱动、项目导向、课堂与实习地点一体化等</w:t>
            </w:r>
            <w:r>
              <w:rPr>
                <w:rFonts w:hint="eastAsia" w:ascii="仿宋" w:hAnsi="仿宋" w:eastAsia="仿宋" w:cs="仿宋"/>
                <w:bCs/>
                <w:color w:val="000000"/>
                <w:szCs w:val="21"/>
              </w:rPr>
              <w:t>行动导向的</w:t>
            </w:r>
            <w:r>
              <w:rPr>
                <w:rFonts w:hint="eastAsia" w:ascii="仿宋" w:hAnsi="仿宋" w:eastAsia="仿宋" w:cs="仿宋"/>
                <w:color w:val="000000"/>
                <w:szCs w:val="21"/>
              </w:rPr>
              <w:t>教学模式。</w:t>
            </w:r>
          </w:p>
        </w:tc>
        <w:tc>
          <w:tcPr>
            <w:tcW w:w="470"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8</w:t>
            </w:r>
          </w:p>
        </w:tc>
        <w:tc>
          <w:tcPr>
            <w:tcW w:w="408"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9"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32"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979" w:hRule="atLeast"/>
          <w:jc w:val="center"/>
        </w:trPr>
        <w:tc>
          <w:tcPr>
            <w:tcW w:w="603" w:type="dxa"/>
            <w:vMerge w:val="continue"/>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p>
        </w:tc>
        <w:tc>
          <w:tcPr>
            <w:tcW w:w="709"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3-2</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教学</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方法</w:t>
            </w:r>
          </w:p>
        </w:tc>
        <w:tc>
          <w:tcPr>
            <w:tcW w:w="964"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教学方法的运用</w:t>
            </w:r>
          </w:p>
        </w:tc>
        <w:tc>
          <w:tcPr>
            <w:tcW w:w="4311" w:type="dxa"/>
            <w:noWrap w:val="0"/>
            <w:tcMar>
              <w:top w:w="0" w:type="dxa"/>
              <w:left w:w="57" w:type="dxa"/>
              <w:bottom w:w="0" w:type="dxa"/>
              <w:right w:w="57" w:type="dxa"/>
            </w:tcMar>
            <w:vAlign w:val="center"/>
          </w:tcPr>
          <w:p>
            <w:pPr>
              <w:pageBreakBefore w:val="0"/>
              <w:topLinePunct w:val="0"/>
              <w:bidi w:val="0"/>
              <w:outlineLvl w:val="9"/>
              <w:rPr>
                <w:rFonts w:ascii="仿宋" w:hAnsi="仿宋" w:eastAsia="仿宋" w:cs="仿宋"/>
                <w:bCs/>
                <w:color w:val="000000"/>
                <w:szCs w:val="21"/>
              </w:rPr>
            </w:pPr>
            <w:r>
              <w:rPr>
                <w:rFonts w:hint="eastAsia" w:ascii="仿宋" w:hAnsi="仿宋" w:eastAsia="仿宋" w:cs="仿宋"/>
                <w:color w:val="000000"/>
                <w:szCs w:val="21"/>
              </w:rPr>
              <w:t>根据课程内容和学生特点，</w:t>
            </w:r>
            <w:r>
              <w:rPr>
                <w:rFonts w:hint="eastAsia" w:ascii="仿宋" w:hAnsi="仿宋" w:eastAsia="仿宋" w:cs="仿宋"/>
                <w:bCs/>
                <w:color w:val="000000"/>
                <w:szCs w:val="21"/>
              </w:rPr>
              <w:t>灵活运用案例分析、分组讨论、角色扮演、启发引导等教学方法，引导学生积极思考、乐于实践，提高教、学效果。</w:t>
            </w:r>
          </w:p>
        </w:tc>
        <w:tc>
          <w:tcPr>
            <w:tcW w:w="470"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6</w:t>
            </w:r>
          </w:p>
        </w:tc>
        <w:tc>
          <w:tcPr>
            <w:tcW w:w="408"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9"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32"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1474" w:hRule="atLeast"/>
          <w:jc w:val="center"/>
        </w:trPr>
        <w:tc>
          <w:tcPr>
            <w:tcW w:w="603" w:type="dxa"/>
            <w:vMerge w:val="continue"/>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p>
        </w:tc>
        <w:tc>
          <w:tcPr>
            <w:tcW w:w="709"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3-3</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教学</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手段</w:t>
            </w:r>
          </w:p>
        </w:tc>
        <w:tc>
          <w:tcPr>
            <w:tcW w:w="964"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信息技术的应用</w:t>
            </w:r>
          </w:p>
        </w:tc>
        <w:tc>
          <w:tcPr>
            <w:tcW w:w="4311" w:type="dxa"/>
            <w:noWrap w:val="0"/>
            <w:tcMar>
              <w:top w:w="0" w:type="dxa"/>
              <w:left w:w="57" w:type="dxa"/>
              <w:bottom w:w="0" w:type="dxa"/>
              <w:right w:w="57" w:type="dxa"/>
            </w:tcMar>
            <w:vAlign w:val="center"/>
          </w:tcPr>
          <w:p>
            <w:pPr>
              <w:pageBreakBefore w:val="0"/>
              <w:topLinePunct w:val="0"/>
              <w:bidi w:val="0"/>
              <w:outlineLvl w:val="9"/>
              <w:rPr>
                <w:rFonts w:ascii="仿宋" w:hAnsi="仿宋" w:eastAsia="仿宋" w:cs="仿宋"/>
                <w:bCs/>
                <w:color w:val="000000"/>
                <w:szCs w:val="21"/>
              </w:rPr>
            </w:pPr>
            <w:r>
              <w:rPr>
                <w:rFonts w:hint="eastAsia" w:ascii="仿宋" w:hAnsi="仿宋" w:eastAsia="仿宋" w:cs="仿宋"/>
                <w:bCs/>
                <w:color w:val="000000"/>
                <w:szCs w:val="21"/>
              </w:rPr>
              <w:t>运用现代教育技术和虚拟现实技术，建立虚拟社会、虚拟企业、虚拟车间、虚拟项目等仿真教学环境，</w:t>
            </w:r>
            <w:r>
              <w:rPr>
                <w:rFonts w:hint="eastAsia" w:ascii="仿宋" w:hAnsi="仿宋" w:eastAsia="仿宋" w:cs="仿宋"/>
                <w:bCs/>
                <w:color w:val="000000"/>
              </w:rPr>
              <w:t>优化教学过程，提高教学质量和效率</w:t>
            </w:r>
            <w:r>
              <w:rPr>
                <w:rFonts w:hint="eastAsia" w:ascii="仿宋" w:hAnsi="仿宋" w:eastAsia="仿宋" w:cs="仿宋"/>
                <w:bCs/>
                <w:color w:val="000000"/>
                <w:szCs w:val="21"/>
              </w:rPr>
              <w:t>，取得实效。</w:t>
            </w:r>
          </w:p>
        </w:tc>
        <w:tc>
          <w:tcPr>
            <w:tcW w:w="470"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6</w:t>
            </w:r>
          </w:p>
        </w:tc>
        <w:tc>
          <w:tcPr>
            <w:tcW w:w="408"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9"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32"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1452" w:hRule="atLeast"/>
          <w:jc w:val="center"/>
        </w:trPr>
        <w:tc>
          <w:tcPr>
            <w:tcW w:w="603" w:type="dxa"/>
            <w:vMerge w:val="continue"/>
            <w:noWrap w:val="0"/>
            <w:vAlign w:val="center"/>
          </w:tcPr>
          <w:p>
            <w:pPr>
              <w:pageBreakBefore w:val="0"/>
              <w:topLinePunct w:val="0"/>
              <w:bidi w:val="0"/>
              <w:jc w:val="center"/>
              <w:outlineLvl w:val="9"/>
              <w:rPr>
                <w:rFonts w:ascii="仿宋" w:hAnsi="仿宋" w:eastAsia="仿宋" w:cs="仿宋"/>
                <w:bCs/>
                <w:color w:val="000000"/>
                <w:szCs w:val="21"/>
              </w:rPr>
            </w:pPr>
          </w:p>
        </w:tc>
        <w:tc>
          <w:tcPr>
            <w:tcW w:w="709"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bCs/>
                <w:color w:val="000000"/>
                <w:szCs w:val="21"/>
              </w:rPr>
              <w:t>3-4</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网络</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教学</w:t>
            </w:r>
          </w:p>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bCs/>
                <w:color w:val="000000"/>
                <w:szCs w:val="21"/>
              </w:rPr>
              <w:t>环境</w:t>
            </w:r>
          </w:p>
        </w:tc>
        <w:tc>
          <w:tcPr>
            <w:tcW w:w="964"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bCs/>
                <w:color w:val="000000"/>
                <w:szCs w:val="21"/>
              </w:rPr>
              <w:t>网络教学资源和硬件环境</w:t>
            </w:r>
          </w:p>
        </w:tc>
        <w:tc>
          <w:tcPr>
            <w:tcW w:w="4311" w:type="dxa"/>
            <w:noWrap w:val="0"/>
            <w:tcMar>
              <w:top w:w="0" w:type="dxa"/>
              <w:left w:w="57" w:type="dxa"/>
              <w:bottom w:w="0" w:type="dxa"/>
              <w:right w:w="57" w:type="dxa"/>
            </w:tcMar>
            <w:vAlign w:val="center"/>
          </w:tcPr>
          <w:p>
            <w:pPr>
              <w:pageBreakBefore w:val="0"/>
              <w:topLinePunct w:val="0"/>
              <w:bidi w:val="0"/>
              <w:outlineLvl w:val="9"/>
              <w:rPr>
                <w:rFonts w:ascii="仿宋" w:hAnsi="仿宋" w:eastAsia="仿宋" w:cs="仿宋"/>
                <w:color w:val="000000"/>
                <w:szCs w:val="21"/>
              </w:rPr>
            </w:pPr>
            <w:r>
              <w:rPr>
                <w:rFonts w:hint="eastAsia" w:ascii="仿宋" w:hAnsi="仿宋" w:eastAsia="仿宋" w:cs="仿宋"/>
                <w:bCs/>
                <w:color w:val="000000"/>
                <w:szCs w:val="21"/>
              </w:rPr>
              <w:t>网络教学资源丰富，架构合理，硬件环境能够支撑网络课程的正常运行，并能有效共享。</w:t>
            </w:r>
          </w:p>
        </w:tc>
        <w:tc>
          <w:tcPr>
            <w:tcW w:w="470"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5</w:t>
            </w:r>
          </w:p>
        </w:tc>
        <w:tc>
          <w:tcPr>
            <w:tcW w:w="408"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9"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32"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1260" w:hRule="atLeast"/>
          <w:jc w:val="center"/>
        </w:trPr>
        <w:tc>
          <w:tcPr>
            <w:tcW w:w="603" w:type="dxa"/>
            <w:vMerge w:val="restart"/>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四</w:t>
            </w:r>
          </w:p>
          <w:p>
            <w:pPr>
              <w:pageBreakBefore w:val="0"/>
              <w:topLinePunct w:val="0"/>
              <w:bidi w:val="0"/>
              <w:jc w:val="center"/>
              <w:outlineLvl w:val="9"/>
              <w:rPr>
                <w:rFonts w:ascii="仿宋" w:hAnsi="仿宋" w:eastAsia="仿宋" w:cs="仿宋"/>
                <w:bCs/>
                <w:color w:val="000000"/>
                <w:szCs w:val="21"/>
              </w:rPr>
            </w:pP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教</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学</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队</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伍</w:t>
            </w:r>
          </w:p>
          <w:p>
            <w:pPr>
              <w:pageBreakBefore w:val="0"/>
              <w:topLinePunct w:val="0"/>
              <w:bidi w:val="0"/>
              <w:jc w:val="center"/>
              <w:outlineLvl w:val="9"/>
              <w:rPr>
                <w:rFonts w:ascii="仿宋" w:hAnsi="仿宋" w:eastAsia="仿宋" w:cs="仿宋"/>
                <w:bCs/>
                <w:color w:val="000000"/>
                <w:szCs w:val="21"/>
              </w:rPr>
            </w:pP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20</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分</w:t>
            </w:r>
          </w:p>
        </w:tc>
        <w:tc>
          <w:tcPr>
            <w:tcW w:w="709"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bCs/>
                <w:color w:val="000000"/>
                <w:szCs w:val="21"/>
              </w:rPr>
              <w:t>4-1</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主讲</w:t>
            </w:r>
          </w:p>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bCs/>
                <w:color w:val="000000"/>
                <w:szCs w:val="21"/>
              </w:rPr>
              <w:t>教师</w:t>
            </w:r>
          </w:p>
        </w:tc>
        <w:tc>
          <w:tcPr>
            <w:tcW w:w="964"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bCs/>
                <w:color w:val="000000"/>
                <w:szCs w:val="21"/>
              </w:rPr>
              <w:t>师德、能力与水平</w:t>
            </w:r>
          </w:p>
        </w:tc>
        <w:tc>
          <w:tcPr>
            <w:tcW w:w="4311" w:type="dxa"/>
            <w:noWrap w:val="0"/>
            <w:tcMar>
              <w:top w:w="0" w:type="dxa"/>
              <w:left w:w="57" w:type="dxa"/>
              <w:bottom w:w="0" w:type="dxa"/>
              <w:right w:w="57" w:type="dxa"/>
            </w:tcMar>
            <w:vAlign w:val="center"/>
          </w:tcPr>
          <w:p>
            <w:pPr>
              <w:pageBreakBefore w:val="0"/>
              <w:topLinePunct w:val="0"/>
              <w:bidi w:val="0"/>
              <w:ind w:right="-57" w:rightChars="-27"/>
              <w:outlineLvl w:val="9"/>
              <w:rPr>
                <w:rFonts w:ascii="仿宋" w:hAnsi="仿宋" w:eastAsia="仿宋" w:cs="仿宋"/>
                <w:color w:val="000000"/>
                <w:szCs w:val="21"/>
              </w:rPr>
            </w:pPr>
            <w:r>
              <w:rPr>
                <w:rFonts w:hint="eastAsia" w:ascii="仿宋" w:hAnsi="仿宋" w:eastAsia="仿宋" w:cs="仿宋"/>
                <w:bCs/>
                <w:color w:val="000000"/>
                <w:szCs w:val="21"/>
              </w:rPr>
              <w:t>师德高尚、治学严谨；语言文字规范；无违背党和国家方针政策的言行，无师德失范行为；执教能力强，教学效果好，参与和承担教育研究或教学改革项目，成果显著；与企业联系密切，参与校企合作或相关专业技术服务项目，成效明显。</w:t>
            </w:r>
          </w:p>
        </w:tc>
        <w:tc>
          <w:tcPr>
            <w:tcW w:w="470" w:type="dxa"/>
            <w:noWrap w:val="0"/>
            <w:vAlign w:val="center"/>
          </w:tcPr>
          <w:p>
            <w:pPr>
              <w:pageBreakBefore w:val="0"/>
              <w:widowControl/>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10</w:t>
            </w:r>
          </w:p>
        </w:tc>
        <w:tc>
          <w:tcPr>
            <w:tcW w:w="408" w:type="dxa"/>
            <w:noWrap w:val="0"/>
            <w:vAlign w:val="top"/>
          </w:tcPr>
          <w:p>
            <w:pPr>
              <w:pageBreakBefore w:val="0"/>
              <w:widowControl/>
              <w:topLinePunct w:val="0"/>
              <w:bidi w:val="0"/>
              <w:outlineLvl w:val="9"/>
              <w:rPr>
                <w:rFonts w:ascii="仿宋" w:hAnsi="仿宋" w:eastAsia="仿宋" w:cs="仿宋"/>
                <w:bCs/>
                <w:color w:val="000000"/>
                <w:szCs w:val="21"/>
              </w:rPr>
            </w:pPr>
          </w:p>
        </w:tc>
        <w:tc>
          <w:tcPr>
            <w:tcW w:w="419" w:type="dxa"/>
            <w:noWrap w:val="0"/>
            <w:vAlign w:val="top"/>
          </w:tcPr>
          <w:p>
            <w:pPr>
              <w:pageBreakBefore w:val="0"/>
              <w:widowControl/>
              <w:topLinePunct w:val="0"/>
              <w:bidi w:val="0"/>
              <w:outlineLvl w:val="9"/>
              <w:rPr>
                <w:rFonts w:ascii="仿宋" w:hAnsi="仿宋" w:eastAsia="仿宋" w:cs="仿宋"/>
                <w:bCs/>
                <w:color w:val="000000"/>
                <w:szCs w:val="21"/>
              </w:rPr>
            </w:pPr>
          </w:p>
        </w:tc>
        <w:tc>
          <w:tcPr>
            <w:tcW w:w="413" w:type="dxa"/>
            <w:noWrap w:val="0"/>
            <w:vAlign w:val="top"/>
          </w:tcPr>
          <w:p>
            <w:pPr>
              <w:pageBreakBefore w:val="0"/>
              <w:widowControl/>
              <w:topLinePunct w:val="0"/>
              <w:bidi w:val="0"/>
              <w:outlineLvl w:val="9"/>
              <w:rPr>
                <w:rFonts w:ascii="仿宋" w:hAnsi="仿宋" w:eastAsia="仿宋" w:cs="仿宋"/>
                <w:bCs/>
                <w:color w:val="000000"/>
                <w:szCs w:val="21"/>
              </w:rPr>
            </w:pPr>
          </w:p>
        </w:tc>
        <w:tc>
          <w:tcPr>
            <w:tcW w:w="413" w:type="dxa"/>
            <w:noWrap w:val="0"/>
            <w:vAlign w:val="top"/>
          </w:tcPr>
          <w:p>
            <w:pPr>
              <w:pageBreakBefore w:val="0"/>
              <w:widowControl/>
              <w:topLinePunct w:val="0"/>
              <w:bidi w:val="0"/>
              <w:outlineLvl w:val="9"/>
              <w:rPr>
                <w:rFonts w:ascii="仿宋" w:hAnsi="仿宋" w:eastAsia="仿宋" w:cs="仿宋"/>
                <w:bCs/>
                <w:color w:val="000000"/>
                <w:szCs w:val="21"/>
              </w:rPr>
            </w:pPr>
          </w:p>
        </w:tc>
        <w:tc>
          <w:tcPr>
            <w:tcW w:w="432" w:type="dxa"/>
            <w:noWrap w:val="0"/>
            <w:vAlign w:val="top"/>
          </w:tcPr>
          <w:p>
            <w:pPr>
              <w:pageBreakBefore w:val="0"/>
              <w:widowControl/>
              <w:topLinePunct w:val="0"/>
              <w:bidi w:val="0"/>
              <w:outlineLvl w:val="9"/>
              <w:rPr>
                <w:rFonts w:ascii="仿宋" w:hAnsi="仿宋" w:eastAsia="仿宋" w:cs="仿宋"/>
                <w:bCs/>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1549" w:hRule="atLeast"/>
          <w:jc w:val="center"/>
        </w:trPr>
        <w:tc>
          <w:tcPr>
            <w:tcW w:w="603" w:type="dxa"/>
            <w:vMerge w:val="continue"/>
            <w:noWrap w:val="0"/>
            <w:vAlign w:val="center"/>
          </w:tcPr>
          <w:p>
            <w:pPr>
              <w:pageBreakBefore w:val="0"/>
              <w:widowControl/>
              <w:topLinePunct w:val="0"/>
              <w:bidi w:val="0"/>
              <w:outlineLvl w:val="9"/>
              <w:rPr>
                <w:rFonts w:ascii="仿宋" w:hAnsi="仿宋" w:eastAsia="仿宋" w:cs="仿宋"/>
                <w:bCs/>
                <w:color w:val="000000"/>
                <w:szCs w:val="21"/>
              </w:rPr>
            </w:pPr>
          </w:p>
        </w:tc>
        <w:tc>
          <w:tcPr>
            <w:tcW w:w="709"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bCs/>
                <w:color w:val="000000"/>
                <w:szCs w:val="21"/>
              </w:rPr>
              <w:t>4-2</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教学</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队伍</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结构</w:t>
            </w:r>
          </w:p>
        </w:tc>
        <w:tc>
          <w:tcPr>
            <w:tcW w:w="964" w:type="dxa"/>
            <w:noWrap w:val="0"/>
            <w:tcMar>
              <w:top w:w="0" w:type="dxa"/>
              <w:left w:w="57" w:type="dxa"/>
              <w:bottom w:w="0" w:type="dxa"/>
              <w:right w:w="57" w:type="dxa"/>
            </w:tcMar>
            <w:vAlign w:val="center"/>
          </w:tcPr>
          <w:p>
            <w:pPr>
              <w:pageBreakBefore w:val="0"/>
              <w:topLinePunct w:val="0"/>
              <w:bidi w:val="0"/>
              <w:outlineLvl w:val="9"/>
              <w:rPr>
                <w:rFonts w:ascii="仿宋" w:hAnsi="仿宋" w:eastAsia="仿宋" w:cs="仿宋"/>
                <w:color w:val="000000"/>
                <w:szCs w:val="21"/>
              </w:rPr>
            </w:pPr>
            <w:r>
              <w:rPr>
                <w:rFonts w:hint="eastAsia" w:ascii="仿宋" w:hAnsi="仿宋" w:eastAsia="仿宋" w:cs="仿宋"/>
                <w:bCs/>
                <w:color w:val="000000"/>
                <w:szCs w:val="21"/>
              </w:rPr>
              <w:t>“双师”结构、专兼职比例</w:t>
            </w:r>
          </w:p>
        </w:tc>
        <w:tc>
          <w:tcPr>
            <w:tcW w:w="4311" w:type="dxa"/>
            <w:noWrap w:val="0"/>
            <w:tcMar>
              <w:top w:w="0" w:type="dxa"/>
              <w:left w:w="57" w:type="dxa"/>
              <w:bottom w:w="0" w:type="dxa"/>
              <w:right w:w="57" w:type="dxa"/>
            </w:tcMar>
            <w:vAlign w:val="center"/>
          </w:tcPr>
          <w:p>
            <w:pPr>
              <w:pageBreakBefore w:val="0"/>
              <w:topLinePunct w:val="0"/>
              <w:bidi w:val="0"/>
              <w:outlineLvl w:val="9"/>
              <w:rPr>
                <w:rFonts w:ascii="仿宋" w:hAnsi="仿宋" w:eastAsia="仿宋" w:cs="仿宋"/>
                <w:color w:val="000000"/>
                <w:szCs w:val="21"/>
              </w:rPr>
            </w:pPr>
            <w:r>
              <w:rPr>
                <w:rFonts w:hint="eastAsia" w:ascii="仿宋" w:hAnsi="仿宋" w:eastAsia="仿宋" w:cs="仿宋"/>
                <w:bCs/>
                <w:color w:val="000000"/>
                <w:szCs w:val="21"/>
              </w:rPr>
              <w:t>专任教师中“双师”教师和有企业经历的教师比例、专业教师中来自行业企业的兼职教师比例符合课程性质和教学实施的要求；行业企业兼职教师承担有适当比例的课程教学任务，特别是主要的实践教学任务。</w:t>
            </w:r>
          </w:p>
        </w:tc>
        <w:tc>
          <w:tcPr>
            <w:tcW w:w="470" w:type="dxa"/>
            <w:noWrap w:val="0"/>
            <w:vAlign w:val="center"/>
          </w:tcPr>
          <w:p>
            <w:pPr>
              <w:pageBreakBefore w:val="0"/>
              <w:widowControl/>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10</w:t>
            </w:r>
          </w:p>
        </w:tc>
        <w:tc>
          <w:tcPr>
            <w:tcW w:w="408" w:type="dxa"/>
            <w:noWrap w:val="0"/>
            <w:vAlign w:val="top"/>
          </w:tcPr>
          <w:p>
            <w:pPr>
              <w:pageBreakBefore w:val="0"/>
              <w:widowControl/>
              <w:topLinePunct w:val="0"/>
              <w:bidi w:val="0"/>
              <w:outlineLvl w:val="9"/>
              <w:rPr>
                <w:rFonts w:ascii="仿宋" w:hAnsi="仿宋" w:eastAsia="仿宋" w:cs="仿宋"/>
                <w:bCs/>
                <w:color w:val="000000"/>
                <w:szCs w:val="21"/>
              </w:rPr>
            </w:pPr>
          </w:p>
        </w:tc>
        <w:tc>
          <w:tcPr>
            <w:tcW w:w="419" w:type="dxa"/>
            <w:noWrap w:val="0"/>
            <w:vAlign w:val="top"/>
          </w:tcPr>
          <w:p>
            <w:pPr>
              <w:pageBreakBefore w:val="0"/>
              <w:widowControl/>
              <w:topLinePunct w:val="0"/>
              <w:bidi w:val="0"/>
              <w:outlineLvl w:val="9"/>
              <w:rPr>
                <w:rFonts w:ascii="仿宋" w:hAnsi="仿宋" w:eastAsia="仿宋" w:cs="仿宋"/>
                <w:bCs/>
                <w:color w:val="000000"/>
                <w:szCs w:val="21"/>
              </w:rPr>
            </w:pPr>
          </w:p>
        </w:tc>
        <w:tc>
          <w:tcPr>
            <w:tcW w:w="413" w:type="dxa"/>
            <w:noWrap w:val="0"/>
            <w:vAlign w:val="top"/>
          </w:tcPr>
          <w:p>
            <w:pPr>
              <w:pageBreakBefore w:val="0"/>
              <w:widowControl/>
              <w:topLinePunct w:val="0"/>
              <w:bidi w:val="0"/>
              <w:outlineLvl w:val="9"/>
              <w:rPr>
                <w:rFonts w:ascii="仿宋" w:hAnsi="仿宋" w:eastAsia="仿宋" w:cs="仿宋"/>
                <w:bCs/>
                <w:color w:val="000000"/>
                <w:szCs w:val="21"/>
              </w:rPr>
            </w:pPr>
          </w:p>
        </w:tc>
        <w:tc>
          <w:tcPr>
            <w:tcW w:w="413" w:type="dxa"/>
            <w:noWrap w:val="0"/>
            <w:vAlign w:val="top"/>
          </w:tcPr>
          <w:p>
            <w:pPr>
              <w:pageBreakBefore w:val="0"/>
              <w:widowControl/>
              <w:topLinePunct w:val="0"/>
              <w:bidi w:val="0"/>
              <w:outlineLvl w:val="9"/>
              <w:rPr>
                <w:rFonts w:ascii="仿宋" w:hAnsi="仿宋" w:eastAsia="仿宋" w:cs="仿宋"/>
                <w:bCs/>
                <w:color w:val="000000"/>
                <w:szCs w:val="21"/>
              </w:rPr>
            </w:pPr>
          </w:p>
        </w:tc>
        <w:tc>
          <w:tcPr>
            <w:tcW w:w="432" w:type="dxa"/>
            <w:noWrap w:val="0"/>
            <w:vAlign w:val="top"/>
          </w:tcPr>
          <w:p>
            <w:pPr>
              <w:pageBreakBefore w:val="0"/>
              <w:widowControl/>
              <w:topLinePunct w:val="0"/>
              <w:bidi w:val="0"/>
              <w:outlineLvl w:val="9"/>
              <w:rPr>
                <w:rFonts w:ascii="仿宋" w:hAnsi="仿宋" w:eastAsia="仿宋" w:cs="仿宋"/>
                <w:bCs/>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1125" w:hRule="atLeast"/>
          <w:jc w:val="center"/>
        </w:trPr>
        <w:tc>
          <w:tcPr>
            <w:tcW w:w="603" w:type="dxa"/>
            <w:vMerge w:val="restart"/>
            <w:noWrap w:val="0"/>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五</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实</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践</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条</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件</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10</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分</w:t>
            </w:r>
          </w:p>
        </w:tc>
        <w:tc>
          <w:tcPr>
            <w:tcW w:w="709"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5-1</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校内实训</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条件</w:t>
            </w:r>
          </w:p>
        </w:tc>
        <w:tc>
          <w:tcPr>
            <w:tcW w:w="964"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设备与</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环境</w:t>
            </w:r>
          </w:p>
        </w:tc>
        <w:tc>
          <w:tcPr>
            <w:tcW w:w="4311" w:type="dxa"/>
            <w:noWrap w:val="0"/>
            <w:tcMar>
              <w:top w:w="0" w:type="dxa"/>
              <w:left w:w="57" w:type="dxa"/>
              <w:bottom w:w="0" w:type="dxa"/>
              <w:right w:w="57" w:type="dxa"/>
            </w:tcMar>
            <w:vAlign w:val="center"/>
          </w:tcPr>
          <w:p>
            <w:pPr>
              <w:pageBreakBefore w:val="0"/>
              <w:topLinePunct w:val="0"/>
              <w:bidi w:val="0"/>
              <w:outlineLvl w:val="9"/>
              <w:rPr>
                <w:rFonts w:ascii="仿宋" w:hAnsi="仿宋" w:eastAsia="仿宋" w:cs="仿宋"/>
                <w:bCs/>
                <w:color w:val="000000"/>
                <w:szCs w:val="21"/>
              </w:rPr>
            </w:pPr>
            <w:r>
              <w:rPr>
                <w:rFonts w:hint="eastAsia" w:ascii="仿宋" w:hAnsi="仿宋" w:eastAsia="仿宋" w:cs="仿宋"/>
                <w:bCs/>
                <w:color w:val="000000"/>
                <w:szCs w:val="21"/>
              </w:rPr>
              <w:t>实训基地由行业企业与学校共同参与建设，能够满足课程生产性实训或仿真实训的需要，设备、设施利用率高。</w:t>
            </w:r>
          </w:p>
        </w:tc>
        <w:tc>
          <w:tcPr>
            <w:tcW w:w="470"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6</w:t>
            </w:r>
          </w:p>
        </w:tc>
        <w:tc>
          <w:tcPr>
            <w:tcW w:w="408"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9"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32"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1317" w:hRule="atLeast"/>
          <w:jc w:val="center"/>
        </w:trPr>
        <w:tc>
          <w:tcPr>
            <w:tcW w:w="603" w:type="dxa"/>
            <w:vMerge w:val="continue"/>
            <w:noWrap w:val="0"/>
            <w:vAlign w:val="center"/>
          </w:tcPr>
          <w:p>
            <w:pPr>
              <w:pageBreakBefore w:val="0"/>
              <w:widowControl/>
              <w:topLinePunct w:val="0"/>
              <w:bidi w:val="0"/>
              <w:outlineLvl w:val="9"/>
              <w:rPr>
                <w:rFonts w:ascii="仿宋" w:hAnsi="仿宋" w:eastAsia="仿宋" w:cs="仿宋"/>
                <w:bCs/>
                <w:color w:val="000000"/>
                <w:szCs w:val="21"/>
              </w:rPr>
            </w:pPr>
          </w:p>
        </w:tc>
        <w:tc>
          <w:tcPr>
            <w:tcW w:w="709"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5-2</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校外实习环境</w:t>
            </w:r>
          </w:p>
        </w:tc>
        <w:tc>
          <w:tcPr>
            <w:tcW w:w="964"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建设与</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利用</w:t>
            </w:r>
          </w:p>
        </w:tc>
        <w:tc>
          <w:tcPr>
            <w:tcW w:w="4311" w:type="dxa"/>
            <w:noWrap w:val="0"/>
            <w:tcMar>
              <w:top w:w="0" w:type="dxa"/>
              <w:left w:w="57" w:type="dxa"/>
              <w:bottom w:w="0" w:type="dxa"/>
              <w:right w:w="57" w:type="dxa"/>
            </w:tcMar>
            <w:vAlign w:val="center"/>
          </w:tcPr>
          <w:p>
            <w:pPr>
              <w:pageBreakBefore w:val="0"/>
              <w:topLinePunct w:val="0"/>
              <w:bidi w:val="0"/>
              <w:outlineLvl w:val="9"/>
              <w:rPr>
                <w:rFonts w:ascii="仿宋" w:hAnsi="仿宋" w:eastAsia="仿宋" w:cs="仿宋"/>
                <w:bCs/>
                <w:color w:val="000000"/>
                <w:szCs w:val="21"/>
              </w:rPr>
            </w:pPr>
            <w:r>
              <w:rPr>
                <w:rFonts w:hint="eastAsia" w:ascii="仿宋" w:hAnsi="仿宋" w:eastAsia="仿宋" w:cs="仿宋"/>
                <w:bCs/>
                <w:color w:val="000000"/>
                <w:szCs w:val="21"/>
              </w:rPr>
              <w:t>与校内实训基地统筹规划，布点合理，功能明确，为课程的实践教学提供真实的工程环境，能够满足学生了解企业实际、体验企业文化的需要。</w:t>
            </w:r>
          </w:p>
        </w:tc>
        <w:tc>
          <w:tcPr>
            <w:tcW w:w="470" w:type="dxa"/>
            <w:noWrap w:val="0"/>
            <w:vAlign w:val="center"/>
          </w:tcPr>
          <w:p>
            <w:pPr>
              <w:pageBreakBefore w:val="0"/>
              <w:topLinePunct w:val="0"/>
              <w:autoSpaceDE w:val="0"/>
              <w:autoSpaceDN w:val="0"/>
              <w:bidi w:val="0"/>
              <w:adjustRightInd w:val="0"/>
              <w:jc w:val="center"/>
              <w:outlineLvl w:val="9"/>
              <w:rPr>
                <w:rFonts w:ascii="仿宋" w:hAnsi="仿宋" w:eastAsia="仿宋" w:cs="仿宋"/>
                <w:bCs/>
                <w:color w:val="000000"/>
                <w:szCs w:val="21"/>
              </w:rPr>
            </w:pPr>
            <w:r>
              <w:rPr>
                <w:rFonts w:hint="eastAsia" w:ascii="仿宋" w:hAnsi="仿宋" w:eastAsia="仿宋" w:cs="仿宋"/>
                <w:bCs/>
                <w:color w:val="000000"/>
                <w:szCs w:val="21"/>
              </w:rPr>
              <w:t>4</w:t>
            </w:r>
          </w:p>
        </w:tc>
        <w:tc>
          <w:tcPr>
            <w:tcW w:w="408" w:type="dxa"/>
            <w:noWrap w:val="0"/>
            <w:vAlign w:val="top"/>
          </w:tcPr>
          <w:p>
            <w:pPr>
              <w:pageBreakBefore w:val="0"/>
              <w:topLinePunct w:val="0"/>
              <w:autoSpaceDE w:val="0"/>
              <w:autoSpaceDN w:val="0"/>
              <w:bidi w:val="0"/>
              <w:adjustRightInd w:val="0"/>
              <w:outlineLvl w:val="9"/>
              <w:rPr>
                <w:rFonts w:ascii="仿宋" w:hAnsi="仿宋" w:eastAsia="仿宋" w:cs="仿宋"/>
                <w:bCs/>
                <w:color w:val="000000"/>
                <w:szCs w:val="21"/>
              </w:rPr>
            </w:pPr>
          </w:p>
        </w:tc>
        <w:tc>
          <w:tcPr>
            <w:tcW w:w="419" w:type="dxa"/>
            <w:noWrap w:val="0"/>
            <w:vAlign w:val="top"/>
          </w:tcPr>
          <w:p>
            <w:pPr>
              <w:pageBreakBefore w:val="0"/>
              <w:topLinePunct w:val="0"/>
              <w:autoSpaceDE w:val="0"/>
              <w:autoSpaceDN w:val="0"/>
              <w:bidi w:val="0"/>
              <w:adjustRightInd w:val="0"/>
              <w:outlineLvl w:val="9"/>
              <w:rPr>
                <w:rFonts w:ascii="仿宋" w:hAnsi="仿宋" w:eastAsia="仿宋" w:cs="仿宋"/>
                <w:bCs/>
                <w:color w:val="000000"/>
                <w:szCs w:val="21"/>
              </w:rPr>
            </w:pPr>
          </w:p>
        </w:tc>
        <w:tc>
          <w:tcPr>
            <w:tcW w:w="413" w:type="dxa"/>
            <w:noWrap w:val="0"/>
            <w:vAlign w:val="top"/>
          </w:tcPr>
          <w:p>
            <w:pPr>
              <w:pageBreakBefore w:val="0"/>
              <w:topLinePunct w:val="0"/>
              <w:autoSpaceDE w:val="0"/>
              <w:autoSpaceDN w:val="0"/>
              <w:bidi w:val="0"/>
              <w:adjustRightInd w:val="0"/>
              <w:outlineLvl w:val="9"/>
              <w:rPr>
                <w:rFonts w:ascii="仿宋" w:hAnsi="仿宋" w:eastAsia="仿宋" w:cs="仿宋"/>
                <w:bCs/>
                <w:color w:val="000000"/>
                <w:szCs w:val="21"/>
              </w:rPr>
            </w:pPr>
          </w:p>
        </w:tc>
        <w:tc>
          <w:tcPr>
            <w:tcW w:w="413" w:type="dxa"/>
            <w:noWrap w:val="0"/>
            <w:vAlign w:val="top"/>
          </w:tcPr>
          <w:p>
            <w:pPr>
              <w:pageBreakBefore w:val="0"/>
              <w:topLinePunct w:val="0"/>
              <w:autoSpaceDE w:val="0"/>
              <w:autoSpaceDN w:val="0"/>
              <w:bidi w:val="0"/>
              <w:adjustRightInd w:val="0"/>
              <w:outlineLvl w:val="9"/>
              <w:rPr>
                <w:rFonts w:ascii="仿宋" w:hAnsi="仿宋" w:eastAsia="仿宋" w:cs="仿宋"/>
                <w:bCs/>
                <w:color w:val="000000"/>
                <w:szCs w:val="21"/>
              </w:rPr>
            </w:pPr>
          </w:p>
        </w:tc>
        <w:tc>
          <w:tcPr>
            <w:tcW w:w="432" w:type="dxa"/>
            <w:noWrap w:val="0"/>
            <w:vAlign w:val="top"/>
          </w:tcPr>
          <w:p>
            <w:pPr>
              <w:pageBreakBefore w:val="0"/>
              <w:topLinePunct w:val="0"/>
              <w:autoSpaceDE w:val="0"/>
              <w:autoSpaceDN w:val="0"/>
              <w:bidi w:val="0"/>
              <w:adjustRightInd w:val="0"/>
              <w:outlineLvl w:val="9"/>
              <w:rPr>
                <w:rFonts w:ascii="仿宋" w:hAnsi="仿宋" w:eastAsia="仿宋" w:cs="仿宋"/>
                <w:bCs/>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1109" w:hRule="atLeast"/>
          <w:jc w:val="center"/>
        </w:trPr>
        <w:tc>
          <w:tcPr>
            <w:tcW w:w="603" w:type="dxa"/>
            <w:vMerge w:val="restart"/>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六</w:t>
            </w:r>
          </w:p>
          <w:p>
            <w:pPr>
              <w:pageBreakBefore w:val="0"/>
              <w:topLinePunct w:val="0"/>
              <w:bidi w:val="0"/>
              <w:jc w:val="center"/>
              <w:outlineLvl w:val="9"/>
              <w:rPr>
                <w:rFonts w:ascii="仿宋" w:hAnsi="仿宋" w:eastAsia="仿宋" w:cs="仿宋"/>
                <w:bCs/>
                <w:color w:val="000000"/>
                <w:szCs w:val="21"/>
              </w:rPr>
            </w:pP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教</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学</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效</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果</w:t>
            </w:r>
          </w:p>
          <w:p>
            <w:pPr>
              <w:pageBreakBefore w:val="0"/>
              <w:topLinePunct w:val="0"/>
              <w:bidi w:val="0"/>
              <w:jc w:val="center"/>
              <w:outlineLvl w:val="9"/>
              <w:rPr>
                <w:rFonts w:ascii="仿宋" w:hAnsi="仿宋" w:eastAsia="仿宋" w:cs="仿宋"/>
                <w:bCs/>
                <w:color w:val="000000"/>
                <w:szCs w:val="21"/>
              </w:rPr>
            </w:pP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10</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分</w:t>
            </w:r>
          </w:p>
        </w:tc>
        <w:tc>
          <w:tcPr>
            <w:tcW w:w="709"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6-1</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教学评价</w:t>
            </w:r>
          </w:p>
        </w:tc>
        <w:tc>
          <w:tcPr>
            <w:tcW w:w="964"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专家、督导及学生评价</w:t>
            </w:r>
          </w:p>
        </w:tc>
        <w:tc>
          <w:tcPr>
            <w:tcW w:w="4311" w:type="dxa"/>
            <w:noWrap w:val="0"/>
            <w:tcMar>
              <w:top w:w="0" w:type="dxa"/>
              <w:left w:w="57" w:type="dxa"/>
              <w:bottom w:w="0" w:type="dxa"/>
              <w:right w:w="57" w:type="dxa"/>
            </w:tcMar>
            <w:vAlign w:val="center"/>
          </w:tcPr>
          <w:p>
            <w:pPr>
              <w:pageBreakBefore w:val="0"/>
              <w:topLinePunct w:val="0"/>
              <w:bidi w:val="0"/>
              <w:outlineLvl w:val="9"/>
              <w:rPr>
                <w:rFonts w:ascii="仿宋" w:hAnsi="仿宋" w:eastAsia="仿宋" w:cs="仿宋"/>
                <w:bCs/>
                <w:color w:val="000000"/>
                <w:szCs w:val="21"/>
              </w:rPr>
            </w:pPr>
            <w:r>
              <w:rPr>
                <w:rFonts w:hint="eastAsia" w:ascii="仿宋" w:hAnsi="仿宋" w:eastAsia="仿宋" w:cs="仿宋"/>
                <w:bCs/>
                <w:color w:val="000000"/>
                <w:szCs w:val="21"/>
              </w:rPr>
              <w:t>校外专家、行业企业专家、校内督导及学生评价结果优良。</w:t>
            </w:r>
          </w:p>
        </w:tc>
        <w:tc>
          <w:tcPr>
            <w:tcW w:w="470" w:type="dxa"/>
            <w:noWrap w:val="0"/>
            <w:vAlign w:val="center"/>
          </w:tcPr>
          <w:p>
            <w:pPr>
              <w:pageBreakBefore w:val="0"/>
              <w:topLinePunct w:val="0"/>
              <w:bidi w:val="0"/>
              <w:spacing w:line="300" w:lineRule="exact"/>
              <w:jc w:val="center"/>
              <w:outlineLvl w:val="9"/>
              <w:rPr>
                <w:rFonts w:ascii="仿宋" w:hAnsi="仿宋" w:eastAsia="仿宋" w:cs="仿宋"/>
                <w:bCs/>
                <w:color w:val="000000"/>
                <w:szCs w:val="21"/>
              </w:rPr>
            </w:pPr>
            <w:r>
              <w:rPr>
                <w:rFonts w:hint="eastAsia" w:ascii="仿宋" w:hAnsi="仿宋" w:eastAsia="仿宋" w:cs="仿宋"/>
                <w:bCs/>
                <w:color w:val="000000"/>
                <w:szCs w:val="21"/>
              </w:rPr>
              <w:t>5</w:t>
            </w:r>
          </w:p>
        </w:tc>
        <w:tc>
          <w:tcPr>
            <w:tcW w:w="408"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9"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13"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c>
          <w:tcPr>
            <w:tcW w:w="432" w:type="dxa"/>
            <w:noWrap w:val="0"/>
            <w:vAlign w:val="top"/>
          </w:tcPr>
          <w:p>
            <w:pPr>
              <w:pageBreakBefore w:val="0"/>
              <w:topLinePunct w:val="0"/>
              <w:bidi w:val="0"/>
              <w:spacing w:line="300" w:lineRule="exact"/>
              <w:outlineLvl w:val="9"/>
              <w:rPr>
                <w:rFonts w:ascii="仿宋" w:hAnsi="仿宋" w:eastAsia="仿宋" w:cs="仿宋"/>
                <w:bCs/>
                <w:color w:val="000000"/>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Ex>
        <w:trPr>
          <w:cantSplit/>
          <w:trHeight w:val="1419" w:hRule="atLeast"/>
          <w:jc w:val="center"/>
        </w:trPr>
        <w:tc>
          <w:tcPr>
            <w:tcW w:w="603" w:type="dxa"/>
            <w:vMerge w:val="continue"/>
            <w:noWrap w:val="0"/>
            <w:vAlign w:val="center"/>
          </w:tcPr>
          <w:p>
            <w:pPr>
              <w:pageBreakBefore w:val="0"/>
              <w:widowControl/>
              <w:topLinePunct w:val="0"/>
              <w:bidi w:val="0"/>
              <w:outlineLvl w:val="9"/>
              <w:rPr>
                <w:rFonts w:ascii="仿宋" w:hAnsi="仿宋" w:eastAsia="仿宋" w:cs="仿宋"/>
                <w:bCs/>
                <w:color w:val="000000"/>
                <w:szCs w:val="21"/>
              </w:rPr>
            </w:pPr>
          </w:p>
        </w:tc>
        <w:tc>
          <w:tcPr>
            <w:tcW w:w="709"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6-2</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社会评价</w:t>
            </w:r>
          </w:p>
        </w:tc>
        <w:tc>
          <w:tcPr>
            <w:tcW w:w="964" w:type="dxa"/>
            <w:noWrap w:val="0"/>
            <w:tcMar>
              <w:top w:w="0" w:type="dxa"/>
              <w:left w:w="57" w:type="dxa"/>
              <w:bottom w:w="0" w:type="dxa"/>
              <w:right w:w="57" w:type="dxa"/>
            </w:tcMar>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社会</w:t>
            </w:r>
          </w:p>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认可度</w:t>
            </w:r>
          </w:p>
        </w:tc>
        <w:tc>
          <w:tcPr>
            <w:tcW w:w="4311" w:type="dxa"/>
            <w:noWrap w:val="0"/>
            <w:tcMar>
              <w:top w:w="0" w:type="dxa"/>
              <w:left w:w="57" w:type="dxa"/>
              <w:bottom w:w="0" w:type="dxa"/>
              <w:right w:w="57" w:type="dxa"/>
            </w:tcMar>
            <w:vAlign w:val="center"/>
          </w:tcPr>
          <w:p>
            <w:pPr>
              <w:pageBreakBefore w:val="0"/>
              <w:topLinePunct w:val="0"/>
              <w:bidi w:val="0"/>
              <w:outlineLvl w:val="9"/>
              <w:rPr>
                <w:rFonts w:ascii="仿宋" w:hAnsi="仿宋" w:eastAsia="仿宋" w:cs="仿宋"/>
                <w:bCs/>
                <w:color w:val="000000"/>
                <w:szCs w:val="21"/>
              </w:rPr>
            </w:pPr>
            <w:r>
              <w:rPr>
                <w:rFonts w:hint="eastAsia" w:ascii="仿宋" w:hAnsi="仿宋" w:eastAsia="仿宋" w:cs="仿宋"/>
                <w:bCs/>
                <w:color w:val="000000"/>
                <w:szCs w:val="21"/>
              </w:rPr>
              <w:t>学生实际动手能力强，实训、实习产品能够体现应用价值；课程对应或相关的职业资格证书或专业技能水平证书获取率高，相应技能竞赛获奖。</w:t>
            </w:r>
          </w:p>
        </w:tc>
        <w:tc>
          <w:tcPr>
            <w:tcW w:w="470" w:type="dxa"/>
            <w:noWrap w:val="0"/>
            <w:vAlign w:val="center"/>
          </w:tcPr>
          <w:p>
            <w:pPr>
              <w:pageBreakBefore w:val="0"/>
              <w:topLinePunct w:val="0"/>
              <w:autoSpaceDE w:val="0"/>
              <w:autoSpaceDN w:val="0"/>
              <w:bidi w:val="0"/>
              <w:adjustRightInd w:val="0"/>
              <w:jc w:val="center"/>
              <w:outlineLvl w:val="9"/>
              <w:rPr>
                <w:rFonts w:ascii="仿宋" w:hAnsi="仿宋" w:eastAsia="仿宋" w:cs="仿宋"/>
                <w:color w:val="000000"/>
                <w:kern w:val="0"/>
                <w:szCs w:val="21"/>
              </w:rPr>
            </w:pPr>
            <w:r>
              <w:rPr>
                <w:rFonts w:hint="eastAsia" w:ascii="仿宋" w:hAnsi="仿宋" w:eastAsia="仿宋" w:cs="仿宋"/>
                <w:color w:val="000000"/>
                <w:kern w:val="0"/>
                <w:szCs w:val="21"/>
              </w:rPr>
              <w:t>5</w:t>
            </w:r>
          </w:p>
        </w:tc>
        <w:tc>
          <w:tcPr>
            <w:tcW w:w="408" w:type="dxa"/>
            <w:noWrap w:val="0"/>
            <w:vAlign w:val="top"/>
          </w:tcPr>
          <w:p>
            <w:pPr>
              <w:pageBreakBefore w:val="0"/>
              <w:topLinePunct w:val="0"/>
              <w:autoSpaceDE w:val="0"/>
              <w:autoSpaceDN w:val="0"/>
              <w:bidi w:val="0"/>
              <w:adjustRightInd w:val="0"/>
              <w:outlineLvl w:val="9"/>
              <w:rPr>
                <w:rFonts w:ascii="仿宋" w:hAnsi="仿宋" w:eastAsia="仿宋" w:cs="仿宋"/>
                <w:color w:val="000000"/>
                <w:kern w:val="0"/>
                <w:szCs w:val="21"/>
              </w:rPr>
            </w:pPr>
          </w:p>
        </w:tc>
        <w:tc>
          <w:tcPr>
            <w:tcW w:w="419" w:type="dxa"/>
            <w:noWrap w:val="0"/>
            <w:vAlign w:val="top"/>
          </w:tcPr>
          <w:p>
            <w:pPr>
              <w:pageBreakBefore w:val="0"/>
              <w:topLinePunct w:val="0"/>
              <w:autoSpaceDE w:val="0"/>
              <w:autoSpaceDN w:val="0"/>
              <w:bidi w:val="0"/>
              <w:adjustRightInd w:val="0"/>
              <w:outlineLvl w:val="9"/>
              <w:rPr>
                <w:rFonts w:ascii="仿宋" w:hAnsi="仿宋" w:eastAsia="仿宋" w:cs="仿宋"/>
                <w:color w:val="000000"/>
                <w:kern w:val="0"/>
                <w:szCs w:val="21"/>
              </w:rPr>
            </w:pPr>
          </w:p>
        </w:tc>
        <w:tc>
          <w:tcPr>
            <w:tcW w:w="413" w:type="dxa"/>
            <w:noWrap w:val="0"/>
            <w:vAlign w:val="top"/>
          </w:tcPr>
          <w:p>
            <w:pPr>
              <w:pageBreakBefore w:val="0"/>
              <w:topLinePunct w:val="0"/>
              <w:autoSpaceDE w:val="0"/>
              <w:autoSpaceDN w:val="0"/>
              <w:bidi w:val="0"/>
              <w:adjustRightInd w:val="0"/>
              <w:outlineLvl w:val="9"/>
              <w:rPr>
                <w:rFonts w:ascii="仿宋" w:hAnsi="仿宋" w:eastAsia="仿宋" w:cs="仿宋"/>
                <w:color w:val="000000"/>
                <w:kern w:val="0"/>
                <w:szCs w:val="21"/>
              </w:rPr>
            </w:pPr>
          </w:p>
        </w:tc>
        <w:tc>
          <w:tcPr>
            <w:tcW w:w="413" w:type="dxa"/>
            <w:noWrap w:val="0"/>
            <w:vAlign w:val="top"/>
          </w:tcPr>
          <w:p>
            <w:pPr>
              <w:pageBreakBefore w:val="0"/>
              <w:topLinePunct w:val="0"/>
              <w:autoSpaceDE w:val="0"/>
              <w:autoSpaceDN w:val="0"/>
              <w:bidi w:val="0"/>
              <w:adjustRightInd w:val="0"/>
              <w:outlineLvl w:val="9"/>
              <w:rPr>
                <w:rFonts w:ascii="仿宋" w:hAnsi="仿宋" w:eastAsia="仿宋" w:cs="仿宋"/>
                <w:color w:val="000000"/>
                <w:kern w:val="0"/>
                <w:szCs w:val="21"/>
              </w:rPr>
            </w:pPr>
          </w:p>
        </w:tc>
        <w:tc>
          <w:tcPr>
            <w:tcW w:w="432" w:type="dxa"/>
            <w:noWrap w:val="0"/>
            <w:vAlign w:val="top"/>
          </w:tcPr>
          <w:p>
            <w:pPr>
              <w:pageBreakBefore w:val="0"/>
              <w:topLinePunct w:val="0"/>
              <w:autoSpaceDE w:val="0"/>
              <w:autoSpaceDN w:val="0"/>
              <w:bidi w:val="0"/>
              <w:adjustRightInd w:val="0"/>
              <w:outlineLvl w:val="9"/>
              <w:rPr>
                <w:rFonts w:ascii="仿宋" w:hAnsi="仿宋" w:eastAsia="仿宋" w:cs="仿宋"/>
                <w:color w:val="000000"/>
                <w:kern w:val="0"/>
                <w:szCs w:val="21"/>
              </w:rPr>
            </w:pPr>
          </w:p>
        </w:tc>
      </w:tr>
    </w:tbl>
    <w:p>
      <w:pPr>
        <w:pageBreakBefore w:val="0"/>
        <w:topLinePunct w:val="0"/>
        <w:bidi w:val="0"/>
        <w:outlineLvl w:val="9"/>
        <w:rPr>
          <w:rFonts w:ascii="仿宋" w:hAnsi="仿宋" w:eastAsia="仿宋" w:cs="仿宋"/>
        </w:rPr>
      </w:pPr>
      <w:r>
        <w:rPr>
          <w:rFonts w:hint="eastAsia" w:ascii="仿宋" w:hAnsi="仿宋" w:eastAsia="仿宋" w:cs="仿宋"/>
        </w:rPr>
        <w:t>评价等级分为五档，系数分别为1.0、0.8、0.6、0.4、0.2</w:t>
      </w:r>
    </w:p>
    <w:p>
      <w:pPr>
        <w:pageBreakBefore w:val="0"/>
        <w:topLinePunct w:val="0"/>
        <w:bidi w:val="0"/>
        <w:outlineLvl w:val="9"/>
        <w:rPr>
          <w:rFonts w:ascii="仿宋" w:hAnsi="仿宋" w:eastAsia="仿宋" w:cs="仿宋"/>
        </w:rPr>
      </w:pPr>
    </w:p>
    <w:p>
      <w:pPr>
        <w:pageBreakBefore w:val="0"/>
        <w:topLinePunct w:val="0"/>
        <w:bidi w:val="0"/>
        <w:outlineLvl w:val="9"/>
        <w:rPr>
          <w:rFonts w:ascii="仿宋" w:hAnsi="仿宋" w:eastAsia="仿宋" w:cs="仿宋"/>
        </w:rPr>
      </w:pPr>
      <w:r>
        <w:rPr>
          <w:rFonts w:hint="eastAsia" w:ascii="仿宋" w:hAnsi="仿宋" w:eastAsia="仿宋" w:cs="仿宋"/>
        </w:rPr>
        <w:t>评委签名：     日期：     合计得分：</w:t>
      </w:r>
    </w:p>
    <w:p>
      <w:pPr>
        <w:pageBreakBefore w:val="0"/>
        <w:topLinePunct w:val="0"/>
        <w:bidi w:val="0"/>
        <w:jc w:val="center"/>
        <w:outlineLvl w:val="9"/>
        <w:rPr>
          <w:rFonts w:ascii="仿宋" w:hAnsi="仿宋" w:eastAsia="仿宋" w:cs="仿宋"/>
          <w:color w:val="000000"/>
          <w:sz w:val="32"/>
          <w:szCs w:val="32"/>
        </w:rPr>
      </w:pPr>
    </w:p>
    <w:p>
      <w:pPr>
        <w:pageBreakBefore w:val="0"/>
        <w:topLinePunct w:val="0"/>
        <w:bidi w:val="0"/>
        <w:jc w:val="left"/>
        <w:outlineLvl w:val="9"/>
        <w:rPr>
          <w:rFonts w:ascii="仿宋" w:hAnsi="仿宋" w:eastAsia="仿宋" w:cs="仿宋"/>
          <w:color w:val="000000"/>
          <w:sz w:val="24"/>
        </w:rPr>
      </w:pPr>
      <w:r>
        <w:rPr>
          <w:rFonts w:hint="eastAsia" w:ascii="仿宋" w:hAnsi="仿宋" w:eastAsia="仿宋" w:cs="仿宋"/>
          <w:color w:val="000000"/>
          <w:sz w:val="32"/>
          <w:szCs w:val="32"/>
        </w:rPr>
        <w:br w:type="page"/>
      </w:r>
      <w:r>
        <w:rPr>
          <w:rFonts w:hint="eastAsia" w:ascii="仿宋" w:hAnsi="仿宋" w:eastAsia="仿宋" w:cs="仿宋"/>
          <w:color w:val="000000"/>
          <w:sz w:val="28"/>
          <w:szCs w:val="28"/>
        </w:rPr>
        <w:t>附件3</w:t>
      </w:r>
    </w:p>
    <w:p>
      <w:pPr>
        <w:pageBreakBefore w:val="0"/>
        <w:topLinePunct w:val="0"/>
        <w:bidi w:val="0"/>
        <w:spacing w:line="360" w:lineRule="auto"/>
        <w:jc w:val="center"/>
        <w:outlineLvl w:val="9"/>
        <w:rPr>
          <w:rFonts w:ascii="仿宋" w:hAnsi="仿宋" w:eastAsia="仿宋" w:cs="仿宋"/>
          <w:sz w:val="28"/>
          <w:szCs w:val="28"/>
        </w:rPr>
      </w:pPr>
      <w:r>
        <w:rPr>
          <w:rFonts w:hint="eastAsia" w:ascii="仿宋" w:hAnsi="仿宋" w:eastAsia="仿宋" w:cs="仿宋"/>
          <w:sz w:val="28"/>
          <w:szCs w:val="28"/>
        </w:rPr>
        <w:t>说课评价表</w:t>
      </w:r>
    </w:p>
    <w:tbl>
      <w:tblPr>
        <w:tblStyle w:val="37"/>
        <w:tblW w:w="8506" w:type="dxa"/>
        <w:jc w:val="center"/>
        <w:tblLayout w:type="fixed"/>
        <w:tblCellMar>
          <w:top w:w="0" w:type="dxa"/>
          <w:left w:w="108" w:type="dxa"/>
          <w:bottom w:w="0" w:type="dxa"/>
          <w:right w:w="108" w:type="dxa"/>
        </w:tblCellMar>
      </w:tblPr>
      <w:tblGrid>
        <w:gridCol w:w="1844"/>
        <w:gridCol w:w="1984"/>
        <w:gridCol w:w="2835"/>
        <w:gridCol w:w="1843"/>
      </w:tblGrid>
      <w:tr>
        <w:trPr>
          <w:jc w:val="center"/>
        </w:trPr>
        <w:tc>
          <w:tcPr>
            <w:tcW w:w="1844" w:type="dxa"/>
            <w:noWrap w:val="0"/>
            <w:vAlign w:val="center"/>
          </w:tcPr>
          <w:p>
            <w:pPr>
              <w:pageBreakBefore w:val="0"/>
              <w:widowControl/>
              <w:topLinePunct w:val="0"/>
              <w:bidi w:val="0"/>
              <w:adjustRightInd w:val="0"/>
              <w:snapToGrid w:val="0"/>
              <w:outlineLvl w:val="9"/>
              <w:rPr>
                <w:rFonts w:ascii="仿宋" w:hAnsi="仿宋" w:eastAsia="仿宋" w:cs="仿宋"/>
                <w:kern w:val="0"/>
                <w:sz w:val="22"/>
                <w:szCs w:val="22"/>
                <w:u w:val="single"/>
              </w:rPr>
            </w:pPr>
            <w:r>
              <w:rPr>
                <w:rFonts w:hint="eastAsia" w:ascii="仿宋" w:hAnsi="仿宋" w:eastAsia="仿宋" w:cs="仿宋"/>
                <w:kern w:val="0"/>
                <w:sz w:val="22"/>
                <w:szCs w:val="22"/>
              </w:rPr>
              <w:t xml:space="preserve">部门 </w:t>
            </w:r>
          </w:p>
        </w:tc>
        <w:tc>
          <w:tcPr>
            <w:tcW w:w="1984" w:type="dxa"/>
            <w:noWrap w:val="0"/>
            <w:vAlign w:val="center"/>
          </w:tcPr>
          <w:p>
            <w:pPr>
              <w:pageBreakBefore w:val="0"/>
              <w:widowControl/>
              <w:topLinePunct w:val="0"/>
              <w:bidi w:val="0"/>
              <w:adjustRightInd w:val="0"/>
              <w:snapToGrid w:val="0"/>
              <w:outlineLvl w:val="9"/>
              <w:rPr>
                <w:rFonts w:ascii="仿宋" w:hAnsi="仿宋" w:eastAsia="仿宋" w:cs="仿宋"/>
                <w:kern w:val="0"/>
                <w:sz w:val="22"/>
                <w:szCs w:val="22"/>
              </w:rPr>
            </w:pPr>
            <w:r>
              <w:rPr>
                <w:rFonts w:hint="eastAsia" w:ascii="仿宋" w:hAnsi="仿宋" w:eastAsia="仿宋" w:cs="仿宋"/>
                <w:kern w:val="0"/>
                <w:sz w:val="22"/>
                <w:szCs w:val="22"/>
              </w:rPr>
              <w:t>专业</w:t>
            </w:r>
          </w:p>
        </w:tc>
        <w:tc>
          <w:tcPr>
            <w:tcW w:w="2835" w:type="dxa"/>
            <w:noWrap w:val="0"/>
            <w:vAlign w:val="center"/>
          </w:tcPr>
          <w:p>
            <w:pPr>
              <w:pageBreakBefore w:val="0"/>
              <w:widowControl/>
              <w:topLinePunct w:val="0"/>
              <w:bidi w:val="0"/>
              <w:adjustRightInd w:val="0"/>
              <w:snapToGrid w:val="0"/>
              <w:spacing w:line="360" w:lineRule="auto"/>
              <w:outlineLvl w:val="9"/>
              <w:rPr>
                <w:rFonts w:ascii="仿宋" w:hAnsi="仿宋" w:eastAsia="仿宋" w:cs="仿宋"/>
                <w:kern w:val="0"/>
                <w:sz w:val="22"/>
                <w:szCs w:val="22"/>
                <w:u w:val="single"/>
              </w:rPr>
            </w:pPr>
            <w:r>
              <w:rPr>
                <w:rFonts w:hint="eastAsia" w:ascii="仿宋" w:hAnsi="仿宋" w:eastAsia="仿宋" w:cs="仿宋"/>
                <w:kern w:val="0"/>
                <w:sz w:val="22"/>
                <w:szCs w:val="22"/>
              </w:rPr>
              <w:t xml:space="preserve">课程名称 </w:t>
            </w:r>
          </w:p>
        </w:tc>
        <w:tc>
          <w:tcPr>
            <w:tcW w:w="1843" w:type="dxa"/>
            <w:noWrap w:val="0"/>
            <w:vAlign w:val="center"/>
          </w:tcPr>
          <w:p>
            <w:pPr>
              <w:pageBreakBefore w:val="0"/>
              <w:widowControl/>
              <w:topLinePunct w:val="0"/>
              <w:bidi w:val="0"/>
              <w:adjustRightInd w:val="0"/>
              <w:snapToGrid w:val="0"/>
              <w:outlineLvl w:val="9"/>
              <w:rPr>
                <w:rFonts w:ascii="仿宋" w:hAnsi="仿宋" w:eastAsia="仿宋" w:cs="仿宋"/>
                <w:kern w:val="0"/>
                <w:sz w:val="22"/>
                <w:szCs w:val="22"/>
                <w:u w:val="single"/>
              </w:rPr>
            </w:pPr>
            <w:r>
              <w:rPr>
                <w:rFonts w:hint="eastAsia" w:ascii="仿宋" w:hAnsi="仿宋" w:eastAsia="仿宋" w:cs="仿宋"/>
                <w:kern w:val="0"/>
                <w:sz w:val="22"/>
                <w:szCs w:val="22"/>
              </w:rPr>
              <w:t>说课人</w:t>
            </w:r>
          </w:p>
        </w:tc>
      </w:tr>
    </w:tbl>
    <w:p>
      <w:pPr>
        <w:pageBreakBefore w:val="0"/>
        <w:widowControl/>
        <w:topLinePunct w:val="0"/>
        <w:bidi w:val="0"/>
        <w:adjustRightInd w:val="0"/>
        <w:snapToGrid w:val="0"/>
        <w:outlineLvl w:val="9"/>
        <w:rPr>
          <w:rFonts w:ascii="仿宋" w:hAnsi="仿宋" w:eastAsia="仿宋" w:cs="仿宋"/>
          <w:kern w:val="0"/>
          <w:sz w:val="10"/>
          <w:szCs w:val="10"/>
          <w:u w:val="single"/>
        </w:rPr>
      </w:pPr>
    </w:p>
    <w:tbl>
      <w:tblPr>
        <w:tblStyle w:val="37"/>
        <w:tblW w:w="9254" w:type="dxa"/>
        <w:jc w:val="center"/>
        <w:tblLayout w:type="fixed"/>
        <w:tblCellMar>
          <w:top w:w="0" w:type="dxa"/>
          <w:left w:w="0" w:type="dxa"/>
          <w:bottom w:w="0" w:type="dxa"/>
          <w:right w:w="0" w:type="dxa"/>
        </w:tblCellMar>
      </w:tblPr>
      <w:tblGrid>
        <w:gridCol w:w="2149"/>
        <w:gridCol w:w="2426"/>
        <w:gridCol w:w="917"/>
        <w:gridCol w:w="1669"/>
        <w:gridCol w:w="1121"/>
        <w:gridCol w:w="972"/>
      </w:tblGrid>
      <w:tr>
        <w:tblPrEx>
          <w:tblCellMar>
            <w:top w:w="0" w:type="dxa"/>
            <w:left w:w="0" w:type="dxa"/>
            <w:bottom w:w="0" w:type="dxa"/>
            <w:right w:w="0" w:type="dxa"/>
          </w:tblCellMar>
        </w:tblPrEx>
        <w:trPr>
          <w:trHeight w:val="705" w:hRule="atLeast"/>
          <w:jc w:val="center"/>
        </w:trPr>
        <w:tc>
          <w:tcPr>
            <w:tcW w:w="2149" w:type="dxa"/>
            <w:tcBorders>
              <w:top w:val="doub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bCs/>
                <w:kern w:val="0"/>
                <w:szCs w:val="21"/>
              </w:rPr>
              <w:t>指标</w:t>
            </w:r>
          </w:p>
        </w:tc>
        <w:tc>
          <w:tcPr>
            <w:tcW w:w="6133" w:type="dxa"/>
            <w:gridSpan w:val="4"/>
            <w:tcBorders>
              <w:top w:val="double" w:color="auto" w:sz="4" w:space="0"/>
              <w:left w:val="nil"/>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bCs/>
                <w:kern w:val="0"/>
                <w:szCs w:val="21"/>
              </w:rPr>
              <w:t>评价标准</w:t>
            </w:r>
          </w:p>
        </w:tc>
        <w:tc>
          <w:tcPr>
            <w:tcW w:w="972" w:type="dxa"/>
            <w:tcBorders>
              <w:top w:val="double" w:color="auto" w:sz="4" w:space="0"/>
              <w:left w:val="nil"/>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bCs/>
                <w:kern w:val="0"/>
                <w:szCs w:val="21"/>
              </w:rPr>
              <w:t>得分</w:t>
            </w:r>
          </w:p>
        </w:tc>
      </w:tr>
      <w:tr>
        <w:tblPrEx>
          <w:tblCellMar>
            <w:top w:w="0" w:type="dxa"/>
            <w:left w:w="0" w:type="dxa"/>
            <w:bottom w:w="0" w:type="dxa"/>
            <w:right w:w="0" w:type="dxa"/>
          </w:tblCellMar>
        </w:tblPrEx>
        <w:trPr>
          <w:trHeight w:val="1408" w:hRule="atLeast"/>
          <w:jc w:val="center"/>
        </w:trPr>
        <w:tc>
          <w:tcPr>
            <w:tcW w:w="2149" w:type="dxa"/>
            <w:tcBorders>
              <w:top w:val="nil"/>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课程总体设计</w:t>
            </w:r>
          </w:p>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（25分）</w:t>
            </w:r>
          </w:p>
        </w:tc>
        <w:tc>
          <w:tcPr>
            <w:tcW w:w="6133" w:type="dxa"/>
            <w:gridSpan w:val="4"/>
            <w:tcBorders>
              <w:top w:val="nil"/>
              <w:left w:val="nil"/>
              <w:bottom w:val="single" w:color="auto" w:sz="4" w:space="0"/>
              <w:right w:val="single" w:color="auto" w:sz="4" w:space="0"/>
            </w:tcBorders>
            <w:noWrap w:val="0"/>
            <w:vAlign w:val="center"/>
          </w:tcPr>
          <w:p>
            <w:pPr>
              <w:pageBreakBefore w:val="0"/>
              <w:widowControl/>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1.能准确把握课程在专业人才培养中的地位和作用；课程教学目标（包括知识、能力、素质目标）明确；</w:t>
            </w:r>
          </w:p>
          <w:p>
            <w:pPr>
              <w:pageBreakBefore w:val="0"/>
              <w:widowControl/>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2.教学标准完整，格式规范，质量高，有特色；</w:t>
            </w:r>
          </w:p>
          <w:p>
            <w:pPr>
              <w:pageBreakBefore w:val="0"/>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3.与相关课程内容间的衔接较好，能合理处理它们之间的关系。</w:t>
            </w:r>
          </w:p>
        </w:tc>
        <w:tc>
          <w:tcPr>
            <w:tcW w:w="972" w:type="dxa"/>
            <w:tcBorders>
              <w:top w:val="nil"/>
              <w:left w:val="nil"/>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r>
      <w:tr>
        <w:tblPrEx>
          <w:tblCellMar>
            <w:top w:w="0" w:type="dxa"/>
            <w:left w:w="0" w:type="dxa"/>
            <w:bottom w:w="0" w:type="dxa"/>
            <w:right w:w="0" w:type="dxa"/>
          </w:tblCellMar>
        </w:tblPrEx>
        <w:trPr>
          <w:trHeight w:val="2158" w:hRule="atLeast"/>
          <w:jc w:val="center"/>
        </w:trPr>
        <w:tc>
          <w:tcPr>
            <w:tcW w:w="2149" w:type="dxa"/>
            <w:tcBorders>
              <w:top w:val="nil"/>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教学内容安排与教材</w:t>
            </w:r>
          </w:p>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（15分）</w:t>
            </w:r>
          </w:p>
        </w:tc>
        <w:tc>
          <w:tcPr>
            <w:tcW w:w="6133" w:type="dxa"/>
            <w:gridSpan w:val="4"/>
            <w:tcBorders>
              <w:top w:val="nil"/>
              <w:left w:val="nil"/>
              <w:bottom w:val="single" w:color="auto" w:sz="4" w:space="0"/>
              <w:right w:val="single" w:color="auto" w:sz="4" w:space="0"/>
            </w:tcBorders>
            <w:noWrap w:val="0"/>
            <w:vAlign w:val="center"/>
          </w:tcPr>
          <w:p>
            <w:pPr>
              <w:pageBreakBefore w:val="0"/>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1.按职业岗位（群）要求确定教学内容，教学内容新颖，能及时把教研教改和最新技术成果引入教学，教学信息量大；</w:t>
            </w:r>
          </w:p>
          <w:p>
            <w:pPr>
              <w:pageBreakBefore w:val="0"/>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2.理论联系实际，融知识传授、能力培养、素质教育于一体，尤其注重学生实践技能的培养；</w:t>
            </w:r>
          </w:p>
          <w:p>
            <w:pPr>
              <w:pageBreakBefore w:val="0"/>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3.根据课程教学目标，合理设置实验实训项目；</w:t>
            </w:r>
          </w:p>
          <w:p>
            <w:pPr>
              <w:pageBreakBefore w:val="0"/>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4.选用适合学生特点的优秀教材或与企业合作开发的高水平自编教材，实验、实训教材配套齐全，课程教学资源能满足教学需要。</w:t>
            </w:r>
          </w:p>
        </w:tc>
        <w:tc>
          <w:tcPr>
            <w:tcW w:w="972" w:type="dxa"/>
            <w:tcBorders>
              <w:top w:val="nil"/>
              <w:left w:val="nil"/>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r>
      <w:tr>
        <w:tblPrEx>
          <w:tblCellMar>
            <w:top w:w="0" w:type="dxa"/>
            <w:left w:w="0" w:type="dxa"/>
            <w:bottom w:w="0" w:type="dxa"/>
            <w:right w:w="0" w:type="dxa"/>
          </w:tblCellMar>
        </w:tblPrEx>
        <w:trPr>
          <w:trHeight w:val="1834" w:hRule="atLeast"/>
          <w:jc w:val="center"/>
        </w:trPr>
        <w:tc>
          <w:tcPr>
            <w:tcW w:w="2149" w:type="dxa"/>
            <w:tcBorders>
              <w:top w:val="nil"/>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教学方法和手段</w:t>
            </w:r>
          </w:p>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（15）</w:t>
            </w:r>
          </w:p>
        </w:tc>
        <w:tc>
          <w:tcPr>
            <w:tcW w:w="6133" w:type="dxa"/>
            <w:gridSpan w:val="4"/>
            <w:tcBorders>
              <w:top w:val="nil"/>
              <w:left w:val="nil"/>
              <w:bottom w:val="single" w:color="auto" w:sz="4" w:space="0"/>
              <w:right w:val="single" w:color="auto" w:sz="4" w:space="0"/>
            </w:tcBorders>
            <w:noWrap w:val="0"/>
            <w:vAlign w:val="center"/>
          </w:tcPr>
          <w:p>
            <w:pPr>
              <w:pageBreakBefore w:val="0"/>
              <w:widowControl/>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1.教法选择恰当，富有启发性和实效性；</w:t>
            </w:r>
          </w:p>
          <w:p>
            <w:pPr>
              <w:pageBreakBefore w:val="0"/>
              <w:widowControl/>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2.学法指导恰当，能充分发挥学生的主体性；</w:t>
            </w:r>
          </w:p>
          <w:p>
            <w:pPr>
              <w:pageBreakBefore w:val="0"/>
              <w:widowControl/>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3.教改思路科学；</w:t>
            </w:r>
          </w:p>
          <w:p>
            <w:pPr>
              <w:pageBreakBefore w:val="0"/>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4.能充分、恰当使用现代教育技术手段，激发学生积极性；</w:t>
            </w:r>
          </w:p>
          <w:p>
            <w:pPr>
              <w:pageBreakBefore w:val="0"/>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5.能很好利用校内外实验实训基地，进行开放式教学；</w:t>
            </w:r>
          </w:p>
          <w:p>
            <w:pPr>
              <w:pageBreakBefore w:val="0"/>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6.建立了体现职业能力为核心的课程考核标准。</w:t>
            </w:r>
          </w:p>
        </w:tc>
        <w:tc>
          <w:tcPr>
            <w:tcW w:w="972" w:type="dxa"/>
            <w:tcBorders>
              <w:top w:val="nil"/>
              <w:left w:val="nil"/>
              <w:bottom w:val="single" w:color="auto" w:sz="4" w:space="0"/>
              <w:right w:val="double" w:color="auto" w:sz="4" w:space="0"/>
            </w:tcBorders>
            <w:noWrap w:val="0"/>
            <w:vAlign w:val="center"/>
          </w:tcPr>
          <w:p>
            <w:pPr>
              <w:pageBreakBefore w:val="0"/>
              <w:topLinePunct w:val="0"/>
              <w:bidi w:val="0"/>
              <w:adjustRightInd w:val="0"/>
              <w:snapToGrid w:val="0"/>
              <w:jc w:val="center"/>
              <w:outlineLvl w:val="9"/>
              <w:rPr>
                <w:rFonts w:ascii="仿宋" w:hAnsi="仿宋" w:eastAsia="仿宋" w:cs="仿宋"/>
                <w:kern w:val="0"/>
                <w:szCs w:val="21"/>
              </w:rPr>
            </w:pPr>
          </w:p>
        </w:tc>
      </w:tr>
      <w:tr>
        <w:tblPrEx>
          <w:tblCellMar>
            <w:top w:w="0" w:type="dxa"/>
            <w:left w:w="0" w:type="dxa"/>
            <w:bottom w:w="0" w:type="dxa"/>
            <w:right w:w="0" w:type="dxa"/>
          </w:tblCellMar>
        </w:tblPrEx>
        <w:trPr>
          <w:trHeight w:val="1559" w:hRule="atLeast"/>
          <w:jc w:val="center"/>
        </w:trPr>
        <w:tc>
          <w:tcPr>
            <w:tcW w:w="2149" w:type="dxa"/>
            <w:tcBorders>
              <w:top w:val="single" w:color="auto" w:sz="4" w:space="0"/>
              <w:left w:val="double" w:color="auto" w:sz="4" w:space="0"/>
              <w:bottom w:val="single" w:color="auto" w:sz="4" w:space="0"/>
              <w:right w:val="single" w:color="auto" w:sz="4" w:space="0"/>
            </w:tcBorders>
            <w:noWrap w:val="0"/>
            <w:vAlign w:val="center"/>
          </w:tcPr>
          <w:p>
            <w:pPr>
              <w:pageBreakBefore w:val="0"/>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教学程序设计</w:t>
            </w:r>
          </w:p>
          <w:p>
            <w:pPr>
              <w:pageBreakBefore w:val="0"/>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（25分）</w:t>
            </w:r>
          </w:p>
        </w:tc>
        <w:tc>
          <w:tcPr>
            <w:tcW w:w="6133" w:type="dxa"/>
            <w:gridSpan w:val="4"/>
            <w:tcBorders>
              <w:top w:val="single" w:color="auto" w:sz="4" w:space="0"/>
              <w:left w:val="nil"/>
              <w:bottom w:val="single" w:color="auto" w:sz="4" w:space="0"/>
              <w:right w:val="single" w:color="auto" w:sz="4" w:space="0"/>
            </w:tcBorders>
            <w:noWrap w:val="0"/>
            <w:vAlign w:val="center"/>
          </w:tcPr>
          <w:p>
            <w:pPr>
              <w:pageBreakBefore w:val="0"/>
              <w:widowControl/>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1.教学思路清晰，教学容量适当；</w:t>
            </w:r>
          </w:p>
          <w:p>
            <w:pPr>
              <w:pageBreakBefore w:val="0"/>
              <w:widowControl/>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2.结构合理，层次清楚，各环节衔接自然；</w:t>
            </w:r>
          </w:p>
          <w:p>
            <w:pPr>
              <w:pageBreakBefore w:val="0"/>
              <w:widowControl/>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3.突出重点，抓住关键，突破难点；</w:t>
            </w:r>
          </w:p>
          <w:p>
            <w:pPr>
              <w:pageBreakBefore w:val="0"/>
              <w:widowControl/>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4.对学情预设充分，尊重学生的个体特点，注重学生的主体发挥；</w:t>
            </w:r>
          </w:p>
          <w:p>
            <w:pPr>
              <w:pageBreakBefore w:val="0"/>
              <w:widowControl/>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5.实践教学内容及程序安排合理。</w:t>
            </w:r>
          </w:p>
        </w:tc>
        <w:tc>
          <w:tcPr>
            <w:tcW w:w="972" w:type="dxa"/>
            <w:tcBorders>
              <w:top w:val="single" w:color="auto" w:sz="4" w:space="0"/>
              <w:left w:val="nil"/>
              <w:bottom w:val="single" w:color="auto" w:sz="4" w:space="0"/>
              <w:right w:val="double" w:color="auto" w:sz="4" w:space="0"/>
            </w:tcBorders>
            <w:noWrap w:val="0"/>
            <w:vAlign w:val="center"/>
          </w:tcPr>
          <w:p>
            <w:pPr>
              <w:pageBreakBefore w:val="0"/>
              <w:topLinePunct w:val="0"/>
              <w:bidi w:val="0"/>
              <w:adjustRightInd w:val="0"/>
              <w:snapToGrid w:val="0"/>
              <w:jc w:val="center"/>
              <w:outlineLvl w:val="9"/>
              <w:rPr>
                <w:rFonts w:ascii="仿宋" w:hAnsi="仿宋" w:eastAsia="仿宋" w:cs="仿宋"/>
                <w:kern w:val="0"/>
                <w:szCs w:val="21"/>
              </w:rPr>
            </w:pPr>
          </w:p>
        </w:tc>
      </w:tr>
      <w:tr>
        <w:tblPrEx>
          <w:tblCellMar>
            <w:top w:w="0" w:type="dxa"/>
            <w:left w:w="0" w:type="dxa"/>
            <w:bottom w:w="0" w:type="dxa"/>
            <w:right w:w="0" w:type="dxa"/>
          </w:tblCellMar>
        </w:tblPrEx>
        <w:trPr>
          <w:trHeight w:val="1256" w:hRule="atLeast"/>
          <w:jc w:val="center"/>
        </w:trPr>
        <w:tc>
          <w:tcPr>
            <w:tcW w:w="2149" w:type="dxa"/>
            <w:tcBorders>
              <w:top w:val="nil"/>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教师基本素养</w:t>
            </w:r>
          </w:p>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（10分）</w:t>
            </w:r>
          </w:p>
        </w:tc>
        <w:tc>
          <w:tcPr>
            <w:tcW w:w="6133" w:type="dxa"/>
            <w:gridSpan w:val="4"/>
            <w:tcBorders>
              <w:top w:val="single" w:color="auto" w:sz="4" w:space="0"/>
              <w:left w:val="nil"/>
              <w:bottom w:val="single" w:color="auto" w:sz="4" w:space="0"/>
              <w:right w:val="single" w:color="auto" w:sz="4" w:space="0"/>
            </w:tcBorders>
            <w:noWrap w:val="0"/>
            <w:vAlign w:val="center"/>
          </w:tcPr>
          <w:p>
            <w:pPr>
              <w:pageBreakBefore w:val="0"/>
              <w:widowControl/>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1.普通话教学，语言文字规范，无违背党和国家方针政策的言行，无师德失范行为，授课流畅、准确、精炼；</w:t>
            </w:r>
          </w:p>
          <w:p>
            <w:pPr>
              <w:pageBreakBefore w:val="0"/>
              <w:widowControl/>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2.教态自然大方，感染力强；</w:t>
            </w:r>
          </w:p>
          <w:p>
            <w:pPr>
              <w:pageBreakBefore w:val="0"/>
              <w:widowControl/>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3.演示操作熟练，板书设计合理，课件制作实用美观；</w:t>
            </w:r>
          </w:p>
          <w:p>
            <w:pPr>
              <w:pageBreakBefore w:val="0"/>
              <w:topLinePunct w:val="0"/>
              <w:bidi w:val="0"/>
              <w:adjustRightInd w:val="0"/>
              <w:snapToGrid w:val="0"/>
              <w:jc w:val="left"/>
              <w:outlineLvl w:val="9"/>
              <w:rPr>
                <w:rFonts w:ascii="仿宋" w:hAnsi="仿宋" w:eastAsia="仿宋" w:cs="仿宋"/>
                <w:kern w:val="0"/>
                <w:szCs w:val="21"/>
              </w:rPr>
            </w:pPr>
            <w:r>
              <w:rPr>
                <w:rFonts w:hint="eastAsia" w:ascii="仿宋" w:hAnsi="仿宋" w:eastAsia="仿宋" w:cs="仿宋"/>
                <w:kern w:val="0"/>
                <w:szCs w:val="21"/>
              </w:rPr>
              <w:t>4.说课设计整体感强，结构清晰，有层次感。</w:t>
            </w:r>
          </w:p>
        </w:tc>
        <w:tc>
          <w:tcPr>
            <w:tcW w:w="972" w:type="dxa"/>
            <w:tcBorders>
              <w:top w:val="single" w:color="auto" w:sz="4" w:space="0"/>
              <w:left w:val="nil"/>
              <w:bottom w:val="single" w:color="auto" w:sz="4" w:space="0"/>
              <w:right w:val="double" w:color="auto" w:sz="4" w:space="0"/>
            </w:tcBorders>
            <w:noWrap w:val="0"/>
            <w:vAlign w:val="center"/>
          </w:tcPr>
          <w:p>
            <w:pPr>
              <w:pageBreakBefore w:val="0"/>
              <w:topLinePunct w:val="0"/>
              <w:bidi w:val="0"/>
              <w:adjustRightInd w:val="0"/>
              <w:snapToGrid w:val="0"/>
              <w:jc w:val="center"/>
              <w:outlineLvl w:val="9"/>
              <w:rPr>
                <w:rFonts w:ascii="仿宋" w:hAnsi="仿宋" w:eastAsia="仿宋" w:cs="仿宋"/>
                <w:kern w:val="0"/>
                <w:szCs w:val="21"/>
              </w:rPr>
            </w:pPr>
          </w:p>
        </w:tc>
      </w:tr>
      <w:tr>
        <w:tblPrEx>
          <w:tblCellMar>
            <w:top w:w="0" w:type="dxa"/>
            <w:left w:w="0" w:type="dxa"/>
            <w:bottom w:w="0" w:type="dxa"/>
            <w:right w:w="0" w:type="dxa"/>
          </w:tblCellMar>
        </w:tblPrEx>
        <w:trPr>
          <w:trHeight w:val="687" w:hRule="atLeast"/>
          <w:jc w:val="center"/>
        </w:trPr>
        <w:tc>
          <w:tcPr>
            <w:tcW w:w="2149" w:type="dxa"/>
            <w:tcBorders>
              <w:top w:val="nil"/>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评委提问</w:t>
            </w:r>
          </w:p>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 xml:space="preserve"> （10分）</w:t>
            </w:r>
          </w:p>
        </w:tc>
        <w:tc>
          <w:tcPr>
            <w:tcW w:w="6133" w:type="dxa"/>
            <w:gridSpan w:val="4"/>
            <w:tcBorders>
              <w:top w:val="nil"/>
              <w:left w:val="nil"/>
              <w:bottom w:val="single" w:color="auto" w:sz="4" w:space="0"/>
              <w:right w:val="single" w:color="auto" w:sz="4" w:space="0"/>
            </w:tcBorders>
            <w:noWrap w:val="0"/>
            <w:vAlign w:val="center"/>
          </w:tcPr>
          <w:p>
            <w:pPr>
              <w:pageBreakBefore w:val="0"/>
              <w:widowControl/>
              <w:topLinePunct w:val="0"/>
              <w:bidi w:val="0"/>
              <w:adjustRightInd w:val="0"/>
              <w:snapToGrid w:val="0"/>
              <w:ind w:firstLine="210" w:firstLineChars="100"/>
              <w:jc w:val="left"/>
              <w:outlineLvl w:val="9"/>
              <w:rPr>
                <w:rFonts w:ascii="仿宋" w:hAnsi="仿宋" w:eastAsia="仿宋" w:cs="仿宋"/>
                <w:kern w:val="0"/>
                <w:szCs w:val="21"/>
              </w:rPr>
            </w:pPr>
            <w:r>
              <w:rPr>
                <w:rFonts w:hint="eastAsia" w:ascii="仿宋" w:hAnsi="仿宋" w:eastAsia="仿宋" w:cs="仿宋"/>
                <w:kern w:val="0"/>
                <w:szCs w:val="21"/>
              </w:rPr>
              <w:t>回答评委提出的问题，观点正确， 理由充分。</w:t>
            </w:r>
          </w:p>
        </w:tc>
        <w:tc>
          <w:tcPr>
            <w:tcW w:w="972" w:type="dxa"/>
            <w:tcBorders>
              <w:top w:val="single" w:color="auto" w:sz="4" w:space="0"/>
              <w:left w:val="nil"/>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r>
      <w:tr>
        <w:tblPrEx>
          <w:tblCellMar>
            <w:top w:w="0" w:type="dxa"/>
            <w:left w:w="0" w:type="dxa"/>
            <w:bottom w:w="0" w:type="dxa"/>
            <w:right w:w="0" w:type="dxa"/>
          </w:tblCellMar>
        </w:tblPrEx>
        <w:trPr>
          <w:trHeight w:val="561" w:hRule="atLeast"/>
          <w:jc w:val="center"/>
        </w:trPr>
        <w:tc>
          <w:tcPr>
            <w:tcW w:w="2149" w:type="dxa"/>
            <w:tcBorders>
              <w:top w:val="nil"/>
              <w:left w:val="double" w:color="auto" w:sz="4" w:space="0"/>
              <w:bottom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评委签名</w:t>
            </w:r>
          </w:p>
        </w:tc>
        <w:tc>
          <w:tcPr>
            <w:tcW w:w="2426" w:type="dxa"/>
            <w:tcBorders>
              <w:top w:val="single" w:color="auto" w:sz="4" w:space="0"/>
              <w:left w:val="nil"/>
              <w:bottom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917" w:type="dxa"/>
            <w:tcBorders>
              <w:top w:val="single" w:color="auto" w:sz="4" w:space="0"/>
              <w:left w:val="nil"/>
              <w:bottom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日期</w:t>
            </w:r>
          </w:p>
        </w:tc>
        <w:tc>
          <w:tcPr>
            <w:tcW w:w="1669" w:type="dxa"/>
            <w:tcBorders>
              <w:top w:val="single" w:color="auto" w:sz="4" w:space="0"/>
              <w:left w:val="nil"/>
              <w:bottom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1121" w:type="dxa"/>
            <w:tcBorders>
              <w:top w:val="single" w:color="auto" w:sz="4" w:space="0"/>
              <w:left w:val="nil"/>
              <w:bottom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合计得分</w:t>
            </w:r>
          </w:p>
        </w:tc>
        <w:tc>
          <w:tcPr>
            <w:tcW w:w="972" w:type="dxa"/>
            <w:tcBorders>
              <w:top w:val="single" w:color="auto" w:sz="4" w:space="0"/>
              <w:left w:val="nil"/>
              <w:bottom w:val="doub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r>
    </w:tbl>
    <w:p>
      <w:pPr>
        <w:pageBreakBefore w:val="0"/>
        <w:topLinePunct w:val="0"/>
        <w:bidi w:val="0"/>
        <w:adjustRightInd w:val="0"/>
        <w:snapToGrid w:val="0"/>
        <w:outlineLvl w:val="9"/>
        <w:rPr>
          <w:rFonts w:ascii="仿宋" w:hAnsi="仿宋" w:eastAsia="仿宋" w:cs="仿宋"/>
          <w:szCs w:val="21"/>
        </w:rPr>
      </w:pPr>
    </w:p>
    <w:p>
      <w:pPr>
        <w:pageBreakBefore w:val="0"/>
        <w:tabs>
          <w:tab w:val="left" w:pos="0"/>
        </w:tabs>
        <w:topLinePunct w:val="0"/>
        <w:bidi w:val="0"/>
        <w:spacing w:line="360" w:lineRule="auto"/>
        <w:jc w:val="left"/>
        <w:outlineLvl w:val="9"/>
        <w:rPr>
          <w:rFonts w:ascii="仿宋" w:hAnsi="仿宋" w:eastAsia="仿宋" w:cs="仿宋"/>
          <w:bCs/>
          <w:sz w:val="24"/>
        </w:rPr>
      </w:pPr>
      <w:r>
        <w:rPr>
          <w:rFonts w:hint="eastAsia" w:ascii="仿宋" w:hAnsi="仿宋" w:eastAsia="仿宋" w:cs="仿宋"/>
          <w:bCs/>
          <w:sz w:val="32"/>
          <w:szCs w:val="32"/>
        </w:rPr>
        <w:br w:type="page"/>
      </w:r>
      <w:r>
        <w:rPr>
          <w:rFonts w:hint="eastAsia" w:ascii="仿宋" w:hAnsi="仿宋" w:eastAsia="仿宋" w:cs="仿宋"/>
          <w:color w:val="000000"/>
          <w:sz w:val="28"/>
          <w:szCs w:val="28"/>
        </w:rPr>
        <w:t>附件4</w:t>
      </w:r>
    </w:p>
    <w:p>
      <w:pPr>
        <w:pageBreakBefore w:val="0"/>
        <w:topLinePunct w:val="0"/>
        <w:bidi w:val="0"/>
        <w:spacing w:line="360" w:lineRule="auto"/>
        <w:jc w:val="center"/>
        <w:outlineLvl w:val="9"/>
        <w:rPr>
          <w:rFonts w:ascii="仿宋" w:hAnsi="仿宋" w:eastAsia="仿宋" w:cs="仿宋"/>
          <w:sz w:val="28"/>
          <w:szCs w:val="28"/>
        </w:rPr>
      </w:pPr>
      <w:r>
        <w:rPr>
          <w:rFonts w:hint="eastAsia" w:ascii="仿宋" w:hAnsi="仿宋" w:eastAsia="仿宋" w:cs="仿宋"/>
          <w:sz w:val="28"/>
          <w:szCs w:val="28"/>
        </w:rPr>
        <w:t>课程教学质量评价专家意见表</w:t>
      </w:r>
    </w:p>
    <w:tbl>
      <w:tblPr>
        <w:tblStyle w:val="37"/>
        <w:tblW w:w="9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26"/>
        <w:gridCol w:w="3203"/>
        <w:gridCol w:w="1559"/>
        <w:gridCol w:w="3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1335" w:type="dxa"/>
            <w:gridSpan w:val="2"/>
            <w:tcBorders>
              <w:top w:val="double" w:color="auto" w:sz="4" w:space="0"/>
              <w:left w:val="double" w:color="auto" w:sz="4" w:space="0"/>
              <w:bottom w:val="single" w:color="auto" w:sz="6" w:space="0"/>
              <w:right w:val="single" w:color="auto" w:sz="6" w:space="0"/>
            </w:tcBorders>
            <w:noWrap w:val="0"/>
            <w:vAlign w:val="center"/>
          </w:tcPr>
          <w:p>
            <w:pPr>
              <w:pageBreakBefore w:val="0"/>
              <w:tabs>
                <w:tab w:val="left" w:pos="0"/>
              </w:tabs>
              <w:topLinePunct w:val="0"/>
              <w:bidi w:val="0"/>
              <w:adjustRightInd w:val="0"/>
              <w:snapToGrid w:val="0"/>
              <w:jc w:val="center"/>
              <w:outlineLvl w:val="9"/>
              <w:rPr>
                <w:rFonts w:ascii="仿宋" w:hAnsi="仿宋" w:eastAsia="仿宋" w:cs="仿宋"/>
                <w:szCs w:val="21"/>
              </w:rPr>
            </w:pPr>
            <w:r>
              <w:rPr>
                <w:rFonts w:hint="eastAsia" w:ascii="仿宋" w:hAnsi="仿宋" w:eastAsia="仿宋" w:cs="仿宋"/>
                <w:szCs w:val="21"/>
              </w:rPr>
              <w:t>教学单位</w:t>
            </w:r>
          </w:p>
        </w:tc>
        <w:tc>
          <w:tcPr>
            <w:tcW w:w="3203" w:type="dxa"/>
            <w:tcBorders>
              <w:top w:val="double" w:color="auto" w:sz="4" w:space="0"/>
              <w:left w:val="single" w:color="auto" w:sz="6" w:space="0"/>
              <w:bottom w:val="single" w:color="auto" w:sz="6" w:space="0"/>
              <w:right w:val="single" w:color="auto" w:sz="6" w:space="0"/>
            </w:tcBorders>
            <w:noWrap w:val="0"/>
            <w:vAlign w:val="center"/>
          </w:tcPr>
          <w:p>
            <w:pPr>
              <w:pageBreakBefore w:val="0"/>
              <w:tabs>
                <w:tab w:val="left" w:pos="0"/>
              </w:tabs>
              <w:topLinePunct w:val="0"/>
              <w:bidi w:val="0"/>
              <w:adjustRightInd w:val="0"/>
              <w:snapToGrid w:val="0"/>
              <w:jc w:val="center"/>
              <w:outlineLvl w:val="9"/>
              <w:rPr>
                <w:rFonts w:ascii="仿宋" w:hAnsi="仿宋" w:eastAsia="仿宋" w:cs="仿宋"/>
                <w:szCs w:val="21"/>
              </w:rPr>
            </w:pPr>
          </w:p>
        </w:tc>
        <w:tc>
          <w:tcPr>
            <w:tcW w:w="1559" w:type="dxa"/>
            <w:tcBorders>
              <w:top w:val="double" w:color="auto" w:sz="4" w:space="0"/>
              <w:left w:val="single" w:color="auto" w:sz="6" w:space="0"/>
              <w:bottom w:val="single" w:color="auto" w:sz="6" w:space="0"/>
              <w:right w:val="single" w:color="auto" w:sz="6" w:space="0"/>
            </w:tcBorders>
            <w:noWrap w:val="0"/>
            <w:vAlign w:val="center"/>
          </w:tcPr>
          <w:p>
            <w:pPr>
              <w:pageBreakBefore w:val="0"/>
              <w:topLinePunct w:val="0"/>
              <w:bidi w:val="0"/>
              <w:adjustRightInd w:val="0"/>
              <w:snapToGrid w:val="0"/>
              <w:jc w:val="center"/>
              <w:outlineLvl w:val="9"/>
              <w:rPr>
                <w:rFonts w:ascii="仿宋" w:hAnsi="仿宋" w:eastAsia="仿宋" w:cs="仿宋"/>
                <w:position w:val="-6"/>
                <w:szCs w:val="21"/>
              </w:rPr>
            </w:pPr>
            <w:r>
              <w:rPr>
                <w:rFonts w:hint="eastAsia" w:ascii="仿宋" w:hAnsi="仿宋" w:eastAsia="仿宋" w:cs="仿宋"/>
                <w:szCs w:val="21"/>
              </w:rPr>
              <w:t>所属教研室</w:t>
            </w:r>
          </w:p>
        </w:tc>
        <w:tc>
          <w:tcPr>
            <w:tcW w:w="3066" w:type="dxa"/>
            <w:tcBorders>
              <w:top w:val="double" w:color="auto" w:sz="4" w:space="0"/>
              <w:left w:val="single" w:color="auto" w:sz="6" w:space="0"/>
              <w:bottom w:val="single" w:color="auto" w:sz="6" w:space="0"/>
              <w:right w:val="double" w:color="auto" w:sz="4" w:space="0"/>
            </w:tcBorders>
            <w:noWrap w:val="0"/>
            <w:vAlign w:val="center"/>
          </w:tcPr>
          <w:p>
            <w:pPr>
              <w:pageBreakBefore w:val="0"/>
              <w:tabs>
                <w:tab w:val="left" w:pos="0"/>
              </w:tabs>
              <w:topLinePunct w:val="0"/>
              <w:bidi w:val="0"/>
              <w:adjustRightInd w:val="0"/>
              <w:snapToGrid w:val="0"/>
              <w:jc w:val="center"/>
              <w:outlineLvl w:val="9"/>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1335" w:type="dxa"/>
            <w:gridSpan w:val="2"/>
            <w:tcBorders>
              <w:top w:val="single" w:color="auto" w:sz="6" w:space="0"/>
              <w:left w:val="double" w:color="auto" w:sz="4" w:space="0"/>
              <w:bottom w:val="single" w:color="auto" w:sz="6" w:space="0"/>
              <w:right w:val="single" w:color="auto" w:sz="6" w:space="0"/>
            </w:tcBorders>
            <w:noWrap w:val="0"/>
            <w:vAlign w:val="center"/>
          </w:tcPr>
          <w:p>
            <w:pPr>
              <w:pageBreakBefore w:val="0"/>
              <w:tabs>
                <w:tab w:val="left" w:pos="0"/>
              </w:tabs>
              <w:topLinePunct w:val="0"/>
              <w:bidi w:val="0"/>
              <w:adjustRightInd w:val="0"/>
              <w:snapToGrid w:val="0"/>
              <w:jc w:val="center"/>
              <w:outlineLvl w:val="9"/>
              <w:rPr>
                <w:rFonts w:ascii="仿宋" w:hAnsi="仿宋" w:eastAsia="仿宋" w:cs="仿宋"/>
                <w:szCs w:val="21"/>
              </w:rPr>
            </w:pPr>
            <w:r>
              <w:rPr>
                <w:rFonts w:hint="eastAsia" w:ascii="仿宋" w:hAnsi="仿宋" w:eastAsia="仿宋" w:cs="仿宋"/>
                <w:szCs w:val="21"/>
              </w:rPr>
              <w:t>专业名称</w:t>
            </w:r>
          </w:p>
        </w:tc>
        <w:tc>
          <w:tcPr>
            <w:tcW w:w="3203" w:type="dxa"/>
            <w:tcBorders>
              <w:top w:val="single" w:color="auto" w:sz="6" w:space="0"/>
              <w:left w:val="single" w:color="auto" w:sz="6" w:space="0"/>
              <w:bottom w:val="single" w:color="auto" w:sz="6" w:space="0"/>
              <w:right w:val="single" w:color="auto" w:sz="6" w:space="0"/>
            </w:tcBorders>
            <w:noWrap w:val="0"/>
            <w:vAlign w:val="center"/>
          </w:tcPr>
          <w:p>
            <w:pPr>
              <w:pageBreakBefore w:val="0"/>
              <w:topLinePunct w:val="0"/>
              <w:bidi w:val="0"/>
              <w:adjustRightInd w:val="0"/>
              <w:snapToGrid w:val="0"/>
              <w:jc w:val="center"/>
              <w:outlineLvl w:val="9"/>
              <w:rPr>
                <w:rFonts w:ascii="仿宋" w:hAnsi="仿宋" w:eastAsia="仿宋" w:cs="仿宋"/>
                <w:szCs w:val="21"/>
              </w:rPr>
            </w:pPr>
          </w:p>
        </w:tc>
        <w:tc>
          <w:tcPr>
            <w:tcW w:w="1559" w:type="dxa"/>
            <w:tcBorders>
              <w:top w:val="single" w:color="auto" w:sz="6" w:space="0"/>
              <w:left w:val="single" w:color="auto" w:sz="6" w:space="0"/>
              <w:bottom w:val="single" w:color="auto" w:sz="6" w:space="0"/>
              <w:right w:val="single" w:color="auto" w:sz="6" w:space="0"/>
            </w:tcBorders>
            <w:noWrap w:val="0"/>
            <w:vAlign w:val="center"/>
          </w:tcPr>
          <w:p>
            <w:pPr>
              <w:pageBreakBefore w:val="0"/>
              <w:topLinePunct w:val="0"/>
              <w:bidi w:val="0"/>
              <w:adjustRightInd w:val="0"/>
              <w:snapToGrid w:val="0"/>
              <w:jc w:val="center"/>
              <w:outlineLvl w:val="9"/>
              <w:rPr>
                <w:rFonts w:ascii="仿宋" w:hAnsi="仿宋" w:eastAsia="仿宋" w:cs="仿宋"/>
                <w:position w:val="-6"/>
                <w:szCs w:val="21"/>
              </w:rPr>
            </w:pPr>
            <w:r>
              <w:rPr>
                <w:rFonts w:hint="eastAsia" w:ascii="仿宋" w:hAnsi="仿宋" w:eastAsia="仿宋" w:cs="仿宋"/>
                <w:szCs w:val="21"/>
              </w:rPr>
              <w:t>专业代码</w:t>
            </w:r>
          </w:p>
        </w:tc>
        <w:tc>
          <w:tcPr>
            <w:tcW w:w="3066" w:type="dxa"/>
            <w:tcBorders>
              <w:top w:val="single" w:color="auto" w:sz="6" w:space="0"/>
              <w:left w:val="single" w:color="auto" w:sz="6" w:space="0"/>
              <w:bottom w:val="single" w:color="auto" w:sz="6" w:space="0"/>
              <w:right w:val="double" w:color="auto" w:sz="4" w:space="0"/>
            </w:tcBorders>
            <w:noWrap w:val="0"/>
            <w:vAlign w:val="center"/>
          </w:tcPr>
          <w:p>
            <w:pPr>
              <w:pageBreakBefore w:val="0"/>
              <w:topLinePunct w:val="0"/>
              <w:bidi w:val="0"/>
              <w:adjustRightInd w:val="0"/>
              <w:snapToGrid w:val="0"/>
              <w:jc w:val="center"/>
              <w:outlineLvl w:val="9"/>
              <w:rPr>
                <w:rFonts w:ascii="仿宋" w:hAnsi="仿宋" w:eastAsia="仿宋" w:cs="仿宋"/>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1335" w:type="dxa"/>
            <w:gridSpan w:val="2"/>
            <w:tcBorders>
              <w:top w:val="single" w:color="auto" w:sz="6" w:space="0"/>
              <w:left w:val="double" w:color="auto" w:sz="4" w:space="0"/>
              <w:bottom w:val="single" w:color="auto" w:sz="6" w:space="0"/>
              <w:right w:val="single" w:color="auto" w:sz="6" w:space="0"/>
            </w:tcBorders>
            <w:noWrap w:val="0"/>
            <w:vAlign w:val="center"/>
          </w:tcPr>
          <w:p>
            <w:pPr>
              <w:pageBreakBefore w:val="0"/>
              <w:tabs>
                <w:tab w:val="left" w:pos="0"/>
              </w:tabs>
              <w:topLinePunct w:val="0"/>
              <w:bidi w:val="0"/>
              <w:adjustRightInd w:val="0"/>
              <w:snapToGrid w:val="0"/>
              <w:jc w:val="center"/>
              <w:outlineLvl w:val="9"/>
              <w:rPr>
                <w:rFonts w:ascii="仿宋" w:hAnsi="仿宋" w:eastAsia="仿宋" w:cs="仿宋"/>
                <w:szCs w:val="21"/>
              </w:rPr>
            </w:pPr>
            <w:r>
              <w:rPr>
                <w:rFonts w:hint="eastAsia" w:ascii="仿宋" w:hAnsi="仿宋" w:eastAsia="仿宋" w:cs="仿宋"/>
                <w:position w:val="-6"/>
                <w:szCs w:val="21"/>
              </w:rPr>
              <w:t>课程名称</w:t>
            </w:r>
          </w:p>
        </w:tc>
        <w:tc>
          <w:tcPr>
            <w:tcW w:w="3203" w:type="dxa"/>
            <w:tcBorders>
              <w:top w:val="single" w:color="auto" w:sz="6" w:space="0"/>
              <w:left w:val="single" w:color="auto" w:sz="6" w:space="0"/>
              <w:bottom w:val="single" w:color="auto" w:sz="6" w:space="0"/>
              <w:right w:val="single" w:color="auto" w:sz="6" w:space="0"/>
            </w:tcBorders>
            <w:noWrap w:val="0"/>
            <w:vAlign w:val="center"/>
          </w:tcPr>
          <w:p>
            <w:pPr>
              <w:pageBreakBefore w:val="0"/>
              <w:topLinePunct w:val="0"/>
              <w:bidi w:val="0"/>
              <w:adjustRightInd w:val="0"/>
              <w:snapToGrid w:val="0"/>
              <w:jc w:val="center"/>
              <w:outlineLvl w:val="9"/>
              <w:rPr>
                <w:rFonts w:ascii="仿宋" w:hAnsi="仿宋" w:eastAsia="仿宋" w:cs="仿宋"/>
                <w:szCs w:val="21"/>
              </w:rPr>
            </w:pPr>
          </w:p>
        </w:tc>
        <w:tc>
          <w:tcPr>
            <w:tcW w:w="1559" w:type="dxa"/>
            <w:tcBorders>
              <w:top w:val="single" w:color="auto" w:sz="6" w:space="0"/>
              <w:left w:val="single" w:color="auto" w:sz="6" w:space="0"/>
              <w:bottom w:val="single" w:color="auto" w:sz="6" w:space="0"/>
              <w:right w:val="single" w:color="auto" w:sz="6" w:space="0"/>
            </w:tcBorders>
            <w:noWrap w:val="0"/>
            <w:vAlign w:val="center"/>
          </w:tcPr>
          <w:p>
            <w:pPr>
              <w:pageBreakBefore w:val="0"/>
              <w:topLinePunct w:val="0"/>
              <w:bidi w:val="0"/>
              <w:adjustRightInd w:val="0"/>
              <w:snapToGrid w:val="0"/>
              <w:jc w:val="center"/>
              <w:outlineLvl w:val="9"/>
              <w:rPr>
                <w:rFonts w:ascii="仿宋" w:hAnsi="仿宋" w:eastAsia="仿宋" w:cs="仿宋"/>
                <w:position w:val="-6"/>
                <w:szCs w:val="21"/>
              </w:rPr>
            </w:pPr>
            <w:r>
              <w:rPr>
                <w:rFonts w:hint="eastAsia" w:ascii="仿宋" w:hAnsi="仿宋" w:eastAsia="仿宋" w:cs="仿宋"/>
                <w:szCs w:val="21"/>
              </w:rPr>
              <w:t>课程性质</w:t>
            </w:r>
          </w:p>
        </w:tc>
        <w:tc>
          <w:tcPr>
            <w:tcW w:w="3066" w:type="dxa"/>
            <w:tcBorders>
              <w:top w:val="single" w:color="auto" w:sz="6" w:space="0"/>
              <w:left w:val="single" w:color="auto" w:sz="6" w:space="0"/>
              <w:bottom w:val="single" w:color="auto" w:sz="6" w:space="0"/>
              <w:right w:val="double" w:color="auto" w:sz="4" w:space="0"/>
            </w:tcBorders>
            <w:noWrap w:val="0"/>
            <w:vAlign w:val="center"/>
          </w:tcPr>
          <w:p>
            <w:pPr>
              <w:pageBreakBefore w:val="0"/>
              <w:topLinePunct w:val="0"/>
              <w:bidi w:val="0"/>
              <w:adjustRightInd w:val="0"/>
              <w:snapToGrid w:val="0"/>
              <w:jc w:val="center"/>
              <w:outlineLvl w:val="9"/>
              <w:rPr>
                <w:rFonts w:ascii="仿宋" w:hAnsi="仿宋" w:eastAsia="仿宋" w:cs="仿宋"/>
                <w:position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3" w:hRule="atLeast"/>
          <w:jc w:val="center"/>
        </w:trPr>
        <w:tc>
          <w:tcPr>
            <w:tcW w:w="709" w:type="dxa"/>
            <w:tcBorders>
              <w:top w:val="single" w:color="auto" w:sz="6" w:space="0"/>
              <w:left w:val="double" w:color="auto" w:sz="4" w:space="0"/>
              <w:bottom w:val="single" w:color="auto" w:sz="6" w:space="0"/>
              <w:right w:val="single" w:color="auto" w:sz="6" w:space="0"/>
            </w:tcBorders>
            <w:noWrap w:val="0"/>
            <w:textDirection w:val="tbRlV"/>
            <w:vAlign w:val="top"/>
          </w:tcPr>
          <w:p>
            <w:pPr>
              <w:pageBreakBefore w:val="0"/>
              <w:tabs>
                <w:tab w:val="left" w:pos="0"/>
              </w:tabs>
              <w:topLinePunct w:val="0"/>
              <w:bidi w:val="0"/>
              <w:spacing w:line="360" w:lineRule="auto"/>
              <w:ind w:left="113" w:right="113"/>
              <w:jc w:val="center"/>
              <w:outlineLvl w:val="9"/>
              <w:rPr>
                <w:rFonts w:ascii="仿宋" w:hAnsi="仿宋" w:eastAsia="仿宋" w:cs="仿宋"/>
                <w:spacing w:val="40"/>
                <w:szCs w:val="21"/>
              </w:rPr>
            </w:pPr>
            <w:r>
              <w:rPr>
                <w:rFonts w:hint="eastAsia" w:ascii="仿宋" w:hAnsi="仿宋" w:eastAsia="仿宋" w:cs="仿宋"/>
                <w:spacing w:val="40"/>
                <w:szCs w:val="21"/>
              </w:rPr>
              <w:t>专家评审意见</w:t>
            </w:r>
          </w:p>
        </w:tc>
        <w:tc>
          <w:tcPr>
            <w:tcW w:w="8454" w:type="dxa"/>
            <w:gridSpan w:val="4"/>
            <w:tcBorders>
              <w:top w:val="single" w:color="auto" w:sz="6" w:space="0"/>
              <w:left w:val="single" w:color="auto" w:sz="6" w:space="0"/>
              <w:bottom w:val="single" w:color="auto" w:sz="6" w:space="0"/>
              <w:right w:val="double" w:color="auto" w:sz="4" w:space="0"/>
            </w:tcBorders>
            <w:noWrap w:val="0"/>
            <w:vAlign w:val="top"/>
          </w:tcPr>
          <w:p>
            <w:pPr>
              <w:pageBreakBefore w:val="0"/>
              <w:topLinePunct w:val="0"/>
              <w:bidi w:val="0"/>
              <w:spacing w:line="360" w:lineRule="auto"/>
              <w:jc w:val="left"/>
              <w:outlineLvl w:val="9"/>
              <w:rPr>
                <w:rFonts w:ascii="仿宋" w:hAnsi="仿宋" w:eastAsia="仿宋" w:cs="仿宋"/>
                <w:szCs w:val="21"/>
              </w:rPr>
            </w:pPr>
            <w:r>
              <w:rPr>
                <w:rFonts w:hint="eastAsia" w:ascii="仿宋" w:hAnsi="仿宋" w:eastAsia="仿宋" w:cs="仿宋"/>
                <w:szCs w:val="21"/>
              </w:rPr>
              <w:t>总体评价：</w:t>
            </w:r>
          </w:p>
          <w:p>
            <w:pPr>
              <w:pageBreakBefore w:val="0"/>
              <w:topLinePunct w:val="0"/>
              <w:bidi w:val="0"/>
              <w:spacing w:line="360" w:lineRule="auto"/>
              <w:jc w:val="left"/>
              <w:outlineLvl w:val="9"/>
              <w:rPr>
                <w:rFonts w:ascii="仿宋" w:hAnsi="仿宋" w:eastAsia="仿宋" w:cs="仿宋"/>
                <w:szCs w:val="21"/>
              </w:rPr>
            </w:pPr>
          </w:p>
          <w:p>
            <w:pPr>
              <w:pageBreakBefore w:val="0"/>
              <w:topLinePunct w:val="0"/>
              <w:bidi w:val="0"/>
              <w:spacing w:line="360" w:lineRule="auto"/>
              <w:jc w:val="left"/>
              <w:outlineLvl w:val="9"/>
              <w:rPr>
                <w:rFonts w:ascii="仿宋" w:hAnsi="仿宋" w:eastAsia="仿宋" w:cs="仿宋"/>
                <w:szCs w:val="21"/>
              </w:rPr>
            </w:pPr>
          </w:p>
          <w:p>
            <w:pPr>
              <w:pageBreakBefore w:val="0"/>
              <w:topLinePunct w:val="0"/>
              <w:bidi w:val="0"/>
              <w:spacing w:line="360" w:lineRule="auto"/>
              <w:jc w:val="left"/>
              <w:outlineLvl w:val="9"/>
              <w:rPr>
                <w:rFonts w:ascii="仿宋" w:hAnsi="仿宋" w:eastAsia="仿宋" w:cs="仿宋"/>
                <w:szCs w:val="21"/>
              </w:rPr>
            </w:pPr>
          </w:p>
          <w:p>
            <w:pPr>
              <w:pageBreakBefore w:val="0"/>
              <w:topLinePunct w:val="0"/>
              <w:bidi w:val="0"/>
              <w:spacing w:line="360" w:lineRule="auto"/>
              <w:jc w:val="left"/>
              <w:outlineLvl w:val="9"/>
              <w:rPr>
                <w:rFonts w:ascii="仿宋" w:hAnsi="仿宋" w:eastAsia="仿宋" w:cs="仿宋"/>
                <w:szCs w:val="21"/>
              </w:rPr>
            </w:pPr>
          </w:p>
          <w:p>
            <w:pPr>
              <w:pageBreakBefore w:val="0"/>
              <w:topLinePunct w:val="0"/>
              <w:bidi w:val="0"/>
              <w:spacing w:line="360" w:lineRule="auto"/>
              <w:jc w:val="left"/>
              <w:outlineLvl w:val="9"/>
              <w:rPr>
                <w:rFonts w:ascii="仿宋" w:hAnsi="仿宋" w:eastAsia="仿宋" w:cs="仿宋"/>
                <w:szCs w:val="21"/>
              </w:rPr>
            </w:pPr>
          </w:p>
          <w:p>
            <w:pPr>
              <w:pageBreakBefore w:val="0"/>
              <w:topLinePunct w:val="0"/>
              <w:bidi w:val="0"/>
              <w:spacing w:line="360" w:lineRule="auto"/>
              <w:jc w:val="left"/>
              <w:outlineLvl w:val="9"/>
              <w:rPr>
                <w:rFonts w:ascii="仿宋" w:hAnsi="仿宋" w:eastAsia="仿宋" w:cs="仿宋"/>
                <w:szCs w:val="21"/>
              </w:rPr>
            </w:pPr>
          </w:p>
          <w:p>
            <w:pPr>
              <w:pageBreakBefore w:val="0"/>
              <w:topLinePunct w:val="0"/>
              <w:bidi w:val="0"/>
              <w:spacing w:line="360" w:lineRule="auto"/>
              <w:jc w:val="left"/>
              <w:outlineLvl w:val="9"/>
              <w:rPr>
                <w:rFonts w:ascii="仿宋" w:hAnsi="仿宋" w:eastAsia="仿宋" w:cs="仿宋"/>
                <w:szCs w:val="21"/>
              </w:rPr>
            </w:pPr>
          </w:p>
          <w:p>
            <w:pPr>
              <w:pageBreakBefore w:val="0"/>
              <w:topLinePunct w:val="0"/>
              <w:bidi w:val="0"/>
              <w:spacing w:line="360" w:lineRule="auto"/>
              <w:jc w:val="left"/>
              <w:outlineLvl w:val="9"/>
              <w:rPr>
                <w:rFonts w:ascii="仿宋" w:hAnsi="仿宋" w:eastAsia="仿宋" w:cs="仿宋"/>
                <w:szCs w:val="21"/>
              </w:rPr>
            </w:pPr>
          </w:p>
          <w:p>
            <w:pPr>
              <w:pageBreakBefore w:val="0"/>
              <w:topLinePunct w:val="0"/>
              <w:bidi w:val="0"/>
              <w:spacing w:line="360" w:lineRule="auto"/>
              <w:jc w:val="left"/>
              <w:outlineLvl w:val="9"/>
              <w:rPr>
                <w:rFonts w:ascii="仿宋" w:hAnsi="仿宋" w:eastAsia="仿宋" w:cs="仿宋"/>
                <w:szCs w:val="21"/>
              </w:rPr>
            </w:pPr>
          </w:p>
          <w:p>
            <w:pPr>
              <w:pageBreakBefore w:val="0"/>
              <w:topLinePunct w:val="0"/>
              <w:bidi w:val="0"/>
              <w:spacing w:line="360" w:lineRule="auto"/>
              <w:outlineLvl w:val="9"/>
              <w:rPr>
                <w:rFonts w:ascii="仿宋" w:hAnsi="仿宋" w:eastAsia="仿宋" w:cs="仿宋"/>
                <w:szCs w:val="21"/>
              </w:rPr>
            </w:pPr>
            <w:r>
              <w:rPr>
                <w:rFonts w:hint="eastAsia" w:ascii="仿宋" w:hAnsi="仿宋" w:eastAsia="仿宋" w:cs="仿宋"/>
                <w:szCs w:val="21"/>
              </w:rPr>
              <w:t>专家建议：</w:t>
            </w:r>
          </w:p>
          <w:p>
            <w:pPr>
              <w:pageBreakBefore w:val="0"/>
              <w:topLinePunct w:val="0"/>
              <w:bidi w:val="0"/>
              <w:spacing w:line="360" w:lineRule="auto"/>
              <w:outlineLvl w:val="9"/>
              <w:rPr>
                <w:rFonts w:ascii="仿宋" w:hAnsi="仿宋" w:eastAsia="仿宋" w:cs="仿宋"/>
                <w:szCs w:val="21"/>
              </w:rPr>
            </w:pPr>
          </w:p>
          <w:p>
            <w:pPr>
              <w:pageBreakBefore w:val="0"/>
              <w:topLinePunct w:val="0"/>
              <w:bidi w:val="0"/>
              <w:spacing w:line="360" w:lineRule="auto"/>
              <w:outlineLvl w:val="9"/>
              <w:rPr>
                <w:rFonts w:ascii="仿宋" w:hAnsi="仿宋" w:eastAsia="仿宋" w:cs="仿宋"/>
                <w:szCs w:val="21"/>
              </w:rPr>
            </w:pPr>
          </w:p>
          <w:p>
            <w:pPr>
              <w:pageBreakBefore w:val="0"/>
              <w:topLinePunct w:val="0"/>
              <w:bidi w:val="0"/>
              <w:spacing w:line="360" w:lineRule="auto"/>
              <w:outlineLvl w:val="9"/>
              <w:rPr>
                <w:rFonts w:ascii="仿宋" w:hAnsi="仿宋" w:eastAsia="仿宋" w:cs="仿宋"/>
                <w:szCs w:val="21"/>
              </w:rPr>
            </w:pPr>
          </w:p>
          <w:p>
            <w:pPr>
              <w:pageBreakBefore w:val="0"/>
              <w:topLinePunct w:val="0"/>
              <w:bidi w:val="0"/>
              <w:outlineLvl w:val="9"/>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7" w:hRule="atLeast"/>
          <w:jc w:val="center"/>
        </w:trPr>
        <w:tc>
          <w:tcPr>
            <w:tcW w:w="709" w:type="dxa"/>
            <w:tcBorders>
              <w:top w:val="single" w:color="auto" w:sz="6" w:space="0"/>
              <w:left w:val="double" w:color="auto" w:sz="4" w:space="0"/>
              <w:bottom w:val="double" w:color="auto" w:sz="4" w:space="0"/>
              <w:right w:val="single" w:color="auto" w:sz="6" w:space="0"/>
            </w:tcBorders>
            <w:noWrap w:val="0"/>
            <w:textDirection w:val="tbRlV"/>
            <w:vAlign w:val="top"/>
          </w:tcPr>
          <w:p>
            <w:pPr>
              <w:pageBreakBefore w:val="0"/>
              <w:tabs>
                <w:tab w:val="left" w:pos="0"/>
              </w:tabs>
              <w:topLinePunct w:val="0"/>
              <w:bidi w:val="0"/>
              <w:spacing w:line="360" w:lineRule="auto"/>
              <w:ind w:left="113" w:right="113"/>
              <w:jc w:val="center"/>
              <w:outlineLvl w:val="9"/>
              <w:rPr>
                <w:rFonts w:ascii="仿宋" w:hAnsi="仿宋" w:eastAsia="仿宋" w:cs="仿宋"/>
                <w:spacing w:val="40"/>
                <w:szCs w:val="21"/>
              </w:rPr>
            </w:pPr>
            <w:r>
              <w:rPr>
                <w:rFonts w:hint="eastAsia" w:ascii="仿宋" w:hAnsi="仿宋" w:eastAsia="仿宋" w:cs="仿宋"/>
                <w:spacing w:val="40"/>
                <w:szCs w:val="21"/>
              </w:rPr>
              <w:t>专家签名</w:t>
            </w:r>
          </w:p>
        </w:tc>
        <w:tc>
          <w:tcPr>
            <w:tcW w:w="8454" w:type="dxa"/>
            <w:gridSpan w:val="4"/>
            <w:tcBorders>
              <w:top w:val="single" w:color="auto" w:sz="6" w:space="0"/>
              <w:left w:val="single" w:color="auto" w:sz="6" w:space="0"/>
              <w:bottom w:val="double" w:color="auto" w:sz="4" w:space="0"/>
              <w:right w:val="double" w:color="auto" w:sz="4" w:space="0"/>
            </w:tcBorders>
            <w:noWrap w:val="0"/>
            <w:vAlign w:val="top"/>
          </w:tcPr>
          <w:p>
            <w:pPr>
              <w:pageBreakBefore w:val="0"/>
              <w:tabs>
                <w:tab w:val="left" w:pos="0"/>
              </w:tabs>
              <w:topLinePunct w:val="0"/>
              <w:bidi w:val="0"/>
              <w:spacing w:line="360" w:lineRule="auto"/>
              <w:outlineLvl w:val="9"/>
              <w:rPr>
                <w:rFonts w:ascii="仿宋" w:hAnsi="仿宋" w:eastAsia="仿宋" w:cs="仿宋"/>
                <w:szCs w:val="21"/>
              </w:rPr>
            </w:pPr>
          </w:p>
          <w:p>
            <w:pPr>
              <w:pageBreakBefore w:val="0"/>
              <w:tabs>
                <w:tab w:val="left" w:pos="0"/>
              </w:tabs>
              <w:topLinePunct w:val="0"/>
              <w:bidi w:val="0"/>
              <w:spacing w:line="360" w:lineRule="auto"/>
              <w:jc w:val="right"/>
              <w:outlineLvl w:val="9"/>
              <w:rPr>
                <w:rFonts w:ascii="仿宋" w:hAnsi="仿宋" w:eastAsia="仿宋" w:cs="仿宋"/>
                <w:szCs w:val="21"/>
              </w:rPr>
            </w:pPr>
          </w:p>
          <w:p>
            <w:pPr>
              <w:pageBreakBefore w:val="0"/>
              <w:tabs>
                <w:tab w:val="left" w:pos="0"/>
              </w:tabs>
              <w:topLinePunct w:val="0"/>
              <w:bidi w:val="0"/>
              <w:spacing w:line="360" w:lineRule="auto"/>
              <w:jc w:val="right"/>
              <w:outlineLvl w:val="9"/>
              <w:rPr>
                <w:rFonts w:ascii="仿宋" w:hAnsi="仿宋" w:eastAsia="仿宋" w:cs="仿宋"/>
                <w:szCs w:val="21"/>
              </w:rPr>
            </w:pPr>
            <w:r>
              <w:rPr>
                <w:rFonts w:hint="eastAsia" w:ascii="仿宋" w:hAnsi="仿宋" w:eastAsia="仿宋" w:cs="仿宋"/>
                <w:szCs w:val="21"/>
              </w:rPr>
              <w:t xml:space="preserve"> 年    月    日</w:t>
            </w:r>
          </w:p>
        </w:tc>
      </w:tr>
    </w:tbl>
    <w:p>
      <w:pPr>
        <w:pageBreakBefore w:val="0"/>
        <w:topLinePunct w:val="0"/>
        <w:bidi w:val="0"/>
        <w:jc w:val="left"/>
        <w:outlineLvl w:val="9"/>
        <w:rPr>
          <w:rFonts w:ascii="仿宋" w:hAnsi="仿宋" w:eastAsia="仿宋" w:cs="仿宋"/>
          <w:color w:val="000000"/>
          <w:sz w:val="28"/>
          <w:szCs w:val="28"/>
        </w:rPr>
      </w:pPr>
      <w:r>
        <w:rPr>
          <w:rFonts w:hint="eastAsia" w:ascii="仿宋" w:hAnsi="仿宋" w:eastAsia="仿宋" w:cs="仿宋"/>
          <w:sz w:val="32"/>
          <w:szCs w:val="32"/>
        </w:rPr>
        <w:br w:type="page"/>
      </w:r>
    </w:p>
    <w:p>
      <w:pPr>
        <w:pageBreakBefore w:val="0"/>
        <w:topLinePunct w:val="0"/>
        <w:bidi w:val="0"/>
        <w:jc w:val="left"/>
        <w:outlineLvl w:val="9"/>
        <w:rPr>
          <w:rFonts w:ascii="仿宋" w:hAnsi="仿宋" w:eastAsia="仿宋" w:cs="仿宋"/>
          <w:color w:val="000000"/>
          <w:sz w:val="24"/>
        </w:rPr>
      </w:pPr>
      <w:r>
        <w:rPr>
          <w:rFonts w:hint="eastAsia" w:ascii="仿宋" w:hAnsi="仿宋" w:eastAsia="仿宋" w:cs="仿宋"/>
          <w:color w:val="000000"/>
          <w:sz w:val="28"/>
          <w:szCs w:val="28"/>
        </w:rPr>
        <w:t>附件5</w:t>
      </w:r>
    </w:p>
    <w:p>
      <w:pPr>
        <w:pageBreakBefore w:val="0"/>
        <w:topLinePunct w:val="0"/>
        <w:bidi w:val="0"/>
        <w:spacing w:line="360" w:lineRule="auto"/>
        <w:jc w:val="center"/>
        <w:outlineLvl w:val="9"/>
        <w:rPr>
          <w:rFonts w:ascii="仿宋" w:hAnsi="仿宋" w:eastAsia="仿宋" w:cs="仿宋"/>
          <w:sz w:val="28"/>
          <w:szCs w:val="28"/>
        </w:rPr>
      </w:pPr>
      <w:r>
        <w:rPr>
          <w:rFonts w:hint="eastAsia" w:ascii="仿宋" w:hAnsi="仿宋" w:eastAsia="仿宋" w:cs="仿宋"/>
          <w:sz w:val="28"/>
          <w:szCs w:val="28"/>
        </w:rPr>
        <w:t>理论教学评价标准</w:t>
      </w:r>
    </w:p>
    <w:tbl>
      <w:tblPr>
        <w:tblStyle w:val="37"/>
        <w:tblW w:w="8403" w:type="dxa"/>
        <w:jc w:val="center"/>
        <w:tblLayout w:type="fixed"/>
        <w:tblCellMar>
          <w:top w:w="0" w:type="dxa"/>
          <w:left w:w="108" w:type="dxa"/>
          <w:bottom w:w="0" w:type="dxa"/>
          <w:right w:w="108" w:type="dxa"/>
        </w:tblCellMar>
      </w:tblPr>
      <w:tblGrid>
        <w:gridCol w:w="1350"/>
        <w:gridCol w:w="6344"/>
        <w:gridCol w:w="709"/>
      </w:tblGrid>
      <w:tr>
        <w:tblPrEx>
          <w:tblCellMar>
            <w:top w:w="0" w:type="dxa"/>
            <w:left w:w="108" w:type="dxa"/>
            <w:bottom w:w="0" w:type="dxa"/>
            <w:right w:w="108" w:type="dxa"/>
          </w:tblCellMar>
        </w:tblPrEx>
        <w:trPr>
          <w:trHeight w:val="567" w:hRule="atLeast"/>
          <w:jc w:val="center"/>
        </w:trPr>
        <w:tc>
          <w:tcPr>
            <w:tcW w:w="8403" w:type="dxa"/>
            <w:gridSpan w:val="3"/>
            <w:tcBorders>
              <w:top w:val="double" w:color="auto" w:sz="4" w:space="0"/>
              <w:left w:val="doub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 w:val="24"/>
              </w:rPr>
            </w:pPr>
            <w:r>
              <w:rPr>
                <w:rFonts w:hint="eastAsia" w:ascii="仿宋" w:hAnsi="仿宋" w:eastAsia="仿宋" w:cs="仿宋"/>
                <w:kern w:val="0"/>
                <w:sz w:val="24"/>
              </w:rPr>
              <w:t>评价指标及内涵</w:t>
            </w:r>
          </w:p>
        </w:tc>
      </w:tr>
      <w:tr>
        <w:tblPrEx>
          <w:tblCellMar>
            <w:top w:w="0" w:type="dxa"/>
            <w:left w:w="108" w:type="dxa"/>
            <w:bottom w:w="0" w:type="dxa"/>
            <w:right w:w="108" w:type="dxa"/>
          </w:tblCellMar>
        </w:tblPrEx>
        <w:trPr>
          <w:trHeight w:val="454" w:hRule="atLeast"/>
          <w:jc w:val="center"/>
        </w:trPr>
        <w:tc>
          <w:tcPr>
            <w:tcW w:w="1350" w:type="dxa"/>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评课项目</w:t>
            </w: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参照标准（A）</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分值</w:t>
            </w:r>
          </w:p>
        </w:tc>
      </w:tr>
      <w:tr>
        <w:tblPrEx>
          <w:tblCellMar>
            <w:top w:w="0" w:type="dxa"/>
            <w:left w:w="108" w:type="dxa"/>
            <w:bottom w:w="0" w:type="dxa"/>
            <w:right w:w="108" w:type="dxa"/>
          </w:tblCellMar>
        </w:tblPrEx>
        <w:trPr>
          <w:trHeight w:val="624" w:hRule="exact"/>
          <w:jc w:val="center"/>
        </w:trPr>
        <w:tc>
          <w:tcPr>
            <w:tcW w:w="1350" w:type="dxa"/>
            <w:vMerge w:val="restart"/>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基本素养</w:t>
            </w:r>
          </w:p>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（15）</w:t>
            </w: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1．仪态大方，衣着整洁得体；预备铃前做好授课准备，教学准备充分；未迟到早退；</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454" w:hRule="atLeast"/>
          <w:jc w:val="center"/>
        </w:trPr>
        <w:tc>
          <w:tcPr>
            <w:tcW w:w="1350"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2．教态亲切自然，语言文字规范、讲普通话，无违背党和国家方针政策的言行；</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624" w:hRule="atLeast"/>
          <w:jc w:val="center"/>
        </w:trPr>
        <w:tc>
          <w:tcPr>
            <w:tcW w:w="1350"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3．教学文件齐备（课程标准、教学进度表、教材或讲稿、教案、课件等），授课内容与教学进度表、教案基本吻合。</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454" w:hRule="atLeast"/>
          <w:jc w:val="center"/>
        </w:trPr>
        <w:tc>
          <w:tcPr>
            <w:tcW w:w="1350" w:type="dxa"/>
            <w:vMerge w:val="restart"/>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教学内容</w:t>
            </w:r>
          </w:p>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（25）</w:t>
            </w: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1．根据课程标准设定的知识、能力、素质要求组织教学；</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454" w:hRule="atLeast"/>
          <w:jc w:val="center"/>
        </w:trPr>
        <w:tc>
          <w:tcPr>
            <w:tcW w:w="1350"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2．内容充实，重点突出，容量适当，设计合理；</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10</w:t>
            </w:r>
          </w:p>
        </w:tc>
      </w:tr>
      <w:tr>
        <w:tblPrEx>
          <w:tblCellMar>
            <w:top w:w="0" w:type="dxa"/>
            <w:left w:w="108" w:type="dxa"/>
            <w:bottom w:w="0" w:type="dxa"/>
            <w:right w:w="108" w:type="dxa"/>
          </w:tblCellMar>
        </w:tblPrEx>
        <w:trPr>
          <w:trHeight w:val="624" w:hRule="atLeast"/>
          <w:jc w:val="center"/>
        </w:trPr>
        <w:tc>
          <w:tcPr>
            <w:tcW w:w="1350"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3．注重理论知识的应用，根据行业、专业的发展与新要求，即时补充教学内容。</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10</w:t>
            </w:r>
          </w:p>
        </w:tc>
      </w:tr>
      <w:tr>
        <w:tblPrEx>
          <w:tblCellMar>
            <w:top w:w="0" w:type="dxa"/>
            <w:left w:w="108" w:type="dxa"/>
            <w:bottom w:w="0" w:type="dxa"/>
            <w:right w:w="108" w:type="dxa"/>
          </w:tblCellMar>
        </w:tblPrEx>
        <w:trPr>
          <w:trHeight w:val="454" w:hRule="atLeast"/>
          <w:jc w:val="center"/>
        </w:trPr>
        <w:tc>
          <w:tcPr>
            <w:tcW w:w="1350" w:type="dxa"/>
            <w:vMerge w:val="restart"/>
            <w:tcBorders>
              <w:top w:val="single" w:color="auto" w:sz="4" w:space="0"/>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教学方法</w:t>
            </w:r>
          </w:p>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（25）</w:t>
            </w: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1．教学方法符合学生认知的规律，引导启发学生积极思考；</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624" w:hRule="exact"/>
          <w:jc w:val="center"/>
        </w:trPr>
        <w:tc>
          <w:tcPr>
            <w:tcW w:w="1350" w:type="dxa"/>
            <w:vMerge w:val="continue"/>
            <w:tcBorders>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2．突出学生主体地位；教学方法新颖（如研讨式、任务驱动式、案例式、互动式等教学方法），教学方法运用得当；</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10</w:t>
            </w:r>
          </w:p>
        </w:tc>
      </w:tr>
      <w:tr>
        <w:tblPrEx>
          <w:tblCellMar>
            <w:top w:w="0" w:type="dxa"/>
            <w:left w:w="108" w:type="dxa"/>
            <w:bottom w:w="0" w:type="dxa"/>
            <w:right w:w="108" w:type="dxa"/>
          </w:tblCellMar>
        </w:tblPrEx>
        <w:trPr>
          <w:trHeight w:val="454" w:hRule="atLeast"/>
          <w:jc w:val="center"/>
        </w:trPr>
        <w:tc>
          <w:tcPr>
            <w:tcW w:w="1350" w:type="dxa"/>
            <w:vMerge w:val="continue"/>
            <w:tcBorders>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3．合理运用课件、案例；有板书且设计合理；</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454" w:hRule="exact"/>
          <w:jc w:val="center"/>
        </w:trPr>
        <w:tc>
          <w:tcPr>
            <w:tcW w:w="1350" w:type="dxa"/>
            <w:vMerge w:val="continue"/>
            <w:tcBorders>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4．注重学生应用能力培养；认真布置课后作业。</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624" w:hRule="atLeast"/>
          <w:jc w:val="center"/>
        </w:trPr>
        <w:tc>
          <w:tcPr>
            <w:tcW w:w="1350" w:type="dxa"/>
            <w:vMerge w:val="restart"/>
            <w:tcBorders>
              <w:top w:val="single" w:color="auto" w:sz="4" w:space="0"/>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教学能力</w:t>
            </w:r>
          </w:p>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（20）</w:t>
            </w: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1．讲解条理清晰、层次分明，教学内容讲解准确、熟练，善于启发；表述生动、流畅；</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627" w:hRule="atLeast"/>
          <w:jc w:val="center"/>
        </w:trPr>
        <w:tc>
          <w:tcPr>
            <w:tcW w:w="1350" w:type="dxa"/>
            <w:vMerge w:val="continue"/>
            <w:tcBorders>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2．课堂组织科学，各环节时间分配合理；教学环节紧凑，节奏适度，驾驭课堂能力强；</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10</w:t>
            </w:r>
          </w:p>
        </w:tc>
      </w:tr>
      <w:tr>
        <w:tblPrEx>
          <w:tblCellMar>
            <w:top w:w="0" w:type="dxa"/>
            <w:left w:w="108" w:type="dxa"/>
            <w:bottom w:w="0" w:type="dxa"/>
            <w:right w:w="108" w:type="dxa"/>
          </w:tblCellMar>
        </w:tblPrEx>
        <w:trPr>
          <w:trHeight w:val="454" w:hRule="atLeast"/>
          <w:jc w:val="center"/>
        </w:trPr>
        <w:tc>
          <w:tcPr>
            <w:tcW w:w="1350" w:type="dxa"/>
            <w:vMerge w:val="continue"/>
            <w:tcBorders>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3．注重学生素质培养；重视并进行职业道德和组织纪律教育。</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624" w:hRule="atLeast"/>
          <w:jc w:val="center"/>
        </w:trPr>
        <w:tc>
          <w:tcPr>
            <w:tcW w:w="1350" w:type="dxa"/>
            <w:vMerge w:val="restart"/>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教学效果</w:t>
            </w:r>
          </w:p>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（15）</w:t>
            </w: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1．教师与学生有交流，互动效果好，课堂气氛活跃，激发了学生学习兴趣，学习积极性得到调动；</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454" w:hRule="exact"/>
          <w:jc w:val="center"/>
        </w:trPr>
        <w:tc>
          <w:tcPr>
            <w:tcW w:w="1350"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2．学生上课听得懂，有感知、能理解；</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454" w:hRule="exact"/>
          <w:jc w:val="center"/>
        </w:trPr>
        <w:tc>
          <w:tcPr>
            <w:tcW w:w="1350"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3．在规定时间内完成教学任务，教学目标基本达到。</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593" w:hRule="exact"/>
          <w:jc w:val="center"/>
        </w:trPr>
        <w:tc>
          <w:tcPr>
            <w:tcW w:w="1350" w:type="dxa"/>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b/>
                <w:bCs/>
                <w:color w:val="000000"/>
                <w:kern w:val="0"/>
                <w:szCs w:val="21"/>
              </w:rPr>
              <w:t>一票否决</w:t>
            </w:r>
          </w:p>
        </w:tc>
        <w:tc>
          <w:tcPr>
            <w:tcW w:w="634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color w:val="000000"/>
              </w:rPr>
              <w:t>在</w:t>
            </w:r>
            <w:r>
              <w:rPr>
                <w:rFonts w:hint="eastAsia" w:ascii="仿宋" w:hAnsi="仿宋" w:eastAsia="仿宋" w:cs="仿宋"/>
                <w:color w:val="000000"/>
                <w:kern w:val="0"/>
              </w:rPr>
              <w:t>课堂教学过程中，有违背党和国家方针政策的言行；</w:t>
            </w:r>
            <w:r>
              <w:rPr>
                <w:rFonts w:hint="eastAsia" w:ascii="仿宋" w:hAnsi="仿宋" w:eastAsia="仿宋" w:cs="仿宋"/>
                <w:color w:val="000000"/>
                <w:kern w:val="0"/>
                <w:szCs w:val="21"/>
              </w:rPr>
              <w:t>师德出现失范行为。</w:t>
            </w:r>
          </w:p>
        </w:tc>
        <w:tc>
          <w:tcPr>
            <w:tcW w:w="709"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r>
      <w:tr>
        <w:tblPrEx>
          <w:tblCellMar>
            <w:top w:w="0" w:type="dxa"/>
            <w:left w:w="108" w:type="dxa"/>
            <w:bottom w:w="0" w:type="dxa"/>
            <w:right w:w="108" w:type="dxa"/>
          </w:tblCellMar>
        </w:tblPrEx>
        <w:trPr>
          <w:trHeight w:val="482" w:hRule="atLeast"/>
          <w:jc w:val="center"/>
        </w:trPr>
        <w:tc>
          <w:tcPr>
            <w:tcW w:w="7694" w:type="dxa"/>
            <w:gridSpan w:val="2"/>
            <w:tcBorders>
              <w:top w:val="single" w:color="auto" w:sz="4" w:space="0"/>
              <w:left w:val="double" w:color="auto" w:sz="4" w:space="0"/>
              <w:bottom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总分</w:t>
            </w:r>
          </w:p>
        </w:tc>
        <w:tc>
          <w:tcPr>
            <w:tcW w:w="709" w:type="dxa"/>
            <w:tcBorders>
              <w:top w:val="single" w:color="auto" w:sz="4" w:space="0"/>
              <w:left w:val="single" w:color="auto" w:sz="4" w:space="0"/>
              <w:bottom w:val="doub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=SUM(ABOVE) </w:instrText>
            </w:r>
            <w:r>
              <w:rPr>
                <w:rFonts w:hint="eastAsia" w:ascii="仿宋" w:hAnsi="仿宋" w:eastAsia="仿宋" w:cs="仿宋"/>
                <w:kern w:val="0"/>
                <w:szCs w:val="21"/>
              </w:rPr>
              <w:fldChar w:fldCharType="separate"/>
            </w:r>
            <w:r>
              <w:rPr>
                <w:rFonts w:hint="eastAsia" w:ascii="仿宋" w:hAnsi="仿宋" w:eastAsia="仿宋" w:cs="仿宋"/>
                <w:kern w:val="0"/>
                <w:szCs w:val="21"/>
              </w:rPr>
              <w:t>100</w:t>
            </w:r>
            <w:r>
              <w:rPr>
                <w:rFonts w:hint="eastAsia" w:ascii="仿宋" w:hAnsi="仿宋" w:eastAsia="仿宋" w:cs="仿宋"/>
                <w:kern w:val="0"/>
                <w:szCs w:val="21"/>
              </w:rPr>
              <w:fldChar w:fldCharType="end"/>
            </w:r>
          </w:p>
        </w:tc>
      </w:tr>
    </w:tbl>
    <w:p>
      <w:pPr>
        <w:pageBreakBefore w:val="0"/>
        <w:widowControl/>
        <w:topLinePunct w:val="0"/>
        <w:bidi w:val="0"/>
        <w:jc w:val="left"/>
        <w:outlineLvl w:val="9"/>
        <w:rPr>
          <w:rFonts w:ascii="仿宋" w:hAnsi="仿宋" w:eastAsia="仿宋" w:cs="仿宋"/>
          <w:color w:val="000000"/>
          <w:sz w:val="24"/>
        </w:rPr>
      </w:pPr>
      <w:r>
        <w:rPr>
          <w:rFonts w:ascii="仿宋" w:hAnsi="仿宋" w:eastAsia="仿宋" w:cs="仿宋"/>
          <w:color w:val="000000"/>
          <w:sz w:val="24"/>
        </w:rPr>
        <w:br w:type="page"/>
      </w:r>
    </w:p>
    <w:p>
      <w:pPr>
        <w:pageBreakBefore w:val="0"/>
        <w:topLinePunct w:val="0"/>
        <w:bidi w:val="0"/>
        <w:jc w:val="left"/>
        <w:outlineLvl w:val="9"/>
        <w:rPr>
          <w:rFonts w:ascii="仿宋" w:hAnsi="仿宋" w:eastAsia="仿宋" w:cs="仿宋"/>
          <w:color w:val="000000"/>
          <w:sz w:val="24"/>
        </w:rPr>
      </w:pPr>
      <w:r>
        <w:rPr>
          <w:rFonts w:hint="eastAsia" w:ascii="仿宋" w:hAnsi="仿宋" w:eastAsia="仿宋" w:cs="仿宋"/>
          <w:color w:val="000000"/>
          <w:sz w:val="28"/>
          <w:szCs w:val="28"/>
        </w:rPr>
        <w:t>附件6</w:t>
      </w:r>
    </w:p>
    <w:p>
      <w:pPr>
        <w:pageBreakBefore w:val="0"/>
        <w:topLinePunct w:val="0"/>
        <w:bidi w:val="0"/>
        <w:spacing w:line="360" w:lineRule="auto"/>
        <w:jc w:val="center"/>
        <w:outlineLvl w:val="9"/>
        <w:rPr>
          <w:rFonts w:ascii="仿宋" w:hAnsi="仿宋" w:eastAsia="仿宋" w:cs="仿宋"/>
          <w:sz w:val="28"/>
          <w:szCs w:val="28"/>
        </w:rPr>
      </w:pPr>
      <w:r>
        <w:rPr>
          <w:rFonts w:hint="eastAsia" w:ascii="仿宋" w:hAnsi="仿宋" w:eastAsia="仿宋" w:cs="仿宋"/>
          <w:sz w:val="28"/>
          <w:szCs w:val="28"/>
        </w:rPr>
        <w:t>实践教学评价标准（含教学做一体）</w:t>
      </w:r>
    </w:p>
    <w:tbl>
      <w:tblPr>
        <w:tblStyle w:val="37"/>
        <w:tblW w:w="8421" w:type="dxa"/>
        <w:jc w:val="center"/>
        <w:tblLayout w:type="fixed"/>
        <w:tblCellMar>
          <w:top w:w="0" w:type="dxa"/>
          <w:left w:w="108" w:type="dxa"/>
          <w:bottom w:w="0" w:type="dxa"/>
          <w:right w:w="108" w:type="dxa"/>
        </w:tblCellMar>
      </w:tblPr>
      <w:tblGrid>
        <w:gridCol w:w="1135"/>
        <w:gridCol w:w="6576"/>
        <w:gridCol w:w="710"/>
      </w:tblGrid>
      <w:tr>
        <w:tblPrEx>
          <w:tblCellMar>
            <w:top w:w="0" w:type="dxa"/>
            <w:left w:w="108" w:type="dxa"/>
            <w:bottom w:w="0" w:type="dxa"/>
            <w:right w:w="108" w:type="dxa"/>
          </w:tblCellMar>
        </w:tblPrEx>
        <w:trPr>
          <w:trHeight w:val="567" w:hRule="exact"/>
          <w:jc w:val="center"/>
        </w:trPr>
        <w:tc>
          <w:tcPr>
            <w:tcW w:w="8421" w:type="dxa"/>
            <w:gridSpan w:val="3"/>
            <w:tcBorders>
              <w:top w:val="double" w:color="auto" w:sz="4" w:space="0"/>
              <w:left w:val="doub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 w:val="24"/>
              </w:rPr>
            </w:pPr>
            <w:r>
              <w:rPr>
                <w:rFonts w:hint="eastAsia" w:ascii="仿宋" w:hAnsi="仿宋" w:eastAsia="仿宋" w:cs="仿宋"/>
                <w:kern w:val="0"/>
                <w:sz w:val="24"/>
              </w:rPr>
              <w:t>评价指标及内涵</w:t>
            </w:r>
          </w:p>
        </w:tc>
      </w:tr>
      <w:tr>
        <w:tblPrEx>
          <w:tblCellMar>
            <w:top w:w="0" w:type="dxa"/>
            <w:left w:w="108" w:type="dxa"/>
            <w:bottom w:w="0" w:type="dxa"/>
            <w:right w:w="108" w:type="dxa"/>
          </w:tblCellMar>
        </w:tblPrEx>
        <w:trPr>
          <w:trHeight w:val="454" w:hRule="atLeast"/>
          <w:jc w:val="center"/>
        </w:trPr>
        <w:tc>
          <w:tcPr>
            <w:tcW w:w="1135" w:type="dxa"/>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评课项目</w:t>
            </w: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参照标准（B）</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分值</w:t>
            </w:r>
          </w:p>
        </w:tc>
      </w:tr>
      <w:tr>
        <w:tblPrEx>
          <w:tblCellMar>
            <w:top w:w="0" w:type="dxa"/>
            <w:left w:w="108" w:type="dxa"/>
            <w:bottom w:w="0" w:type="dxa"/>
            <w:right w:w="108" w:type="dxa"/>
          </w:tblCellMar>
        </w:tblPrEx>
        <w:trPr>
          <w:trHeight w:val="624" w:hRule="exact"/>
          <w:jc w:val="center"/>
        </w:trPr>
        <w:tc>
          <w:tcPr>
            <w:tcW w:w="1135" w:type="dxa"/>
            <w:vMerge w:val="restart"/>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基本素养</w:t>
            </w:r>
          </w:p>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（15）</w:t>
            </w: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1．仪态大方，衣着整洁得体；预备铃前做好授课准备，检查并确保设备完好；未迟到早退；</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454" w:hRule="atLeast"/>
          <w:jc w:val="center"/>
        </w:trPr>
        <w:tc>
          <w:tcPr>
            <w:tcW w:w="1135"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2．教态亲切自然，语言文字规范、讲普通话，无违背党和国家方针政策的言行；</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624" w:hRule="atLeast"/>
          <w:jc w:val="center"/>
        </w:trPr>
        <w:tc>
          <w:tcPr>
            <w:tcW w:w="1135"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3．教学文件齐备（课程标准、教学进度表、教材或讲稿、教案、课件等），授课内容与教学进度表、教案基本吻合。</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454" w:hRule="atLeast"/>
          <w:jc w:val="center"/>
        </w:trPr>
        <w:tc>
          <w:tcPr>
            <w:tcW w:w="1135" w:type="dxa"/>
            <w:vMerge w:val="restart"/>
            <w:tcBorders>
              <w:top w:val="single" w:color="auto" w:sz="4" w:space="0"/>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教学内容</w:t>
            </w:r>
          </w:p>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（25）</w:t>
            </w: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1．根据课程标准设定的知识、能力、素质要求组织教学；</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624" w:hRule="atLeast"/>
          <w:jc w:val="center"/>
        </w:trPr>
        <w:tc>
          <w:tcPr>
            <w:tcW w:w="1135" w:type="dxa"/>
            <w:vMerge w:val="continue"/>
            <w:tcBorders>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2．以真实工作任务及工作过程为依据整合、序化教学内容，内容充实，重点突出，容量适当，设计合理；</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10</w:t>
            </w:r>
          </w:p>
        </w:tc>
      </w:tr>
      <w:tr>
        <w:tblPrEx>
          <w:tblCellMar>
            <w:top w:w="0" w:type="dxa"/>
            <w:left w:w="108" w:type="dxa"/>
            <w:bottom w:w="0" w:type="dxa"/>
            <w:right w:w="108" w:type="dxa"/>
          </w:tblCellMar>
        </w:tblPrEx>
        <w:trPr>
          <w:trHeight w:val="624" w:hRule="exact"/>
          <w:jc w:val="center"/>
        </w:trPr>
        <w:tc>
          <w:tcPr>
            <w:tcW w:w="1135" w:type="dxa"/>
            <w:vMerge w:val="continue"/>
            <w:tcBorders>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3．教学内容符合行业企业发展需求和职业岗位需要；根据行业、专业的发展与新要求，即时补充教学内容。</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10</w:t>
            </w:r>
          </w:p>
        </w:tc>
      </w:tr>
      <w:tr>
        <w:tblPrEx>
          <w:tblCellMar>
            <w:top w:w="0" w:type="dxa"/>
            <w:left w:w="108" w:type="dxa"/>
            <w:bottom w:w="0" w:type="dxa"/>
            <w:right w:w="108" w:type="dxa"/>
          </w:tblCellMar>
        </w:tblPrEx>
        <w:trPr>
          <w:trHeight w:val="454" w:hRule="exact"/>
          <w:jc w:val="center"/>
        </w:trPr>
        <w:tc>
          <w:tcPr>
            <w:tcW w:w="1135" w:type="dxa"/>
            <w:vMerge w:val="restart"/>
            <w:tcBorders>
              <w:top w:val="single" w:color="auto" w:sz="4" w:space="0"/>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教学方法</w:t>
            </w:r>
          </w:p>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（25）</w:t>
            </w: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1．教学方法符合学生认知的规律，引导启发学生积极思考；</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624" w:hRule="exact"/>
          <w:jc w:val="center"/>
        </w:trPr>
        <w:tc>
          <w:tcPr>
            <w:tcW w:w="1135" w:type="dxa"/>
            <w:vMerge w:val="continue"/>
            <w:tcBorders>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2．突出学生主体地位；教学做一体，注重学生实践能力培养，学生能够得到充分的训练；训练任务、时间分配合理；</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15</w:t>
            </w:r>
          </w:p>
        </w:tc>
      </w:tr>
      <w:tr>
        <w:tblPrEx>
          <w:tblCellMar>
            <w:top w:w="0" w:type="dxa"/>
            <w:left w:w="108" w:type="dxa"/>
            <w:bottom w:w="0" w:type="dxa"/>
            <w:right w:w="108" w:type="dxa"/>
          </w:tblCellMar>
        </w:tblPrEx>
        <w:trPr>
          <w:trHeight w:val="454" w:hRule="atLeast"/>
          <w:jc w:val="center"/>
        </w:trPr>
        <w:tc>
          <w:tcPr>
            <w:tcW w:w="1135" w:type="dxa"/>
            <w:vMerge w:val="continue"/>
            <w:tcBorders>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3．信息化技术运用得当；合理运用板书和课件；注重实践指导。</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624" w:hRule="atLeast"/>
          <w:jc w:val="center"/>
        </w:trPr>
        <w:tc>
          <w:tcPr>
            <w:tcW w:w="1135" w:type="dxa"/>
            <w:vMerge w:val="restart"/>
            <w:tcBorders>
              <w:top w:val="single" w:color="auto" w:sz="4" w:space="0"/>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教学能力</w:t>
            </w:r>
          </w:p>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（20）</w:t>
            </w: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 xml:space="preserve">1．讲解条理清晰、层次分明，教学生动、善于启发，教学内容讲解准确、熟练，表述生动、流畅； </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624" w:hRule="atLeast"/>
          <w:jc w:val="center"/>
        </w:trPr>
        <w:tc>
          <w:tcPr>
            <w:tcW w:w="1135" w:type="dxa"/>
            <w:vMerge w:val="continue"/>
            <w:tcBorders>
              <w:left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2．操作示范准确、规范、熟练；安全意识强，管理井然有序；驾驭课堂能力强；</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10</w:t>
            </w:r>
          </w:p>
        </w:tc>
      </w:tr>
      <w:tr>
        <w:tblPrEx>
          <w:tblCellMar>
            <w:top w:w="0" w:type="dxa"/>
            <w:left w:w="108" w:type="dxa"/>
            <w:bottom w:w="0" w:type="dxa"/>
            <w:right w:w="108" w:type="dxa"/>
          </w:tblCellMar>
        </w:tblPrEx>
        <w:trPr>
          <w:trHeight w:val="454" w:hRule="atLeast"/>
          <w:jc w:val="center"/>
        </w:trPr>
        <w:tc>
          <w:tcPr>
            <w:tcW w:w="1135" w:type="dxa"/>
            <w:vMerge w:val="continue"/>
            <w:tcBorders>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3．注重学生素质培养；重视并进行职业道德和组织纪律教育。</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624" w:hRule="atLeast"/>
          <w:jc w:val="center"/>
        </w:trPr>
        <w:tc>
          <w:tcPr>
            <w:tcW w:w="1135" w:type="dxa"/>
            <w:vMerge w:val="restart"/>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教学效果</w:t>
            </w:r>
          </w:p>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（15）</w:t>
            </w: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1．教师与学生有交流，互动效果好，课堂气氛活跃，激发了学生学习兴趣，学习积极性得到调动；</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454" w:hRule="atLeast"/>
          <w:jc w:val="center"/>
        </w:trPr>
        <w:tc>
          <w:tcPr>
            <w:tcW w:w="1135"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2．学生上课听得懂，能理解、看得清、学得会；</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454" w:hRule="atLeast"/>
          <w:jc w:val="center"/>
        </w:trPr>
        <w:tc>
          <w:tcPr>
            <w:tcW w:w="1135" w:type="dxa"/>
            <w:vMerge w:val="continue"/>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kern w:val="0"/>
                <w:szCs w:val="21"/>
              </w:rPr>
              <w:t>3．在规定时间内完成训练任务，教学目标基本达到。</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454" w:hRule="atLeast"/>
          <w:jc w:val="center"/>
        </w:trPr>
        <w:tc>
          <w:tcPr>
            <w:tcW w:w="1135" w:type="dxa"/>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b/>
                <w:bCs/>
                <w:color w:val="000000"/>
                <w:kern w:val="0"/>
                <w:szCs w:val="21"/>
              </w:rPr>
              <w:t>一票否决</w:t>
            </w:r>
          </w:p>
        </w:tc>
        <w:tc>
          <w:tcPr>
            <w:tcW w:w="6576"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adjustRightInd w:val="0"/>
              <w:snapToGrid w:val="0"/>
              <w:spacing w:line="200" w:lineRule="atLeast"/>
              <w:jc w:val="left"/>
              <w:outlineLvl w:val="9"/>
              <w:rPr>
                <w:rFonts w:ascii="仿宋" w:hAnsi="仿宋" w:eastAsia="仿宋" w:cs="仿宋"/>
                <w:kern w:val="0"/>
                <w:szCs w:val="21"/>
              </w:rPr>
            </w:pPr>
            <w:r>
              <w:rPr>
                <w:rFonts w:hint="eastAsia" w:ascii="仿宋" w:hAnsi="仿宋" w:eastAsia="仿宋" w:cs="仿宋"/>
                <w:color w:val="000000"/>
              </w:rPr>
              <w:t>在</w:t>
            </w:r>
            <w:r>
              <w:rPr>
                <w:rFonts w:hint="eastAsia" w:ascii="仿宋" w:hAnsi="仿宋" w:eastAsia="仿宋" w:cs="仿宋"/>
                <w:color w:val="000000"/>
                <w:kern w:val="0"/>
              </w:rPr>
              <w:t>课堂教学过程中，有违背党和国家方针政策的言行；</w:t>
            </w:r>
            <w:r>
              <w:rPr>
                <w:rFonts w:hint="eastAsia" w:ascii="仿宋" w:hAnsi="仿宋" w:eastAsia="仿宋" w:cs="仿宋"/>
                <w:color w:val="000000"/>
                <w:kern w:val="0"/>
                <w:szCs w:val="21"/>
              </w:rPr>
              <w:t>师德出现失范行为。</w:t>
            </w:r>
          </w:p>
        </w:tc>
        <w:tc>
          <w:tcPr>
            <w:tcW w:w="710"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p>
        </w:tc>
      </w:tr>
      <w:tr>
        <w:tblPrEx>
          <w:tblCellMar>
            <w:top w:w="0" w:type="dxa"/>
            <w:left w:w="108" w:type="dxa"/>
            <w:bottom w:w="0" w:type="dxa"/>
            <w:right w:w="108" w:type="dxa"/>
          </w:tblCellMar>
        </w:tblPrEx>
        <w:trPr>
          <w:trHeight w:val="482" w:hRule="atLeast"/>
          <w:jc w:val="center"/>
        </w:trPr>
        <w:tc>
          <w:tcPr>
            <w:tcW w:w="7711" w:type="dxa"/>
            <w:gridSpan w:val="2"/>
            <w:tcBorders>
              <w:top w:val="single" w:color="auto" w:sz="4" w:space="0"/>
              <w:left w:val="double" w:color="auto" w:sz="4" w:space="0"/>
              <w:bottom w:val="double" w:color="auto" w:sz="4" w:space="0"/>
              <w:right w:val="sing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t>总分</w:t>
            </w:r>
          </w:p>
        </w:tc>
        <w:tc>
          <w:tcPr>
            <w:tcW w:w="710" w:type="dxa"/>
            <w:tcBorders>
              <w:top w:val="single" w:color="auto" w:sz="4" w:space="0"/>
              <w:left w:val="single" w:color="auto" w:sz="4" w:space="0"/>
              <w:bottom w:val="double" w:color="auto" w:sz="4" w:space="0"/>
              <w:right w:val="double" w:color="auto" w:sz="4" w:space="0"/>
            </w:tcBorders>
            <w:noWrap w:val="0"/>
            <w:vAlign w:val="center"/>
          </w:tcPr>
          <w:p>
            <w:pPr>
              <w:pageBreakBefore w:val="0"/>
              <w:widowControl/>
              <w:topLinePunct w:val="0"/>
              <w:bidi w:val="0"/>
              <w:adjustRightInd w:val="0"/>
              <w:snapToGrid w:val="0"/>
              <w:jc w:val="center"/>
              <w:outlineLvl w:val="9"/>
              <w:rPr>
                <w:rFonts w:ascii="仿宋" w:hAnsi="仿宋" w:eastAsia="仿宋" w:cs="仿宋"/>
                <w:kern w:val="0"/>
                <w:szCs w:val="21"/>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=SUM(ABOVE) </w:instrText>
            </w:r>
            <w:r>
              <w:rPr>
                <w:rFonts w:hint="eastAsia" w:ascii="仿宋" w:hAnsi="仿宋" w:eastAsia="仿宋" w:cs="仿宋"/>
                <w:kern w:val="0"/>
                <w:szCs w:val="21"/>
              </w:rPr>
              <w:fldChar w:fldCharType="separate"/>
            </w:r>
            <w:r>
              <w:rPr>
                <w:rFonts w:hint="eastAsia" w:ascii="仿宋" w:hAnsi="仿宋" w:eastAsia="仿宋" w:cs="仿宋"/>
                <w:kern w:val="0"/>
                <w:szCs w:val="21"/>
              </w:rPr>
              <w:t>100</w:t>
            </w:r>
            <w:r>
              <w:rPr>
                <w:rFonts w:hint="eastAsia" w:ascii="仿宋" w:hAnsi="仿宋" w:eastAsia="仿宋" w:cs="仿宋"/>
                <w:kern w:val="0"/>
                <w:szCs w:val="21"/>
              </w:rPr>
              <w:fldChar w:fldCharType="end"/>
            </w:r>
          </w:p>
        </w:tc>
      </w:tr>
    </w:tbl>
    <w:p>
      <w:pPr>
        <w:pageBreakBefore w:val="0"/>
        <w:widowControl/>
        <w:topLinePunct w:val="0"/>
        <w:bidi w:val="0"/>
        <w:jc w:val="left"/>
        <w:outlineLvl w:val="9"/>
        <w:rPr>
          <w:rFonts w:ascii="仿宋" w:hAnsi="仿宋" w:eastAsia="仿宋" w:cs="仿宋"/>
          <w:color w:val="000000"/>
          <w:sz w:val="24"/>
        </w:rPr>
      </w:pPr>
      <w:r>
        <w:rPr>
          <w:rFonts w:ascii="仿宋" w:hAnsi="仿宋" w:eastAsia="仿宋" w:cs="仿宋"/>
          <w:color w:val="000000"/>
          <w:sz w:val="24"/>
        </w:rPr>
        <w:br w:type="page"/>
      </w:r>
    </w:p>
    <w:p>
      <w:pPr>
        <w:pageBreakBefore w:val="0"/>
        <w:topLinePunct w:val="0"/>
        <w:bidi w:val="0"/>
        <w:jc w:val="left"/>
        <w:outlineLvl w:val="9"/>
        <w:rPr>
          <w:rFonts w:ascii="仿宋" w:hAnsi="仿宋" w:eastAsia="仿宋" w:cs="仿宋"/>
          <w:color w:val="000000"/>
          <w:sz w:val="24"/>
        </w:rPr>
      </w:pPr>
      <w:r>
        <w:rPr>
          <w:rFonts w:hint="eastAsia" w:ascii="仿宋" w:hAnsi="仿宋" w:eastAsia="仿宋" w:cs="仿宋"/>
          <w:color w:val="000000"/>
          <w:sz w:val="28"/>
          <w:szCs w:val="28"/>
        </w:rPr>
        <w:t>附件7</w:t>
      </w:r>
    </w:p>
    <w:p>
      <w:pPr>
        <w:pageBreakBefore w:val="0"/>
        <w:topLinePunct w:val="0"/>
        <w:bidi w:val="0"/>
        <w:spacing w:line="360" w:lineRule="auto"/>
        <w:jc w:val="center"/>
        <w:outlineLvl w:val="9"/>
        <w:rPr>
          <w:rFonts w:ascii="仿宋" w:hAnsi="仿宋" w:eastAsia="仿宋" w:cs="仿宋"/>
          <w:sz w:val="28"/>
          <w:szCs w:val="28"/>
        </w:rPr>
      </w:pPr>
      <w:r>
        <w:rPr>
          <w:rFonts w:hint="eastAsia" w:ascii="仿宋" w:hAnsi="仿宋" w:eastAsia="仿宋" w:cs="仿宋"/>
          <w:sz w:val="28"/>
          <w:szCs w:val="28"/>
        </w:rPr>
        <w:t>学生顶岗实习教学评价表</w:t>
      </w:r>
    </w:p>
    <w:tbl>
      <w:tblPr>
        <w:tblStyle w:val="37"/>
        <w:tblW w:w="8287" w:type="dxa"/>
        <w:jc w:val="center"/>
        <w:tblLayout w:type="fixed"/>
        <w:tblCellMar>
          <w:top w:w="0" w:type="dxa"/>
          <w:left w:w="108" w:type="dxa"/>
          <w:bottom w:w="0" w:type="dxa"/>
          <w:right w:w="108" w:type="dxa"/>
        </w:tblCellMar>
      </w:tblPr>
      <w:tblGrid>
        <w:gridCol w:w="1391"/>
        <w:gridCol w:w="582"/>
        <w:gridCol w:w="2347"/>
        <w:gridCol w:w="1607"/>
        <w:gridCol w:w="2360"/>
      </w:tblGrid>
      <w:tr>
        <w:tblPrEx>
          <w:tblCellMar>
            <w:top w:w="0" w:type="dxa"/>
            <w:left w:w="108" w:type="dxa"/>
            <w:bottom w:w="0" w:type="dxa"/>
            <w:right w:w="108" w:type="dxa"/>
          </w:tblCellMar>
        </w:tblPrEx>
        <w:trPr>
          <w:cantSplit/>
          <w:jc w:val="center"/>
        </w:trPr>
        <w:tc>
          <w:tcPr>
            <w:tcW w:w="1391" w:type="dxa"/>
            <w:tcBorders>
              <w:top w:val="double" w:color="auto" w:sz="6" w:space="0"/>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center"/>
              <w:outlineLvl w:val="9"/>
              <w:rPr>
                <w:rFonts w:ascii="仿宋" w:hAnsi="仿宋" w:eastAsia="仿宋" w:cs="仿宋"/>
                <w:kern w:val="0"/>
                <w:szCs w:val="21"/>
              </w:rPr>
            </w:pPr>
            <w:r>
              <w:rPr>
                <w:rFonts w:hint="eastAsia" w:ascii="仿宋" w:hAnsi="仿宋" w:eastAsia="仿宋" w:cs="仿宋"/>
                <w:color w:val="000000"/>
                <w:kern w:val="0"/>
                <w:szCs w:val="21"/>
              </w:rPr>
              <w:t>教学单位</w:t>
            </w:r>
          </w:p>
        </w:tc>
        <w:tc>
          <w:tcPr>
            <w:tcW w:w="2929" w:type="dxa"/>
            <w:gridSpan w:val="2"/>
            <w:tcBorders>
              <w:top w:val="double" w:color="auto" w:sz="6" w:space="0"/>
              <w:left w:val="nil"/>
              <w:bottom w:val="single" w:color="auto" w:sz="4" w:space="0"/>
              <w:right w:val="single" w:color="auto" w:sz="4" w:space="0"/>
            </w:tcBorders>
            <w:noWrap w:val="0"/>
            <w:vAlign w:val="center"/>
          </w:tcPr>
          <w:p>
            <w:pPr>
              <w:pageBreakBefore w:val="0"/>
              <w:widowControl/>
              <w:topLinePunct w:val="0"/>
              <w:bidi w:val="0"/>
              <w:spacing w:line="440" w:lineRule="exact"/>
              <w:jc w:val="center"/>
              <w:outlineLvl w:val="9"/>
              <w:rPr>
                <w:rFonts w:ascii="仿宋" w:hAnsi="仿宋" w:eastAsia="仿宋" w:cs="仿宋"/>
                <w:kern w:val="0"/>
                <w:szCs w:val="21"/>
              </w:rPr>
            </w:pPr>
          </w:p>
        </w:tc>
        <w:tc>
          <w:tcPr>
            <w:tcW w:w="1607" w:type="dxa"/>
            <w:tcBorders>
              <w:top w:val="double" w:color="auto" w:sz="6" w:space="0"/>
              <w:left w:val="single" w:color="auto" w:sz="4" w:space="0"/>
              <w:bottom w:val="single" w:color="auto" w:sz="4" w:space="0"/>
              <w:right w:val="single" w:color="auto" w:sz="4" w:space="0"/>
            </w:tcBorders>
            <w:noWrap w:val="0"/>
            <w:vAlign w:val="center"/>
          </w:tcPr>
          <w:p>
            <w:pPr>
              <w:pageBreakBefore w:val="0"/>
              <w:widowControl/>
              <w:topLinePunct w:val="0"/>
              <w:bidi w:val="0"/>
              <w:spacing w:line="440" w:lineRule="exact"/>
              <w:jc w:val="center"/>
              <w:outlineLvl w:val="9"/>
              <w:rPr>
                <w:rFonts w:ascii="仿宋" w:hAnsi="仿宋" w:eastAsia="仿宋" w:cs="仿宋"/>
                <w:kern w:val="0"/>
                <w:szCs w:val="21"/>
              </w:rPr>
            </w:pPr>
            <w:r>
              <w:rPr>
                <w:rFonts w:hint="eastAsia" w:ascii="仿宋" w:hAnsi="仿宋" w:eastAsia="仿宋" w:cs="仿宋"/>
                <w:color w:val="000000"/>
                <w:kern w:val="0"/>
                <w:szCs w:val="21"/>
              </w:rPr>
              <w:t>专业</w:t>
            </w:r>
          </w:p>
        </w:tc>
        <w:tc>
          <w:tcPr>
            <w:tcW w:w="2360" w:type="dxa"/>
            <w:tcBorders>
              <w:top w:val="double" w:color="auto" w:sz="6" w:space="0"/>
              <w:left w:val="single" w:color="auto" w:sz="4" w:space="0"/>
              <w:bottom w:val="single" w:color="auto" w:sz="4" w:space="0"/>
              <w:right w:val="double" w:color="auto" w:sz="6" w:space="0"/>
            </w:tcBorders>
            <w:noWrap w:val="0"/>
            <w:vAlign w:val="center"/>
          </w:tcPr>
          <w:p>
            <w:pPr>
              <w:pageBreakBefore w:val="0"/>
              <w:widowControl/>
              <w:topLinePunct w:val="0"/>
              <w:bidi w:val="0"/>
              <w:spacing w:line="440" w:lineRule="exact"/>
              <w:jc w:val="center"/>
              <w:outlineLvl w:val="9"/>
              <w:rPr>
                <w:rFonts w:ascii="仿宋" w:hAnsi="仿宋" w:eastAsia="仿宋" w:cs="仿宋"/>
                <w:kern w:val="0"/>
                <w:szCs w:val="21"/>
              </w:rPr>
            </w:pPr>
          </w:p>
        </w:tc>
      </w:tr>
      <w:tr>
        <w:tblPrEx>
          <w:tblCellMar>
            <w:top w:w="0" w:type="dxa"/>
            <w:left w:w="108" w:type="dxa"/>
            <w:bottom w:w="0" w:type="dxa"/>
            <w:right w:w="108" w:type="dxa"/>
          </w:tblCellMar>
        </w:tblPrEx>
        <w:trPr>
          <w:cantSplit/>
          <w:jc w:val="center"/>
        </w:trPr>
        <w:tc>
          <w:tcPr>
            <w:tcW w:w="1391" w:type="dxa"/>
            <w:tcBorders>
              <w:top w:val="single" w:color="auto" w:sz="4" w:space="0"/>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center"/>
              <w:outlineLvl w:val="9"/>
              <w:rPr>
                <w:rFonts w:ascii="仿宋" w:hAnsi="仿宋" w:eastAsia="仿宋" w:cs="仿宋"/>
                <w:kern w:val="0"/>
                <w:szCs w:val="21"/>
              </w:rPr>
            </w:pPr>
            <w:r>
              <w:rPr>
                <w:rFonts w:hint="eastAsia" w:ascii="仿宋" w:hAnsi="仿宋" w:eastAsia="仿宋" w:cs="仿宋"/>
                <w:color w:val="000000"/>
                <w:kern w:val="0"/>
                <w:szCs w:val="21"/>
              </w:rPr>
              <w:t>实习单位</w:t>
            </w:r>
          </w:p>
        </w:tc>
        <w:tc>
          <w:tcPr>
            <w:tcW w:w="2929"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p>
        </w:tc>
        <w:tc>
          <w:tcPr>
            <w:tcW w:w="160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color w:val="000000"/>
                <w:kern w:val="0"/>
                <w:szCs w:val="21"/>
              </w:rPr>
              <w:t>实习者（人数）</w:t>
            </w:r>
          </w:p>
        </w:tc>
        <w:tc>
          <w:tcPr>
            <w:tcW w:w="2360" w:type="dxa"/>
            <w:tcBorders>
              <w:top w:val="single" w:color="auto" w:sz="4" w:space="0"/>
              <w:left w:val="single" w:color="auto" w:sz="4" w:space="0"/>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p>
        </w:tc>
      </w:tr>
      <w:tr>
        <w:tblPrEx>
          <w:tblCellMar>
            <w:top w:w="0" w:type="dxa"/>
            <w:left w:w="108" w:type="dxa"/>
            <w:bottom w:w="0" w:type="dxa"/>
            <w:right w:w="108" w:type="dxa"/>
          </w:tblCellMar>
        </w:tblPrEx>
        <w:trPr>
          <w:cantSplit/>
          <w:jc w:val="center"/>
        </w:trPr>
        <w:tc>
          <w:tcPr>
            <w:tcW w:w="8287" w:type="dxa"/>
            <w:gridSpan w:val="5"/>
            <w:tcBorders>
              <w:top w:val="single" w:color="auto" w:sz="4" w:space="0"/>
              <w:left w:val="double" w:color="auto" w:sz="6" w:space="0"/>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督导人员（√） 校部□    二级学院□    学校督导员□    职能部门□</w:t>
            </w:r>
          </w:p>
        </w:tc>
      </w:tr>
      <w:tr>
        <w:tblPrEx>
          <w:tblCellMar>
            <w:top w:w="0" w:type="dxa"/>
            <w:left w:w="108" w:type="dxa"/>
            <w:bottom w:w="0" w:type="dxa"/>
            <w:right w:w="108" w:type="dxa"/>
          </w:tblCellMar>
        </w:tblPrEx>
        <w:trPr>
          <w:cantSplit/>
          <w:jc w:val="center"/>
        </w:trPr>
        <w:tc>
          <w:tcPr>
            <w:tcW w:w="1973" w:type="dxa"/>
            <w:gridSpan w:val="2"/>
            <w:tcBorders>
              <w:top w:val="double" w:color="auto" w:sz="6" w:space="0"/>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center"/>
              <w:outlineLvl w:val="9"/>
              <w:rPr>
                <w:rFonts w:ascii="仿宋" w:hAnsi="仿宋" w:eastAsia="仿宋" w:cs="仿宋"/>
                <w:kern w:val="0"/>
                <w:szCs w:val="21"/>
              </w:rPr>
            </w:pPr>
            <w:r>
              <w:rPr>
                <w:rFonts w:hint="eastAsia" w:ascii="仿宋" w:hAnsi="仿宋" w:eastAsia="仿宋" w:cs="仿宋"/>
                <w:kern w:val="0"/>
                <w:szCs w:val="21"/>
              </w:rPr>
              <w:t>项目</w:t>
            </w:r>
          </w:p>
        </w:tc>
        <w:tc>
          <w:tcPr>
            <w:tcW w:w="6314" w:type="dxa"/>
            <w:gridSpan w:val="3"/>
            <w:tcBorders>
              <w:top w:val="double" w:color="auto" w:sz="6" w:space="0"/>
              <w:left w:val="nil"/>
              <w:bottom w:val="single" w:color="auto" w:sz="4" w:space="0"/>
              <w:right w:val="double" w:color="auto" w:sz="6" w:space="0"/>
            </w:tcBorders>
            <w:noWrap w:val="0"/>
            <w:vAlign w:val="center"/>
          </w:tcPr>
          <w:p>
            <w:pPr>
              <w:pageBreakBefore w:val="0"/>
              <w:widowControl/>
              <w:topLinePunct w:val="0"/>
              <w:bidi w:val="0"/>
              <w:spacing w:line="440" w:lineRule="exact"/>
              <w:jc w:val="center"/>
              <w:outlineLvl w:val="9"/>
              <w:rPr>
                <w:rFonts w:ascii="仿宋" w:hAnsi="仿宋" w:eastAsia="仿宋" w:cs="仿宋"/>
                <w:kern w:val="0"/>
                <w:szCs w:val="21"/>
              </w:rPr>
            </w:pPr>
            <w:r>
              <w:rPr>
                <w:rFonts w:hint="eastAsia" w:ascii="仿宋" w:hAnsi="仿宋" w:eastAsia="仿宋" w:cs="仿宋"/>
                <w:kern w:val="0"/>
                <w:szCs w:val="21"/>
              </w:rPr>
              <w:t>检查内容</w:t>
            </w:r>
          </w:p>
        </w:tc>
      </w:tr>
      <w:tr>
        <w:tblPrEx>
          <w:tblCellMar>
            <w:top w:w="0" w:type="dxa"/>
            <w:left w:w="108" w:type="dxa"/>
            <w:bottom w:w="0" w:type="dxa"/>
            <w:right w:w="108" w:type="dxa"/>
          </w:tblCellMar>
        </w:tblPrEx>
        <w:trPr>
          <w:cantSplit/>
          <w:jc w:val="center"/>
        </w:trPr>
        <w:tc>
          <w:tcPr>
            <w:tcW w:w="1973" w:type="dxa"/>
            <w:gridSpan w:val="2"/>
            <w:vMerge w:val="restart"/>
            <w:tcBorders>
              <w:top w:val="nil"/>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一、检查方案</w:t>
            </w:r>
          </w:p>
        </w:tc>
        <w:tc>
          <w:tcPr>
            <w:tcW w:w="6314" w:type="dxa"/>
            <w:gridSpan w:val="3"/>
            <w:tcBorders>
              <w:top w:val="nil"/>
              <w:left w:val="nil"/>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1.顶岗实习计划：</w:t>
            </w:r>
          </w:p>
        </w:tc>
      </w:tr>
      <w:tr>
        <w:tblPrEx>
          <w:tblCellMar>
            <w:top w:w="0" w:type="dxa"/>
            <w:left w:w="108" w:type="dxa"/>
            <w:bottom w:w="0" w:type="dxa"/>
            <w:right w:w="108" w:type="dxa"/>
          </w:tblCellMar>
        </w:tblPrEx>
        <w:trPr>
          <w:cantSplit/>
          <w:jc w:val="center"/>
        </w:trPr>
        <w:tc>
          <w:tcPr>
            <w:tcW w:w="1973" w:type="dxa"/>
            <w:gridSpan w:val="2"/>
            <w:vMerge w:val="continue"/>
            <w:tcBorders>
              <w:top w:val="nil"/>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p>
        </w:tc>
        <w:tc>
          <w:tcPr>
            <w:tcW w:w="6314" w:type="dxa"/>
            <w:gridSpan w:val="3"/>
            <w:tcBorders>
              <w:top w:val="nil"/>
              <w:left w:val="nil"/>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2.顶岗实习准备工作：</w:t>
            </w:r>
          </w:p>
        </w:tc>
      </w:tr>
      <w:tr>
        <w:tblPrEx>
          <w:tblCellMar>
            <w:top w:w="0" w:type="dxa"/>
            <w:left w:w="108" w:type="dxa"/>
            <w:bottom w:w="0" w:type="dxa"/>
            <w:right w:w="108" w:type="dxa"/>
          </w:tblCellMar>
        </w:tblPrEx>
        <w:trPr>
          <w:cantSplit/>
          <w:jc w:val="center"/>
        </w:trPr>
        <w:tc>
          <w:tcPr>
            <w:tcW w:w="1973" w:type="dxa"/>
            <w:gridSpan w:val="2"/>
            <w:vMerge w:val="continue"/>
            <w:tcBorders>
              <w:top w:val="nil"/>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p>
        </w:tc>
        <w:tc>
          <w:tcPr>
            <w:tcW w:w="6314" w:type="dxa"/>
            <w:gridSpan w:val="3"/>
            <w:tcBorders>
              <w:top w:val="nil"/>
              <w:left w:val="nil"/>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3.是否有专人负责：</w:t>
            </w:r>
          </w:p>
        </w:tc>
      </w:tr>
      <w:tr>
        <w:tblPrEx>
          <w:tblCellMar>
            <w:top w:w="0" w:type="dxa"/>
            <w:left w:w="108" w:type="dxa"/>
            <w:bottom w:w="0" w:type="dxa"/>
            <w:right w:w="108" w:type="dxa"/>
          </w:tblCellMar>
        </w:tblPrEx>
        <w:trPr>
          <w:cantSplit/>
          <w:jc w:val="center"/>
        </w:trPr>
        <w:tc>
          <w:tcPr>
            <w:tcW w:w="1973" w:type="dxa"/>
            <w:gridSpan w:val="2"/>
            <w:vMerge w:val="restart"/>
            <w:tcBorders>
              <w:top w:val="nil"/>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二、核实条件</w:t>
            </w:r>
          </w:p>
        </w:tc>
        <w:tc>
          <w:tcPr>
            <w:tcW w:w="6314" w:type="dxa"/>
            <w:gridSpan w:val="3"/>
            <w:tcBorders>
              <w:top w:val="nil"/>
              <w:left w:val="nil"/>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1.指导教师条件：</w:t>
            </w:r>
          </w:p>
        </w:tc>
      </w:tr>
      <w:tr>
        <w:tblPrEx>
          <w:tblCellMar>
            <w:top w:w="0" w:type="dxa"/>
            <w:left w:w="108" w:type="dxa"/>
            <w:bottom w:w="0" w:type="dxa"/>
            <w:right w:w="108" w:type="dxa"/>
          </w:tblCellMar>
        </w:tblPrEx>
        <w:trPr>
          <w:cantSplit/>
          <w:jc w:val="center"/>
        </w:trPr>
        <w:tc>
          <w:tcPr>
            <w:tcW w:w="1973" w:type="dxa"/>
            <w:gridSpan w:val="2"/>
            <w:vMerge w:val="continue"/>
            <w:tcBorders>
              <w:top w:val="nil"/>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p>
        </w:tc>
        <w:tc>
          <w:tcPr>
            <w:tcW w:w="6314" w:type="dxa"/>
            <w:gridSpan w:val="3"/>
            <w:tcBorders>
              <w:top w:val="nil"/>
              <w:left w:val="nil"/>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2.实习单位条件：</w:t>
            </w:r>
          </w:p>
        </w:tc>
      </w:tr>
      <w:tr>
        <w:tblPrEx>
          <w:tblCellMar>
            <w:top w:w="0" w:type="dxa"/>
            <w:left w:w="108" w:type="dxa"/>
            <w:bottom w:w="0" w:type="dxa"/>
            <w:right w:w="108" w:type="dxa"/>
          </w:tblCellMar>
        </w:tblPrEx>
        <w:trPr>
          <w:cantSplit/>
          <w:jc w:val="center"/>
        </w:trPr>
        <w:tc>
          <w:tcPr>
            <w:tcW w:w="1973" w:type="dxa"/>
            <w:gridSpan w:val="2"/>
            <w:vMerge w:val="continue"/>
            <w:tcBorders>
              <w:top w:val="nil"/>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p>
        </w:tc>
        <w:tc>
          <w:tcPr>
            <w:tcW w:w="6314" w:type="dxa"/>
            <w:gridSpan w:val="3"/>
            <w:tcBorders>
              <w:top w:val="nil"/>
              <w:left w:val="nil"/>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3.配套条件：</w:t>
            </w:r>
          </w:p>
        </w:tc>
      </w:tr>
      <w:tr>
        <w:tblPrEx>
          <w:tblCellMar>
            <w:top w:w="0" w:type="dxa"/>
            <w:left w:w="108" w:type="dxa"/>
            <w:bottom w:w="0" w:type="dxa"/>
            <w:right w:w="108" w:type="dxa"/>
          </w:tblCellMar>
        </w:tblPrEx>
        <w:trPr>
          <w:cantSplit/>
          <w:jc w:val="center"/>
        </w:trPr>
        <w:tc>
          <w:tcPr>
            <w:tcW w:w="1973" w:type="dxa"/>
            <w:gridSpan w:val="2"/>
            <w:vMerge w:val="restart"/>
            <w:tcBorders>
              <w:top w:val="nil"/>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三、监督管理</w:t>
            </w:r>
          </w:p>
        </w:tc>
        <w:tc>
          <w:tcPr>
            <w:tcW w:w="6314" w:type="dxa"/>
            <w:gridSpan w:val="3"/>
            <w:tcBorders>
              <w:top w:val="nil"/>
              <w:left w:val="nil"/>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1.领导重视程度：</w:t>
            </w:r>
          </w:p>
        </w:tc>
      </w:tr>
      <w:tr>
        <w:tblPrEx>
          <w:tblCellMar>
            <w:top w:w="0" w:type="dxa"/>
            <w:left w:w="108" w:type="dxa"/>
            <w:bottom w:w="0" w:type="dxa"/>
            <w:right w:w="108" w:type="dxa"/>
          </w:tblCellMar>
        </w:tblPrEx>
        <w:trPr>
          <w:cantSplit/>
          <w:jc w:val="center"/>
        </w:trPr>
        <w:tc>
          <w:tcPr>
            <w:tcW w:w="1973" w:type="dxa"/>
            <w:gridSpan w:val="2"/>
            <w:vMerge w:val="continue"/>
            <w:tcBorders>
              <w:top w:val="nil"/>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p>
        </w:tc>
        <w:tc>
          <w:tcPr>
            <w:tcW w:w="6314" w:type="dxa"/>
            <w:gridSpan w:val="3"/>
            <w:tcBorders>
              <w:top w:val="nil"/>
              <w:left w:val="nil"/>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 xml:space="preserve">2.实习文件、记录： </w:t>
            </w:r>
          </w:p>
        </w:tc>
      </w:tr>
      <w:tr>
        <w:tblPrEx>
          <w:tblCellMar>
            <w:top w:w="0" w:type="dxa"/>
            <w:left w:w="108" w:type="dxa"/>
            <w:bottom w:w="0" w:type="dxa"/>
            <w:right w:w="108" w:type="dxa"/>
          </w:tblCellMar>
        </w:tblPrEx>
        <w:trPr>
          <w:cantSplit/>
          <w:jc w:val="center"/>
        </w:trPr>
        <w:tc>
          <w:tcPr>
            <w:tcW w:w="1973" w:type="dxa"/>
            <w:gridSpan w:val="2"/>
            <w:vMerge w:val="continue"/>
            <w:tcBorders>
              <w:top w:val="nil"/>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p>
        </w:tc>
        <w:tc>
          <w:tcPr>
            <w:tcW w:w="6314" w:type="dxa"/>
            <w:gridSpan w:val="3"/>
            <w:tcBorders>
              <w:top w:val="nil"/>
              <w:left w:val="nil"/>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3.实习措施落实情况：</w:t>
            </w:r>
          </w:p>
        </w:tc>
      </w:tr>
      <w:tr>
        <w:tblPrEx>
          <w:tblCellMar>
            <w:top w:w="0" w:type="dxa"/>
            <w:left w:w="108" w:type="dxa"/>
            <w:bottom w:w="0" w:type="dxa"/>
            <w:right w:w="108" w:type="dxa"/>
          </w:tblCellMar>
        </w:tblPrEx>
        <w:trPr>
          <w:cantSplit/>
          <w:jc w:val="center"/>
        </w:trPr>
        <w:tc>
          <w:tcPr>
            <w:tcW w:w="1973" w:type="dxa"/>
            <w:gridSpan w:val="2"/>
            <w:vMerge w:val="restart"/>
            <w:tcBorders>
              <w:top w:val="nil"/>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四、诊断实训过程</w:t>
            </w:r>
          </w:p>
        </w:tc>
        <w:tc>
          <w:tcPr>
            <w:tcW w:w="6314" w:type="dxa"/>
            <w:gridSpan w:val="3"/>
            <w:tcBorders>
              <w:top w:val="nil"/>
              <w:left w:val="nil"/>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1.实习动员：</w:t>
            </w:r>
          </w:p>
        </w:tc>
      </w:tr>
      <w:tr>
        <w:tblPrEx>
          <w:tblCellMar>
            <w:top w:w="0" w:type="dxa"/>
            <w:left w:w="108" w:type="dxa"/>
            <w:bottom w:w="0" w:type="dxa"/>
            <w:right w:w="108" w:type="dxa"/>
          </w:tblCellMar>
        </w:tblPrEx>
        <w:trPr>
          <w:cantSplit/>
          <w:jc w:val="center"/>
        </w:trPr>
        <w:tc>
          <w:tcPr>
            <w:tcW w:w="1973" w:type="dxa"/>
            <w:gridSpan w:val="2"/>
            <w:vMerge w:val="continue"/>
            <w:tcBorders>
              <w:top w:val="nil"/>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p>
        </w:tc>
        <w:tc>
          <w:tcPr>
            <w:tcW w:w="6314" w:type="dxa"/>
            <w:gridSpan w:val="3"/>
            <w:tcBorders>
              <w:top w:val="nil"/>
              <w:left w:val="nil"/>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2.实习指导：</w:t>
            </w:r>
          </w:p>
        </w:tc>
      </w:tr>
      <w:tr>
        <w:tblPrEx>
          <w:tblCellMar>
            <w:top w:w="0" w:type="dxa"/>
            <w:left w:w="108" w:type="dxa"/>
            <w:bottom w:w="0" w:type="dxa"/>
            <w:right w:w="108" w:type="dxa"/>
          </w:tblCellMar>
        </w:tblPrEx>
        <w:trPr>
          <w:cantSplit/>
          <w:jc w:val="center"/>
        </w:trPr>
        <w:tc>
          <w:tcPr>
            <w:tcW w:w="1973" w:type="dxa"/>
            <w:gridSpan w:val="2"/>
            <w:vMerge w:val="continue"/>
            <w:tcBorders>
              <w:top w:val="nil"/>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p>
        </w:tc>
        <w:tc>
          <w:tcPr>
            <w:tcW w:w="6314" w:type="dxa"/>
            <w:gridSpan w:val="3"/>
            <w:tcBorders>
              <w:top w:val="nil"/>
              <w:left w:val="nil"/>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3.学生顶岗实习的监管：</w:t>
            </w:r>
          </w:p>
        </w:tc>
      </w:tr>
      <w:tr>
        <w:tblPrEx>
          <w:tblCellMar>
            <w:top w:w="0" w:type="dxa"/>
            <w:left w:w="108" w:type="dxa"/>
            <w:bottom w:w="0" w:type="dxa"/>
            <w:right w:w="108" w:type="dxa"/>
          </w:tblCellMar>
        </w:tblPrEx>
        <w:trPr>
          <w:cantSplit/>
          <w:jc w:val="center"/>
        </w:trPr>
        <w:tc>
          <w:tcPr>
            <w:tcW w:w="1973" w:type="dxa"/>
            <w:gridSpan w:val="2"/>
            <w:vMerge w:val="continue"/>
            <w:tcBorders>
              <w:top w:val="nil"/>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p>
        </w:tc>
        <w:tc>
          <w:tcPr>
            <w:tcW w:w="6314" w:type="dxa"/>
            <w:gridSpan w:val="3"/>
            <w:tcBorders>
              <w:top w:val="nil"/>
              <w:left w:val="nil"/>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4.学生实习报告：</w:t>
            </w:r>
          </w:p>
        </w:tc>
      </w:tr>
      <w:tr>
        <w:tblPrEx>
          <w:tblCellMar>
            <w:top w:w="0" w:type="dxa"/>
            <w:left w:w="108" w:type="dxa"/>
            <w:bottom w:w="0" w:type="dxa"/>
            <w:right w:w="108" w:type="dxa"/>
          </w:tblCellMar>
        </w:tblPrEx>
        <w:trPr>
          <w:cantSplit/>
          <w:jc w:val="center"/>
        </w:trPr>
        <w:tc>
          <w:tcPr>
            <w:tcW w:w="1973" w:type="dxa"/>
            <w:gridSpan w:val="2"/>
            <w:vMerge w:val="restart"/>
            <w:tcBorders>
              <w:top w:val="nil"/>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五、评价效果</w:t>
            </w:r>
          </w:p>
        </w:tc>
        <w:tc>
          <w:tcPr>
            <w:tcW w:w="6314" w:type="dxa"/>
            <w:gridSpan w:val="3"/>
            <w:tcBorders>
              <w:top w:val="nil"/>
              <w:left w:val="nil"/>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1.学生能力水平：</w:t>
            </w:r>
          </w:p>
        </w:tc>
      </w:tr>
      <w:tr>
        <w:tblPrEx>
          <w:tblCellMar>
            <w:top w:w="0" w:type="dxa"/>
            <w:left w:w="108" w:type="dxa"/>
            <w:bottom w:w="0" w:type="dxa"/>
            <w:right w:w="108" w:type="dxa"/>
          </w:tblCellMar>
        </w:tblPrEx>
        <w:trPr>
          <w:cantSplit/>
          <w:jc w:val="center"/>
        </w:trPr>
        <w:tc>
          <w:tcPr>
            <w:tcW w:w="1973" w:type="dxa"/>
            <w:gridSpan w:val="2"/>
            <w:vMerge w:val="continue"/>
            <w:tcBorders>
              <w:top w:val="nil"/>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p>
        </w:tc>
        <w:tc>
          <w:tcPr>
            <w:tcW w:w="6314" w:type="dxa"/>
            <w:gridSpan w:val="3"/>
            <w:tcBorders>
              <w:top w:val="nil"/>
              <w:left w:val="nil"/>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2.学生操作评价：</w:t>
            </w:r>
          </w:p>
        </w:tc>
      </w:tr>
      <w:tr>
        <w:tblPrEx>
          <w:tblCellMar>
            <w:top w:w="0" w:type="dxa"/>
            <w:left w:w="108" w:type="dxa"/>
            <w:bottom w:w="0" w:type="dxa"/>
            <w:right w:w="108" w:type="dxa"/>
          </w:tblCellMar>
        </w:tblPrEx>
        <w:trPr>
          <w:cantSplit/>
          <w:jc w:val="center"/>
        </w:trPr>
        <w:tc>
          <w:tcPr>
            <w:tcW w:w="1973" w:type="dxa"/>
            <w:gridSpan w:val="2"/>
            <w:vMerge w:val="continue"/>
            <w:tcBorders>
              <w:top w:val="nil"/>
              <w:left w:val="double" w:color="auto" w:sz="6" w:space="0"/>
              <w:bottom w:val="single" w:color="auto" w:sz="4" w:space="0"/>
              <w:right w:val="single" w:color="auto" w:sz="4"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p>
        </w:tc>
        <w:tc>
          <w:tcPr>
            <w:tcW w:w="6314" w:type="dxa"/>
            <w:gridSpan w:val="3"/>
            <w:tcBorders>
              <w:top w:val="nil"/>
              <w:left w:val="nil"/>
              <w:bottom w:val="single" w:color="auto" w:sz="4" w:space="0"/>
              <w:right w:val="double" w:color="auto" w:sz="6" w:space="0"/>
            </w:tcBorders>
            <w:noWrap w:val="0"/>
            <w:vAlign w:val="center"/>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3.实习单位反馈意见：</w:t>
            </w:r>
          </w:p>
        </w:tc>
      </w:tr>
      <w:tr>
        <w:tblPrEx>
          <w:tblCellMar>
            <w:top w:w="0" w:type="dxa"/>
            <w:left w:w="108" w:type="dxa"/>
            <w:bottom w:w="0" w:type="dxa"/>
            <w:right w:w="108" w:type="dxa"/>
          </w:tblCellMar>
        </w:tblPrEx>
        <w:trPr>
          <w:cantSplit/>
          <w:jc w:val="center"/>
        </w:trPr>
        <w:tc>
          <w:tcPr>
            <w:tcW w:w="8287" w:type="dxa"/>
            <w:gridSpan w:val="5"/>
            <w:tcBorders>
              <w:top w:val="single" w:color="auto" w:sz="4" w:space="0"/>
              <w:left w:val="double" w:color="auto" w:sz="6" w:space="0"/>
              <w:bottom w:val="nil"/>
              <w:right w:val="double" w:color="000000" w:sz="6" w:space="0"/>
            </w:tcBorders>
            <w:noWrap w:val="0"/>
            <w:vAlign w:val="bottom"/>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 xml:space="preserve"> 六、督导人员综合评价意见：</w:t>
            </w:r>
          </w:p>
        </w:tc>
      </w:tr>
      <w:tr>
        <w:tblPrEx>
          <w:tblCellMar>
            <w:top w:w="0" w:type="dxa"/>
            <w:left w:w="108" w:type="dxa"/>
            <w:bottom w:w="0" w:type="dxa"/>
            <w:right w:w="108" w:type="dxa"/>
          </w:tblCellMar>
        </w:tblPrEx>
        <w:trPr>
          <w:cantSplit/>
          <w:jc w:val="center"/>
        </w:trPr>
        <w:tc>
          <w:tcPr>
            <w:tcW w:w="8287" w:type="dxa"/>
            <w:gridSpan w:val="5"/>
            <w:tcBorders>
              <w:top w:val="nil"/>
              <w:left w:val="double" w:color="auto" w:sz="6" w:space="0"/>
              <w:bottom w:val="double" w:color="auto" w:sz="6" w:space="0"/>
              <w:right w:val="double" w:color="000000" w:sz="6" w:space="0"/>
            </w:tcBorders>
            <w:noWrap w:val="0"/>
            <w:vAlign w:val="bottom"/>
          </w:tcPr>
          <w:p>
            <w:pPr>
              <w:pageBreakBefore w:val="0"/>
              <w:widowControl/>
              <w:topLinePunct w:val="0"/>
              <w:bidi w:val="0"/>
              <w:spacing w:line="440" w:lineRule="exact"/>
              <w:jc w:val="right"/>
              <w:outlineLvl w:val="9"/>
              <w:rPr>
                <w:rFonts w:ascii="仿宋" w:hAnsi="仿宋" w:eastAsia="仿宋" w:cs="仿宋"/>
                <w:kern w:val="0"/>
                <w:szCs w:val="21"/>
              </w:rPr>
            </w:pPr>
            <w:r>
              <w:rPr>
                <w:rFonts w:hint="eastAsia" w:ascii="仿宋" w:hAnsi="仿宋" w:eastAsia="仿宋" w:cs="仿宋"/>
                <w:kern w:val="0"/>
                <w:szCs w:val="21"/>
              </w:rPr>
              <w:t>督导人员签字：                 年     月     日</w:t>
            </w:r>
          </w:p>
          <w:p>
            <w:pPr>
              <w:pageBreakBefore w:val="0"/>
              <w:widowControl/>
              <w:topLinePunct w:val="0"/>
              <w:bidi w:val="0"/>
              <w:spacing w:line="440" w:lineRule="exact"/>
              <w:jc w:val="right"/>
              <w:outlineLvl w:val="9"/>
              <w:rPr>
                <w:rFonts w:ascii="仿宋" w:hAnsi="仿宋" w:eastAsia="仿宋" w:cs="仿宋"/>
                <w:kern w:val="0"/>
                <w:szCs w:val="21"/>
              </w:rPr>
            </w:pPr>
          </w:p>
        </w:tc>
      </w:tr>
      <w:tr>
        <w:tblPrEx>
          <w:tblCellMar>
            <w:top w:w="0" w:type="dxa"/>
            <w:left w:w="108" w:type="dxa"/>
            <w:bottom w:w="0" w:type="dxa"/>
            <w:right w:w="108" w:type="dxa"/>
          </w:tblCellMar>
        </w:tblPrEx>
        <w:trPr>
          <w:cantSplit/>
          <w:jc w:val="center"/>
        </w:trPr>
        <w:tc>
          <w:tcPr>
            <w:tcW w:w="8287" w:type="dxa"/>
            <w:gridSpan w:val="5"/>
            <w:tcBorders>
              <w:top w:val="nil"/>
              <w:left w:val="nil"/>
              <w:bottom w:val="nil"/>
              <w:right w:val="nil"/>
            </w:tcBorders>
            <w:noWrap w:val="0"/>
            <w:vAlign w:val="bottom"/>
          </w:tcPr>
          <w:p>
            <w:pPr>
              <w:pageBreakBefore w:val="0"/>
              <w:widowControl/>
              <w:topLinePunct w:val="0"/>
              <w:bidi w:val="0"/>
              <w:spacing w:line="440" w:lineRule="exact"/>
              <w:jc w:val="left"/>
              <w:outlineLvl w:val="9"/>
              <w:rPr>
                <w:rFonts w:ascii="仿宋" w:hAnsi="仿宋" w:eastAsia="仿宋" w:cs="仿宋"/>
                <w:kern w:val="0"/>
                <w:szCs w:val="21"/>
              </w:rPr>
            </w:pPr>
            <w:r>
              <w:rPr>
                <w:rFonts w:hint="eastAsia" w:ascii="仿宋" w:hAnsi="仿宋" w:eastAsia="仿宋" w:cs="仿宋"/>
                <w:kern w:val="0"/>
                <w:szCs w:val="21"/>
              </w:rPr>
              <w:t>注：此表教务处留存。</w:t>
            </w:r>
          </w:p>
        </w:tc>
      </w:tr>
    </w:tbl>
    <w:p>
      <w:pPr>
        <w:pageBreakBefore w:val="0"/>
        <w:widowControl/>
        <w:topLinePunct w:val="0"/>
        <w:bidi w:val="0"/>
        <w:outlineLvl w:val="9"/>
        <w:rPr>
          <w:rFonts w:ascii="仿宋" w:hAnsi="仿宋" w:eastAsia="仿宋" w:cs="仿宋"/>
          <w:color w:val="000000"/>
          <w:sz w:val="24"/>
        </w:rPr>
      </w:pPr>
    </w:p>
    <w:p>
      <w:pPr>
        <w:pageBreakBefore w:val="0"/>
        <w:widowControl/>
        <w:topLinePunct w:val="0"/>
        <w:bidi w:val="0"/>
        <w:outlineLvl w:val="9"/>
        <w:rPr>
          <w:rFonts w:ascii="仿宋" w:hAnsi="仿宋" w:eastAsia="仿宋" w:cs="仿宋"/>
          <w:bCs/>
          <w:kern w:val="0"/>
          <w:sz w:val="24"/>
        </w:rPr>
      </w:pPr>
      <w:r>
        <w:rPr>
          <w:rFonts w:hint="eastAsia" w:ascii="仿宋" w:hAnsi="仿宋" w:eastAsia="仿宋" w:cs="仿宋"/>
          <w:color w:val="000000"/>
          <w:sz w:val="24"/>
        </w:rPr>
        <w:br w:type="page"/>
      </w:r>
      <w:r>
        <w:rPr>
          <w:rFonts w:hint="eastAsia" w:ascii="仿宋" w:hAnsi="仿宋" w:eastAsia="仿宋" w:cs="仿宋"/>
          <w:color w:val="000000"/>
          <w:sz w:val="28"/>
          <w:szCs w:val="28"/>
        </w:rPr>
        <w:t>附件8</w:t>
      </w:r>
    </w:p>
    <w:p>
      <w:pPr>
        <w:pageBreakBefore w:val="0"/>
        <w:topLinePunct w:val="0"/>
        <w:bidi w:val="0"/>
        <w:jc w:val="center"/>
        <w:outlineLvl w:val="9"/>
        <w:rPr>
          <w:rFonts w:ascii="仿宋" w:hAnsi="仿宋" w:eastAsia="仿宋" w:cs="仿宋"/>
          <w:sz w:val="28"/>
          <w:szCs w:val="28"/>
        </w:rPr>
      </w:pPr>
      <w:r>
        <w:rPr>
          <w:rFonts w:hint="eastAsia" w:ascii="仿宋" w:hAnsi="仿宋" w:eastAsia="仿宋" w:cs="仿宋"/>
          <w:sz w:val="28"/>
          <w:szCs w:val="28"/>
        </w:rPr>
        <w:t>学生问卷调查表</w:t>
      </w:r>
    </w:p>
    <w:p>
      <w:pPr>
        <w:pageBreakBefore w:val="0"/>
        <w:widowControl/>
        <w:topLinePunct w:val="0"/>
        <w:bidi w:val="0"/>
        <w:outlineLvl w:val="9"/>
        <w:rPr>
          <w:rFonts w:ascii="仿宋" w:hAnsi="仿宋" w:eastAsia="仿宋" w:cs="仿宋"/>
          <w:bCs/>
          <w:kern w:val="0"/>
          <w:sz w:val="24"/>
        </w:rPr>
      </w:pPr>
    </w:p>
    <w:tbl>
      <w:tblPr>
        <w:tblStyle w:val="37"/>
        <w:tblW w:w="844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18"/>
        <w:gridCol w:w="5991"/>
        <w:gridCol w:w="7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8442" w:type="dxa"/>
            <w:gridSpan w:val="3"/>
            <w:tcBorders>
              <w:top w:val="double" w:color="auto" w:sz="4" w:space="0"/>
              <w:left w:val="double" w:color="auto" w:sz="4" w:space="0"/>
              <w:right w:val="double" w:color="auto" w:sz="4" w:space="0"/>
            </w:tcBorders>
            <w:noWrap w:val="0"/>
            <w:vAlign w:val="center"/>
          </w:tcPr>
          <w:p>
            <w:pPr>
              <w:pageBreakBefore w:val="0"/>
              <w:topLinePunct w:val="0"/>
              <w:bidi w:val="0"/>
              <w:jc w:val="center"/>
              <w:outlineLvl w:val="9"/>
              <w:rPr>
                <w:rFonts w:ascii="仿宋" w:hAnsi="仿宋" w:eastAsia="仿宋" w:cs="仿宋"/>
                <w:kern w:val="0"/>
                <w:sz w:val="24"/>
              </w:rPr>
            </w:pPr>
            <w:r>
              <w:rPr>
                <w:rFonts w:hint="eastAsia" w:ascii="仿宋" w:hAnsi="仿宋" w:eastAsia="仿宋" w:cs="仿宋"/>
                <w:kern w:val="0"/>
                <w:sz w:val="24"/>
              </w:rPr>
              <w:t>考核指标及内涵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18" w:type="dxa"/>
            <w:tcBorders>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指标名称</w:t>
            </w:r>
          </w:p>
        </w:tc>
        <w:tc>
          <w:tcPr>
            <w:tcW w:w="5991" w:type="dxa"/>
            <w:tcBorders>
              <w:top w:val="single" w:color="auto" w:sz="4" w:space="0"/>
              <w:left w:val="sing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参照标准（A）</w:t>
            </w:r>
          </w:p>
        </w:tc>
        <w:tc>
          <w:tcPr>
            <w:tcW w:w="733" w:type="dxa"/>
            <w:tcBorders>
              <w:top w:val="single" w:color="auto" w:sz="4" w:space="0"/>
              <w:left w:val="single" w:color="auto" w:sz="4" w:space="0"/>
              <w:right w:val="double" w:color="auto" w:sz="4" w:space="0"/>
            </w:tcBorders>
            <w:noWrap w:val="0"/>
            <w:vAlign w:val="center"/>
          </w:tcPr>
          <w:p>
            <w:pPr>
              <w:pageBreakBefore w:val="0"/>
              <w:topLinePunct w:val="0"/>
              <w:bidi w:val="0"/>
              <w:jc w:val="center"/>
              <w:outlineLvl w:val="9"/>
              <w:rPr>
                <w:rFonts w:ascii="仿宋" w:hAnsi="仿宋" w:eastAsia="仿宋" w:cs="仿宋"/>
                <w:kern w:val="0"/>
                <w:sz w:val="24"/>
              </w:rPr>
            </w:pPr>
            <w:r>
              <w:rPr>
                <w:rFonts w:hint="eastAsia" w:ascii="仿宋" w:hAnsi="仿宋" w:eastAsia="仿宋" w:cs="仿宋"/>
                <w:kern w:val="0"/>
                <w:szCs w:val="21"/>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8" w:type="dxa"/>
            <w:vMerge w:val="restart"/>
            <w:tcBorders>
              <w:top w:val="single" w:color="auto" w:sz="4" w:space="0"/>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教学基本素养</w:t>
            </w:r>
          </w:p>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（25）</w:t>
            </w:r>
          </w:p>
        </w:tc>
        <w:tc>
          <w:tcPr>
            <w:tcW w:w="599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1．仪态大方，衣着整洁得体，为人师表；</w:t>
            </w:r>
          </w:p>
        </w:tc>
        <w:tc>
          <w:tcPr>
            <w:tcW w:w="733"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8" w:type="dxa"/>
            <w:vMerge w:val="continue"/>
            <w:tcBorders>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599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2．预备铃前做好授课准备，教学准备充分，不迟到早退；</w:t>
            </w:r>
          </w:p>
        </w:tc>
        <w:tc>
          <w:tcPr>
            <w:tcW w:w="733"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8" w:type="dxa"/>
            <w:vMerge w:val="continue"/>
            <w:tcBorders>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599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3．教态亲切自然，语言文字规范、讲普通话，无违背党和国家方针政策的言行</w:t>
            </w:r>
            <w:r>
              <w:rPr>
                <w:rFonts w:hint="eastAsia" w:ascii="仿宋" w:hAnsi="仿宋" w:eastAsia="仿宋" w:cs="仿宋"/>
                <w:bCs/>
                <w:color w:val="000000"/>
                <w:szCs w:val="21"/>
              </w:rPr>
              <w:t>，无师德失范行为</w:t>
            </w:r>
            <w:r>
              <w:rPr>
                <w:rFonts w:hint="eastAsia" w:ascii="仿宋" w:hAnsi="仿宋" w:eastAsia="仿宋" w:cs="仿宋"/>
                <w:kern w:val="0"/>
                <w:szCs w:val="21"/>
              </w:rPr>
              <w:t>；</w:t>
            </w:r>
          </w:p>
        </w:tc>
        <w:tc>
          <w:tcPr>
            <w:tcW w:w="733"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8" w:type="dxa"/>
            <w:vMerge w:val="continue"/>
            <w:tcBorders>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599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4．关心学生、循循善诱。</w:t>
            </w:r>
          </w:p>
        </w:tc>
        <w:tc>
          <w:tcPr>
            <w:tcW w:w="733" w:type="dxa"/>
            <w:tcBorders>
              <w:top w:val="single" w:color="auto" w:sz="4" w:space="0"/>
              <w:left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8" w:type="dxa"/>
            <w:vMerge w:val="restart"/>
            <w:tcBorders>
              <w:top w:val="single" w:color="auto" w:sz="4" w:space="0"/>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教学方法与手段</w:t>
            </w:r>
          </w:p>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（32）</w:t>
            </w:r>
          </w:p>
        </w:tc>
        <w:tc>
          <w:tcPr>
            <w:tcW w:w="599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1．重点突出，容量适当，理论联系实际，突出技术应用；</w:t>
            </w:r>
          </w:p>
        </w:tc>
        <w:tc>
          <w:tcPr>
            <w:tcW w:w="733"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8" w:type="dxa"/>
            <w:vMerge w:val="continue"/>
            <w:tcBorders>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599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2．教学方法灵活，激发学生学习兴趣，开发学生潜在能力；</w:t>
            </w:r>
          </w:p>
        </w:tc>
        <w:tc>
          <w:tcPr>
            <w:tcW w:w="733"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8" w:type="dxa"/>
            <w:vMerge w:val="continue"/>
            <w:tcBorders>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599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3．运用多种教学手段促进学生能力培养；</w:t>
            </w:r>
          </w:p>
        </w:tc>
        <w:tc>
          <w:tcPr>
            <w:tcW w:w="733"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8" w:type="dxa"/>
            <w:vMerge w:val="continue"/>
            <w:tcBorders>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599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4．教学手段新颖，合理运用课件、案例；</w:t>
            </w:r>
          </w:p>
        </w:tc>
        <w:tc>
          <w:tcPr>
            <w:tcW w:w="733"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8" w:type="dxa"/>
            <w:vMerge w:val="continue"/>
            <w:tcBorders>
              <w:left w:val="double" w:color="auto" w:sz="4" w:space="0"/>
              <w:bottom w:val="sing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599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5．有板书且设计合理。</w:t>
            </w:r>
          </w:p>
        </w:tc>
        <w:tc>
          <w:tcPr>
            <w:tcW w:w="733"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8" w:type="dxa"/>
            <w:vMerge w:val="restart"/>
            <w:tcBorders>
              <w:top w:val="single" w:color="auto" w:sz="4" w:space="0"/>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教学管理</w:t>
            </w:r>
          </w:p>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（25）</w:t>
            </w:r>
          </w:p>
        </w:tc>
        <w:tc>
          <w:tcPr>
            <w:tcW w:w="599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 xml:space="preserve">1．根据学生群体特点，因材施教； </w:t>
            </w:r>
          </w:p>
        </w:tc>
        <w:tc>
          <w:tcPr>
            <w:tcW w:w="733"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8" w:type="dxa"/>
            <w:vMerge w:val="continue"/>
            <w:tcBorders>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599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2．认真布置、批改作业，答疑辅导耐心、及时；</w:t>
            </w:r>
          </w:p>
        </w:tc>
        <w:tc>
          <w:tcPr>
            <w:tcW w:w="733"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8" w:type="dxa"/>
            <w:vMerge w:val="continue"/>
            <w:tcBorders>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599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3．学业评价公正、合理；</w:t>
            </w:r>
          </w:p>
        </w:tc>
        <w:tc>
          <w:tcPr>
            <w:tcW w:w="733"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8" w:type="dxa"/>
            <w:vMerge w:val="continue"/>
            <w:tcBorders>
              <w:left w:val="double" w:color="auto" w:sz="4" w:space="0"/>
              <w:bottom w:val="sing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599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4．重视和进行职业道德和组织纪律教育。</w:t>
            </w:r>
          </w:p>
        </w:tc>
        <w:tc>
          <w:tcPr>
            <w:tcW w:w="733"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8" w:type="dxa"/>
            <w:vMerge w:val="restart"/>
            <w:tcBorders>
              <w:top w:val="single" w:color="auto" w:sz="4" w:space="0"/>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教学效果</w:t>
            </w:r>
          </w:p>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（18）</w:t>
            </w:r>
          </w:p>
        </w:tc>
        <w:tc>
          <w:tcPr>
            <w:tcW w:w="599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1．上课听得懂，有感知、能理解；</w:t>
            </w:r>
          </w:p>
        </w:tc>
        <w:tc>
          <w:tcPr>
            <w:tcW w:w="733"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8" w:type="dxa"/>
            <w:vMerge w:val="continue"/>
            <w:tcBorders>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5991" w:type="dxa"/>
            <w:tcBorders>
              <w:top w:val="single" w:color="auto" w:sz="4" w:space="0"/>
              <w:left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2．能运用所学知识和技能分析、解决实际问题；</w:t>
            </w:r>
          </w:p>
        </w:tc>
        <w:tc>
          <w:tcPr>
            <w:tcW w:w="733" w:type="dxa"/>
            <w:tcBorders>
              <w:top w:val="single" w:color="auto" w:sz="4" w:space="0"/>
              <w:left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18" w:type="dxa"/>
            <w:vMerge w:val="continue"/>
            <w:tcBorders>
              <w:left w:val="double" w:color="auto" w:sz="4" w:space="0"/>
              <w:bottom w:val="sing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599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3．对该任课老师的教学工作满意。</w:t>
            </w:r>
          </w:p>
        </w:tc>
        <w:tc>
          <w:tcPr>
            <w:tcW w:w="733"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709" w:type="dxa"/>
            <w:gridSpan w:val="2"/>
            <w:tcBorders>
              <w:top w:val="single" w:color="auto" w:sz="4" w:space="0"/>
              <w:left w:val="double" w:color="auto" w:sz="4" w:space="0"/>
              <w:bottom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4"/>
              </w:rPr>
            </w:pPr>
            <w:r>
              <w:rPr>
                <w:rFonts w:hint="eastAsia" w:ascii="仿宋" w:hAnsi="仿宋" w:eastAsia="仿宋" w:cs="仿宋"/>
                <w:kern w:val="0"/>
                <w:sz w:val="24"/>
              </w:rPr>
              <w:t>合计平均分</w:t>
            </w:r>
          </w:p>
        </w:tc>
        <w:tc>
          <w:tcPr>
            <w:tcW w:w="733" w:type="dxa"/>
            <w:tcBorders>
              <w:top w:val="single" w:color="auto" w:sz="4" w:space="0"/>
              <w:left w:val="single" w:color="auto" w:sz="4" w:space="0"/>
              <w:bottom w:val="doub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=SUM(ABOVE) </w:instrText>
            </w:r>
            <w:r>
              <w:rPr>
                <w:rFonts w:hint="eastAsia" w:ascii="仿宋" w:hAnsi="仿宋" w:eastAsia="仿宋" w:cs="仿宋"/>
                <w:kern w:val="0"/>
                <w:szCs w:val="21"/>
              </w:rPr>
              <w:fldChar w:fldCharType="separate"/>
            </w:r>
            <w:r>
              <w:rPr>
                <w:rFonts w:hint="eastAsia" w:ascii="仿宋" w:hAnsi="仿宋" w:eastAsia="仿宋" w:cs="仿宋"/>
                <w:kern w:val="0"/>
                <w:szCs w:val="21"/>
              </w:rPr>
              <w:t>100</w:t>
            </w:r>
            <w:r>
              <w:rPr>
                <w:rFonts w:hint="eastAsia" w:ascii="仿宋" w:hAnsi="仿宋" w:eastAsia="仿宋" w:cs="仿宋"/>
                <w:kern w:val="0"/>
                <w:szCs w:val="21"/>
              </w:rPr>
              <w:fldChar w:fldCharType="end"/>
            </w:r>
          </w:p>
        </w:tc>
      </w:tr>
    </w:tbl>
    <w:p>
      <w:pPr>
        <w:pageBreakBefore w:val="0"/>
        <w:widowControl/>
        <w:topLinePunct w:val="0"/>
        <w:bidi w:val="0"/>
        <w:jc w:val="left"/>
        <w:outlineLvl w:val="9"/>
        <w:rPr>
          <w:rFonts w:ascii="仿宋" w:hAnsi="仿宋" w:eastAsia="仿宋" w:cs="仿宋"/>
          <w:kern w:val="0"/>
          <w:sz w:val="24"/>
        </w:rPr>
      </w:pPr>
    </w:p>
    <w:p>
      <w:pPr>
        <w:pageBreakBefore w:val="0"/>
        <w:widowControl/>
        <w:topLinePunct w:val="0"/>
        <w:bidi w:val="0"/>
        <w:jc w:val="left"/>
        <w:outlineLvl w:val="9"/>
        <w:rPr>
          <w:rFonts w:ascii="仿宋" w:hAnsi="仿宋" w:eastAsia="仿宋" w:cs="仿宋"/>
          <w:kern w:val="0"/>
          <w:sz w:val="24"/>
        </w:rPr>
      </w:pPr>
      <w:r>
        <w:rPr>
          <w:rFonts w:hint="eastAsia" w:ascii="仿宋" w:hAnsi="仿宋" w:eastAsia="仿宋" w:cs="仿宋"/>
          <w:kern w:val="0"/>
          <w:sz w:val="24"/>
        </w:rPr>
        <w:t>本表按四等12级填写。</w:t>
      </w:r>
    </w:p>
    <w:tbl>
      <w:tblPr>
        <w:tblStyle w:val="37"/>
        <w:tblW w:w="858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621"/>
        <w:gridCol w:w="622"/>
        <w:gridCol w:w="621"/>
        <w:gridCol w:w="621"/>
        <w:gridCol w:w="620"/>
        <w:gridCol w:w="621"/>
        <w:gridCol w:w="621"/>
        <w:gridCol w:w="620"/>
        <w:gridCol w:w="621"/>
        <w:gridCol w:w="620"/>
        <w:gridCol w:w="621"/>
        <w:gridCol w:w="62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dxa"/>
            <w:tcBorders>
              <w:top w:val="doub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四等</w:t>
            </w:r>
          </w:p>
        </w:tc>
        <w:tc>
          <w:tcPr>
            <w:tcW w:w="1864" w:type="dxa"/>
            <w:gridSpan w:val="3"/>
            <w:tcBorders>
              <w:top w:val="doub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好</w:t>
            </w:r>
          </w:p>
        </w:tc>
        <w:tc>
          <w:tcPr>
            <w:tcW w:w="1862" w:type="dxa"/>
            <w:gridSpan w:val="3"/>
            <w:tcBorders>
              <w:top w:val="doub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较好</w:t>
            </w:r>
          </w:p>
        </w:tc>
        <w:tc>
          <w:tcPr>
            <w:tcW w:w="1862" w:type="dxa"/>
            <w:gridSpan w:val="3"/>
            <w:tcBorders>
              <w:top w:val="doub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一般</w:t>
            </w:r>
          </w:p>
        </w:tc>
        <w:tc>
          <w:tcPr>
            <w:tcW w:w="1862" w:type="dxa"/>
            <w:gridSpan w:val="3"/>
            <w:tcBorders>
              <w:top w:val="doub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较差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30" w:type="dxa"/>
            <w:vMerge w:val="restart"/>
            <w:tcBorders>
              <w:top w:val="single" w:color="auto" w:sz="4" w:space="0"/>
              <w:left w:val="double" w:color="auto" w:sz="4" w:space="0"/>
              <w:bottom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12级</w:t>
            </w:r>
          </w:p>
        </w:tc>
        <w:tc>
          <w:tcPr>
            <w:tcW w:w="62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A+</w:t>
            </w:r>
          </w:p>
        </w:tc>
        <w:tc>
          <w:tcPr>
            <w:tcW w:w="6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A</w:t>
            </w:r>
          </w:p>
        </w:tc>
        <w:tc>
          <w:tcPr>
            <w:tcW w:w="62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A-</w:t>
            </w:r>
          </w:p>
        </w:tc>
        <w:tc>
          <w:tcPr>
            <w:tcW w:w="62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B+</w:t>
            </w:r>
          </w:p>
        </w:tc>
        <w:tc>
          <w:tcPr>
            <w:tcW w:w="62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B</w:t>
            </w:r>
          </w:p>
        </w:tc>
        <w:tc>
          <w:tcPr>
            <w:tcW w:w="62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B-</w:t>
            </w:r>
          </w:p>
        </w:tc>
        <w:tc>
          <w:tcPr>
            <w:tcW w:w="621" w:type="dxa"/>
            <w:tcBorders>
              <w:top w:val="single" w:color="auto" w:sz="4" w:space="0"/>
              <w:left w:val="single" w:color="auto" w:sz="4" w:space="0"/>
              <w:bottom w:val="single" w:color="auto" w:sz="4" w:space="0"/>
              <w:right w:val="single" w:color="auto" w:sz="4" w:space="0"/>
            </w:tcBorders>
            <w:noWrap w:val="0"/>
            <w:vAlign w:val="bottom"/>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C+</w:t>
            </w:r>
          </w:p>
        </w:tc>
        <w:tc>
          <w:tcPr>
            <w:tcW w:w="62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C</w:t>
            </w:r>
          </w:p>
        </w:tc>
        <w:tc>
          <w:tcPr>
            <w:tcW w:w="62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C-</w:t>
            </w:r>
          </w:p>
        </w:tc>
        <w:tc>
          <w:tcPr>
            <w:tcW w:w="62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D+</w:t>
            </w:r>
          </w:p>
        </w:tc>
        <w:tc>
          <w:tcPr>
            <w:tcW w:w="62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D</w:t>
            </w:r>
          </w:p>
        </w:tc>
        <w:tc>
          <w:tcPr>
            <w:tcW w:w="621" w:type="dxa"/>
            <w:tcBorders>
              <w:top w:val="single" w:color="auto" w:sz="4" w:space="0"/>
              <w:left w:val="sing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D-</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30" w:type="dxa"/>
            <w:vMerge w:val="continue"/>
            <w:tcBorders>
              <w:top w:val="single" w:color="auto" w:sz="4" w:space="0"/>
              <w:left w:val="double" w:color="auto" w:sz="4" w:space="0"/>
              <w:bottom w:val="double" w:color="auto" w:sz="4" w:space="0"/>
              <w:right w:val="single" w:color="auto" w:sz="4" w:space="0"/>
            </w:tcBorders>
            <w:noWrap w:val="0"/>
            <w:vAlign w:val="center"/>
          </w:tcPr>
          <w:p>
            <w:pPr>
              <w:pageBreakBefore w:val="0"/>
              <w:widowControl/>
              <w:topLinePunct w:val="0"/>
              <w:bidi w:val="0"/>
              <w:jc w:val="left"/>
              <w:outlineLvl w:val="9"/>
              <w:rPr>
                <w:rFonts w:ascii="仿宋" w:hAnsi="仿宋" w:eastAsia="仿宋" w:cs="仿宋"/>
                <w:kern w:val="0"/>
                <w:szCs w:val="21"/>
              </w:rPr>
            </w:pPr>
          </w:p>
        </w:tc>
        <w:tc>
          <w:tcPr>
            <w:tcW w:w="621" w:type="dxa"/>
            <w:tcBorders>
              <w:top w:val="single" w:color="auto" w:sz="4" w:space="0"/>
              <w:left w:val="single" w:color="auto" w:sz="4" w:space="0"/>
              <w:bottom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100</w:t>
            </w:r>
          </w:p>
        </w:tc>
        <w:tc>
          <w:tcPr>
            <w:tcW w:w="622" w:type="dxa"/>
            <w:tcBorders>
              <w:top w:val="single" w:color="auto" w:sz="4" w:space="0"/>
              <w:left w:val="single" w:color="auto" w:sz="4" w:space="0"/>
              <w:bottom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95</w:t>
            </w:r>
          </w:p>
        </w:tc>
        <w:tc>
          <w:tcPr>
            <w:tcW w:w="621" w:type="dxa"/>
            <w:tcBorders>
              <w:top w:val="single" w:color="auto" w:sz="4" w:space="0"/>
              <w:left w:val="single" w:color="auto" w:sz="4" w:space="0"/>
              <w:bottom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90</w:t>
            </w:r>
          </w:p>
        </w:tc>
        <w:tc>
          <w:tcPr>
            <w:tcW w:w="621" w:type="dxa"/>
            <w:tcBorders>
              <w:top w:val="single" w:color="auto" w:sz="4" w:space="0"/>
              <w:left w:val="single" w:color="auto" w:sz="4" w:space="0"/>
              <w:bottom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85</w:t>
            </w:r>
          </w:p>
        </w:tc>
        <w:tc>
          <w:tcPr>
            <w:tcW w:w="620" w:type="dxa"/>
            <w:tcBorders>
              <w:top w:val="single" w:color="auto" w:sz="4" w:space="0"/>
              <w:left w:val="single" w:color="auto" w:sz="4" w:space="0"/>
              <w:bottom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80</w:t>
            </w:r>
          </w:p>
        </w:tc>
        <w:tc>
          <w:tcPr>
            <w:tcW w:w="621" w:type="dxa"/>
            <w:tcBorders>
              <w:top w:val="single" w:color="auto" w:sz="4" w:space="0"/>
              <w:left w:val="single" w:color="auto" w:sz="4" w:space="0"/>
              <w:bottom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75</w:t>
            </w:r>
          </w:p>
        </w:tc>
        <w:tc>
          <w:tcPr>
            <w:tcW w:w="621" w:type="dxa"/>
            <w:tcBorders>
              <w:top w:val="single" w:color="auto" w:sz="4" w:space="0"/>
              <w:left w:val="single" w:color="auto" w:sz="4" w:space="0"/>
              <w:bottom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70</w:t>
            </w:r>
          </w:p>
        </w:tc>
        <w:tc>
          <w:tcPr>
            <w:tcW w:w="620" w:type="dxa"/>
            <w:tcBorders>
              <w:top w:val="single" w:color="auto" w:sz="4" w:space="0"/>
              <w:left w:val="single" w:color="auto" w:sz="4" w:space="0"/>
              <w:bottom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65</w:t>
            </w:r>
          </w:p>
        </w:tc>
        <w:tc>
          <w:tcPr>
            <w:tcW w:w="621" w:type="dxa"/>
            <w:tcBorders>
              <w:top w:val="single" w:color="auto" w:sz="4" w:space="0"/>
              <w:left w:val="single" w:color="auto" w:sz="4" w:space="0"/>
              <w:bottom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60</w:t>
            </w:r>
          </w:p>
        </w:tc>
        <w:tc>
          <w:tcPr>
            <w:tcW w:w="620" w:type="dxa"/>
            <w:tcBorders>
              <w:top w:val="single" w:color="auto" w:sz="4" w:space="0"/>
              <w:left w:val="single" w:color="auto" w:sz="4" w:space="0"/>
              <w:bottom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55</w:t>
            </w:r>
          </w:p>
        </w:tc>
        <w:tc>
          <w:tcPr>
            <w:tcW w:w="621" w:type="dxa"/>
            <w:tcBorders>
              <w:top w:val="single" w:color="auto" w:sz="4" w:space="0"/>
              <w:left w:val="single" w:color="auto" w:sz="4" w:space="0"/>
              <w:bottom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50</w:t>
            </w:r>
          </w:p>
        </w:tc>
        <w:tc>
          <w:tcPr>
            <w:tcW w:w="621" w:type="dxa"/>
            <w:tcBorders>
              <w:top w:val="single" w:color="auto" w:sz="4" w:space="0"/>
              <w:left w:val="single" w:color="auto" w:sz="4" w:space="0"/>
              <w:bottom w:val="doub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45</w:t>
            </w:r>
          </w:p>
        </w:tc>
      </w:tr>
    </w:tbl>
    <w:p>
      <w:pPr>
        <w:pageBreakBefore w:val="0"/>
        <w:topLinePunct w:val="0"/>
        <w:bidi w:val="0"/>
        <w:outlineLvl w:val="9"/>
        <w:rPr>
          <w:rFonts w:ascii="仿宋" w:hAnsi="仿宋" w:eastAsia="仿宋" w:cs="仿宋"/>
          <w:sz w:val="24"/>
        </w:rPr>
      </w:pPr>
    </w:p>
    <w:p>
      <w:pPr>
        <w:pageBreakBefore w:val="0"/>
        <w:topLinePunct w:val="0"/>
        <w:bidi w:val="0"/>
        <w:outlineLvl w:val="9"/>
        <w:rPr>
          <w:rFonts w:ascii="仿宋" w:hAnsi="仿宋" w:eastAsia="仿宋" w:cs="仿宋"/>
          <w:sz w:val="24"/>
        </w:rPr>
      </w:pPr>
    </w:p>
    <w:p>
      <w:pPr>
        <w:pageBreakBefore w:val="0"/>
        <w:widowControl/>
        <w:topLinePunct w:val="0"/>
        <w:bidi w:val="0"/>
        <w:outlineLvl w:val="9"/>
        <w:rPr>
          <w:rFonts w:ascii="仿宋" w:hAnsi="仿宋" w:eastAsia="仿宋" w:cs="仿宋"/>
          <w:color w:val="000000"/>
          <w:sz w:val="24"/>
        </w:rPr>
      </w:pPr>
    </w:p>
    <w:p>
      <w:pPr>
        <w:pageBreakBefore w:val="0"/>
        <w:widowControl/>
        <w:tabs>
          <w:tab w:val="left" w:pos="5790"/>
        </w:tabs>
        <w:topLinePunct w:val="0"/>
        <w:bidi w:val="0"/>
        <w:outlineLvl w:val="9"/>
        <w:rPr>
          <w:rFonts w:ascii="仿宋" w:hAnsi="仿宋" w:eastAsia="仿宋" w:cs="仿宋"/>
          <w:sz w:val="24"/>
        </w:rPr>
      </w:pPr>
      <w:r>
        <w:rPr>
          <w:rFonts w:ascii="仿宋" w:hAnsi="仿宋" w:eastAsia="仿宋" w:cs="仿宋"/>
          <w:sz w:val="24"/>
        </w:rPr>
        <w:tab/>
      </w:r>
    </w:p>
    <w:p>
      <w:pPr>
        <w:pageBreakBefore w:val="0"/>
        <w:widowControl/>
        <w:topLinePunct w:val="0"/>
        <w:bidi w:val="0"/>
        <w:outlineLvl w:val="9"/>
        <w:rPr>
          <w:rFonts w:ascii="仿宋" w:hAnsi="仿宋" w:eastAsia="仿宋" w:cs="仿宋"/>
          <w:bCs/>
          <w:kern w:val="0"/>
          <w:sz w:val="24"/>
        </w:rPr>
      </w:pPr>
      <w:r>
        <w:rPr>
          <w:rFonts w:hint="eastAsia" w:ascii="仿宋" w:hAnsi="仿宋" w:eastAsia="仿宋" w:cs="仿宋"/>
          <w:sz w:val="24"/>
        </w:rPr>
        <w:br w:type="page"/>
      </w:r>
      <w:r>
        <w:rPr>
          <w:rFonts w:hint="eastAsia" w:ascii="仿宋" w:hAnsi="仿宋" w:eastAsia="仿宋" w:cs="仿宋"/>
          <w:color w:val="000000"/>
          <w:sz w:val="28"/>
          <w:szCs w:val="28"/>
        </w:rPr>
        <w:t>附件9</w:t>
      </w:r>
    </w:p>
    <w:p>
      <w:pPr>
        <w:pageBreakBefore w:val="0"/>
        <w:topLinePunct w:val="0"/>
        <w:bidi w:val="0"/>
        <w:jc w:val="center"/>
        <w:outlineLvl w:val="9"/>
        <w:rPr>
          <w:rFonts w:ascii="仿宋" w:hAnsi="仿宋" w:eastAsia="仿宋" w:cs="仿宋"/>
          <w:sz w:val="28"/>
          <w:szCs w:val="28"/>
        </w:rPr>
      </w:pPr>
      <w:r>
        <w:rPr>
          <w:rFonts w:hint="eastAsia" w:ascii="仿宋" w:hAnsi="仿宋" w:eastAsia="仿宋" w:cs="仿宋"/>
          <w:sz w:val="28"/>
          <w:szCs w:val="28"/>
        </w:rPr>
        <w:t>学生问卷调查表（实践教学）</w:t>
      </w:r>
    </w:p>
    <w:p>
      <w:pPr>
        <w:pageBreakBefore w:val="0"/>
        <w:widowControl/>
        <w:topLinePunct w:val="0"/>
        <w:bidi w:val="0"/>
        <w:jc w:val="center"/>
        <w:outlineLvl w:val="9"/>
        <w:rPr>
          <w:rFonts w:ascii="仿宋" w:hAnsi="仿宋" w:eastAsia="仿宋" w:cs="仿宋"/>
          <w:bCs/>
          <w:kern w:val="0"/>
          <w:sz w:val="18"/>
          <w:szCs w:val="18"/>
        </w:rPr>
      </w:pPr>
    </w:p>
    <w:tbl>
      <w:tblPr>
        <w:tblStyle w:val="37"/>
        <w:tblW w:w="8593" w:type="dxa"/>
        <w:jc w:val="center"/>
        <w:tblLayout w:type="fixed"/>
        <w:tblCellMar>
          <w:top w:w="0" w:type="dxa"/>
          <w:left w:w="108" w:type="dxa"/>
          <w:bottom w:w="0" w:type="dxa"/>
          <w:right w:w="108" w:type="dxa"/>
        </w:tblCellMar>
      </w:tblPr>
      <w:tblGrid>
        <w:gridCol w:w="1564"/>
        <w:gridCol w:w="6220"/>
        <w:gridCol w:w="809"/>
      </w:tblGrid>
      <w:tr>
        <w:tblPrEx>
          <w:tblCellMar>
            <w:top w:w="0" w:type="dxa"/>
            <w:left w:w="108" w:type="dxa"/>
            <w:bottom w:w="0" w:type="dxa"/>
            <w:right w:w="108" w:type="dxa"/>
          </w:tblCellMar>
        </w:tblPrEx>
        <w:trPr>
          <w:trHeight w:val="567" w:hRule="atLeast"/>
          <w:jc w:val="center"/>
        </w:trPr>
        <w:tc>
          <w:tcPr>
            <w:tcW w:w="8593" w:type="dxa"/>
            <w:gridSpan w:val="3"/>
            <w:tcBorders>
              <w:top w:val="double" w:color="auto" w:sz="4" w:space="0"/>
              <w:left w:val="double" w:color="auto" w:sz="4" w:space="0"/>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 w:val="24"/>
              </w:rPr>
            </w:pPr>
            <w:r>
              <w:rPr>
                <w:rFonts w:hint="eastAsia" w:ascii="仿宋" w:hAnsi="仿宋" w:eastAsia="仿宋" w:cs="仿宋"/>
                <w:kern w:val="0"/>
                <w:sz w:val="24"/>
              </w:rPr>
              <w:t>考核指标及内涵</w:t>
            </w:r>
          </w:p>
        </w:tc>
      </w:tr>
      <w:tr>
        <w:tblPrEx>
          <w:tblCellMar>
            <w:top w:w="0" w:type="dxa"/>
            <w:left w:w="108" w:type="dxa"/>
            <w:bottom w:w="0" w:type="dxa"/>
            <w:right w:w="108" w:type="dxa"/>
          </w:tblCellMar>
        </w:tblPrEx>
        <w:trPr>
          <w:trHeight w:val="454" w:hRule="atLeast"/>
          <w:jc w:val="center"/>
        </w:trPr>
        <w:tc>
          <w:tcPr>
            <w:tcW w:w="1564" w:type="dxa"/>
            <w:tcBorders>
              <w:top w:val="single" w:color="auto" w:sz="4" w:space="0"/>
              <w:left w:val="doub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指标名称</w:t>
            </w: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参照标准（B）</w:t>
            </w:r>
          </w:p>
        </w:tc>
        <w:tc>
          <w:tcPr>
            <w:tcW w:w="809" w:type="dxa"/>
            <w:tcBorders>
              <w:top w:val="single" w:color="auto" w:sz="4" w:space="0"/>
              <w:left w:val="nil"/>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分值</w:t>
            </w:r>
          </w:p>
        </w:tc>
      </w:tr>
      <w:tr>
        <w:tblPrEx>
          <w:tblCellMar>
            <w:top w:w="0" w:type="dxa"/>
            <w:left w:w="108" w:type="dxa"/>
            <w:bottom w:w="0" w:type="dxa"/>
            <w:right w:w="108" w:type="dxa"/>
          </w:tblCellMar>
        </w:tblPrEx>
        <w:trPr>
          <w:trHeight w:val="397" w:hRule="atLeast"/>
          <w:jc w:val="center"/>
        </w:trPr>
        <w:tc>
          <w:tcPr>
            <w:tcW w:w="1564" w:type="dxa"/>
            <w:vMerge w:val="restart"/>
            <w:tcBorders>
              <w:top w:val="single" w:color="auto" w:sz="4" w:space="0"/>
              <w:left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教学基本素养</w:t>
            </w:r>
          </w:p>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（25）</w:t>
            </w:r>
          </w:p>
        </w:tc>
        <w:tc>
          <w:tcPr>
            <w:tcW w:w="6220" w:type="dxa"/>
            <w:tcBorders>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1．仪态大方，衣着整洁得体，为人师表；</w:t>
            </w:r>
          </w:p>
        </w:tc>
        <w:tc>
          <w:tcPr>
            <w:tcW w:w="809" w:type="dxa"/>
            <w:tcBorders>
              <w:top w:val="single" w:color="auto" w:sz="4" w:space="0"/>
              <w:left w:val="nil"/>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w:t>
            </w:r>
          </w:p>
        </w:tc>
      </w:tr>
      <w:tr>
        <w:tblPrEx>
          <w:tblCellMar>
            <w:top w:w="0" w:type="dxa"/>
            <w:left w:w="108" w:type="dxa"/>
            <w:bottom w:w="0" w:type="dxa"/>
            <w:right w:w="108" w:type="dxa"/>
          </w:tblCellMar>
        </w:tblPrEx>
        <w:trPr>
          <w:trHeight w:val="397" w:hRule="atLeast"/>
          <w:jc w:val="center"/>
        </w:trPr>
        <w:tc>
          <w:tcPr>
            <w:tcW w:w="1564" w:type="dxa"/>
            <w:vMerge w:val="continue"/>
            <w:tcBorders>
              <w:left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2．预备铃前做好授课准备，教学准备充分，不迟到早退；</w:t>
            </w:r>
          </w:p>
        </w:tc>
        <w:tc>
          <w:tcPr>
            <w:tcW w:w="809" w:type="dxa"/>
            <w:tcBorders>
              <w:top w:val="single" w:color="auto" w:sz="4" w:space="0"/>
              <w:left w:val="nil"/>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w:t>
            </w:r>
          </w:p>
        </w:tc>
      </w:tr>
      <w:tr>
        <w:tblPrEx>
          <w:tblCellMar>
            <w:top w:w="0" w:type="dxa"/>
            <w:left w:w="108" w:type="dxa"/>
            <w:bottom w:w="0" w:type="dxa"/>
            <w:right w:w="108" w:type="dxa"/>
          </w:tblCellMar>
        </w:tblPrEx>
        <w:trPr>
          <w:trHeight w:val="397" w:hRule="atLeast"/>
          <w:jc w:val="center"/>
        </w:trPr>
        <w:tc>
          <w:tcPr>
            <w:tcW w:w="1564" w:type="dxa"/>
            <w:vMerge w:val="continue"/>
            <w:tcBorders>
              <w:left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3．教态亲切自然，语言文字规范、讲普通话，无违背党和国家方针政策的言行</w:t>
            </w:r>
            <w:r>
              <w:rPr>
                <w:rFonts w:hint="eastAsia" w:ascii="仿宋" w:hAnsi="仿宋" w:eastAsia="仿宋" w:cs="仿宋"/>
                <w:bCs/>
                <w:color w:val="000000"/>
                <w:szCs w:val="21"/>
              </w:rPr>
              <w:t>，无师德失范行为</w:t>
            </w:r>
            <w:r>
              <w:rPr>
                <w:rFonts w:hint="eastAsia" w:ascii="仿宋" w:hAnsi="仿宋" w:eastAsia="仿宋" w:cs="仿宋"/>
                <w:kern w:val="0"/>
                <w:szCs w:val="21"/>
              </w:rPr>
              <w:t>；</w:t>
            </w:r>
          </w:p>
        </w:tc>
        <w:tc>
          <w:tcPr>
            <w:tcW w:w="809" w:type="dxa"/>
            <w:tcBorders>
              <w:top w:val="single" w:color="auto" w:sz="4" w:space="0"/>
              <w:left w:val="nil"/>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7</w:t>
            </w:r>
          </w:p>
        </w:tc>
      </w:tr>
      <w:tr>
        <w:tblPrEx>
          <w:tblCellMar>
            <w:top w:w="0" w:type="dxa"/>
            <w:left w:w="108" w:type="dxa"/>
            <w:bottom w:w="0" w:type="dxa"/>
            <w:right w:w="108" w:type="dxa"/>
          </w:tblCellMar>
        </w:tblPrEx>
        <w:trPr>
          <w:trHeight w:val="397" w:hRule="atLeast"/>
          <w:jc w:val="center"/>
        </w:trPr>
        <w:tc>
          <w:tcPr>
            <w:tcW w:w="1564" w:type="dxa"/>
            <w:vMerge w:val="continue"/>
            <w:tcBorders>
              <w:left w:val="doub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p>
        </w:tc>
        <w:tc>
          <w:tcPr>
            <w:tcW w:w="6220"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4．关心学生、循循善诱。</w:t>
            </w:r>
          </w:p>
        </w:tc>
        <w:tc>
          <w:tcPr>
            <w:tcW w:w="809" w:type="dxa"/>
            <w:tcBorders>
              <w:top w:val="single" w:color="auto" w:sz="4" w:space="0"/>
              <w:left w:val="nil"/>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w:t>
            </w:r>
          </w:p>
        </w:tc>
      </w:tr>
      <w:tr>
        <w:tblPrEx>
          <w:tblCellMar>
            <w:top w:w="0" w:type="dxa"/>
            <w:left w:w="108" w:type="dxa"/>
            <w:bottom w:w="0" w:type="dxa"/>
            <w:right w:w="108" w:type="dxa"/>
          </w:tblCellMar>
        </w:tblPrEx>
        <w:trPr>
          <w:trHeight w:val="397" w:hRule="atLeast"/>
          <w:jc w:val="center"/>
        </w:trPr>
        <w:tc>
          <w:tcPr>
            <w:tcW w:w="1564" w:type="dxa"/>
            <w:vMerge w:val="restart"/>
            <w:tcBorders>
              <w:top w:val="single" w:color="auto" w:sz="4" w:space="0"/>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现场讲授</w:t>
            </w:r>
          </w:p>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（12）</w:t>
            </w:r>
          </w:p>
        </w:tc>
        <w:tc>
          <w:tcPr>
            <w:tcW w:w="6220" w:type="dxa"/>
            <w:tcBorders>
              <w:top w:val="single" w:color="auto" w:sz="4" w:space="0"/>
              <w:left w:val="nil"/>
              <w:bottom w:val="single" w:color="auto" w:sz="4" w:space="0"/>
              <w:right w:val="single" w:color="auto" w:sz="4" w:space="0"/>
            </w:tcBorders>
            <w:noWrap w:val="0"/>
            <w:vAlign w:val="center"/>
          </w:tcPr>
          <w:p>
            <w:pPr>
              <w:pageBreakBefore w:val="0"/>
              <w:topLinePunct w:val="0"/>
              <w:bidi w:val="0"/>
              <w:outlineLvl w:val="9"/>
              <w:rPr>
                <w:rFonts w:ascii="仿宋" w:hAnsi="仿宋" w:eastAsia="仿宋" w:cs="仿宋"/>
                <w:kern w:val="0"/>
                <w:szCs w:val="21"/>
              </w:rPr>
            </w:pPr>
            <w:r>
              <w:rPr>
                <w:rFonts w:hint="eastAsia" w:ascii="仿宋" w:hAnsi="仿宋" w:eastAsia="仿宋" w:cs="仿宋"/>
                <w:kern w:val="0"/>
                <w:szCs w:val="21"/>
              </w:rPr>
              <w:t>1．知识讲授生动，有吸引力；</w:t>
            </w:r>
          </w:p>
        </w:tc>
        <w:tc>
          <w:tcPr>
            <w:tcW w:w="809" w:type="dxa"/>
            <w:tcBorders>
              <w:top w:val="single" w:color="auto" w:sz="4" w:space="0"/>
              <w:left w:val="nil"/>
              <w:bottom w:val="sing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w:t>
            </w:r>
          </w:p>
        </w:tc>
      </w:tr>
      <w:tr>
        <w:tblPrEx>
          <w:tblCellMar>
            <w:top w:w="0" w:type="dxa"/>
            <w:left w:w="108" w:type="dxa"/>
            <w:bottom w:w="0" w:type="dxa"/>
            <w:right w:w="108" w:type="dxa"/>
          </w:tblCellMar>
        </w:tblPrEx>
        <w:trPr>
          <w:trHeight w:val="397" w:hRule="atLeast"/>
          <w:jc w:val="center"/>
        </w:trPr>
        <w:tc>
          <w:tcPr>
            <w:tcW w:w="1564" w:type="dxa"/>
            <w:vMerge w:val="continue"/>
            <w:tcBorders>
              <w:left w:val="double" w:color="auto" w:sz="4" w:space="0"/>
              <w:bottom w:val="sing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6220" w:type="dxa"/>
            <w:tcBorders>
              <w:top w:val="single" w:color="auto" w:sz="4" w:space="0"/>
              <w:left w:val="nil"/>
              <w:bottom w:val="single" w:color="auto" w:sz="4" w:space="0"/>
              <w:right w:val="single" w:color="auto" w:sz="4" w:space="0"/>
            </w:tcBorders>
            <w:noWrap w:val="0"/>
            <w:vAlign w:val="center"/>
          </w:tcPr>
          <w:p>
            <w:pPr>
              <w:pageBreakBefore w:val="0"/>
              <w:topLinePunct w:val="0"/>
              <w:bidi w:val="0"/>
              <w:outlineLvl w:val="9"/>
              <w:rPr>
                <w:rFonts w:ascii="仿宋" w:hAnsi="仿宋" w:eastAsia="仿宋" w:cs="仿宋"/>
                <w:kern w:val="0"/>
                <w:szCs w:val="21"/>
              </w:rPr>
            </w:pPr>
            <w:r>
              <w:rPr>
                <w:rFonts w:hint="eastAsia" w:ascii="仿宋" w:hAnsi="仿宋" w:eastAsia="仿宋" w:cs="仿宋"/>
                <w:kern w:val="0"/>
                <w:szCs w:val="21"/>
              </w:rPr>
              <w:t>2．演示和操作技能熟练、正确、规范。</w:t>
            </w:r>
          </w:p>
        </w:tc>
        <w:tc>
          <w:tcPr>
            <w:tcW w:w="809" w:type="dxa"/>
            <w:tcBorders>
              <w:top w:val="single" w:color="auto" w:sz="4" w:space="0"/>
              <w:left w:val="nil"/>
              <w:bottom w:val="single" w:color="auto" w:sz="4" w:space="0"/>
              <w:right w:val="doub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w:t>
            </w:r>
          </w:p>
        </w:tc>
      </w:tr>
      <w:tr>
        <w:tblPrEx>
          <w:tblCellMar>
            <w:top w:w="0" w:type="dxa"/>
            <w:left w:w="108" w:type="dxa"/>
            <w:bottom w:w="0" w:type="dxa"/>
            <w:right w:w="108" w:type="dxa"/>
          </w:tblCellMar>
        </w:tblPrEx>
        <w:trPr>
          <w:trHeight w:val="397" w:hRule="atLeast"/>
          <w:jc w:val="center"/>
        </w:trPr>
        <w:tc>
          <w:tcPr>
            <w:tcW w:w="1564" w:type="dxa"/>
            <w:vMerge w:val="restart"/>
            <w:tcBorders>
              <w:top w:val="single" w:color="auto" w:sz="4" w:space="0"/>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技术指导</w:t>
            </w:r>
          </w:p>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（20）</w:t>
            </w:r>
          </w:p>
        </w:tc>
        <w:tc>
          <w:tcPr>
            <w:tcW w:w="6220" w:type="dxa"/>
            <w:tcBorders>
              <w:top w:val="single" w:color="auto" w:sz="4" w:space="0"/>
              <w:left w:val="nil"/>
              <w:bottom w:val="single" w:color="auto" w:sz="4" w:space="0"/>
              <w:right w:val="single" w:color="auto" w:sz="4" w:space="0"/>
            </w:tcBorders>
            <w:noWrap w:val="0"/>
            <w:vAlign w:val="center"/>
          </w:tcPr>
          <w:p>
            <w:pPr>
              <w:pageBreakBefore w:val="0"/>
              <w:topLinePunct w:val="0"/>
              <w:bidi w:val="0"/>
              <w:outlineLvl w:val="9"/>
              <w:rPr>
                <w:rFonts w:ascii="仿宋" w:hAnsi="仿宋" w:eastAsia="仿宋" w:cs="仿宋"/>
                <w:kern w:val="0"/>
                <w:szCs w:val="21"/>
              </w:rPr>
            </w:pPr>
            <w:r>
              <w:rPr>
                <w:rFonts w:hint="eastAsia" w:ascii="仿宋" w:hAnsi="仿宋" w:eastAsia="仿宋" w:cs="仿宋"/>
                <w:kern w:val="0"/>
                <w:szCs w:val="21"/>
              </w:rPr>
              <w:t>1．技术指导热情、耐心；</w:t>
            </w:r>
          </w:p>
        </w:tc>
        <w:tc>
          <w:tcPr>
            <w:tcW w:w="809" w:type="dxa"/>
            <w:tcBorders>
              <w:top w:val="single" w:color="auto" w:sz="4" w:space="0"/>
              <w:left w:val="nil"/>
              <w:bottom w:val="single" w:color="auto" w:sz="4" w:space="0"/>
              <w:right w:val="doub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651" w:hRule="atLeast"/>
          <w:jc w:val="center"/>
        </w:trPr>
        <w:tc>
          <w:tcPr>
            <w:tcW w:w="1564" w:type="dxa"/>
            <w:vMerge w:val="continue"/>
            <w:tcBorders>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6220" w:type="dxa"/>
            <w:tcBorders>
              <w:top w:val="single" w:color="auto" w:sz="4" w:space="0"/>
              <w:left w:val="nil"/>
              <w:bottom w:val="single" w:color="auto" w:sz="4" w:space="0"/>
              <w:right w:val="single" w:color="auto" w:sz="4" w:space="0"/>
            </w:tcBorders>
            <w:noWrap w:val="0"/>
            <w:vAlign w:val="center"/>
          </w:tcPr>
          <w:p>
            <w:pPr>
              <w:pageBreakBefore w:val="0"/>
              <w:topLinePunct w:val="0"/>
              <w:bidi w:val="0"/>
              <w:outlineLvl w:val="9"/>
              <w:rPr>
                <w:rFonts w:ascii="仿宋" w:hAnsi="仿宋" w:eastAsia="仿宋" w:cs="仿宋"/>
                <w:kern w:val="0"/>
                <w:szCs w:val="21"/>
              </w:rPr>
            </w:pPr>
            <w:r>
              <w:rPr>
                <w:rFonts w:hint="eastAsia" w:ascii="仿宋" w:hAnsi="仿宋" w:eastAsia="仿宋" w:cs="仿宋"/>
                <w:kern w:val="0"/>
                <w:szCs w:val="21"/>
              </w:rPr>
              <w:t>2．及时发现学生在技术上的差错，正确解答学生提出的技术问题，指导学生进行技术或技能交流；</w:t>
            </w:r>
          </w:p>
        </w:tc>
        <w:tc>
          <w:tcPr>
            <w:tcW w:w="809" w:type="dxa"/>
            <w:tcBorders>
              <w:top w:val="single" w:color="auto" w:sz="4" w:space="0"/>
              <w:left w:val="nil"/>
              <w:bottom w:val="single" w:color="auto" w:sz="4" w:space="0"/>
              <w:right w:val="doub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638" w:hRule="atLeast"/>
          <w:jc w:val="center"/>
        </w:trPr>
        <w:tc>
          <w:tcPr>
            <w:tcW w:w="1564" w:type="dxa"/>
            <w:vMerge w:val="continue"/>
            <w:tcBorders>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6220" w:type="dxa"/>
            <w:tcBorders>
              <w:top w:val="single" w:color="auto" w:sz="4" w:space="0"/>
              <w:left w:val="nil"/>
              <w:bottom w:val="single" w:color="auto" w:sz="4" w:space="0"/>
              <w:right w:val="single" w:color="auto" w:sz="4" w:space="0"/>
            </w:tcBorders>
            <w:noWrap w:val="0"/>
            <w:vAlign w:val="center"/>
          </w:tcPr>
          <w:p>
            <w:pPr>
              <w:pageBreakBefore w:val="0"/>
              <w:topLinePunct w:val="0"/>
              <w:bidi w:val="0"/>
              <w:outlineLvl w:val="9"/>
              <w:rPr>
                <w:rFonts w:ascii="仿宋" w:hAnsi="仿宋" w:eastAsia="仿宋" w:cs="仿宋"/>
                <w:kern w:val="0"/>
                <w:szCs w:val="21"/>
              </w:rPr>
            </w:pPr>
            <w:r>
              <w:rPr>
                <w:rFonts w:hint="eastAsia" w:ascii="仿宋" w:hAnsi="仿宋" w:eastAsia="仿宋" w:cs="仿宋"/>
                <w:kern w:val="0"/>
                <w:szCs w:val="21"/>
              </w:rPr>
              <w:t>3．重视培养学生的规范操作能力、获取和处理相关信息的能力、独立思考能力；</w:t>
            </w:r>
          </w:p>
        </w:tc>
        <w:tc>
          <w:tcPr>
            <w:tcW w:w="809" w:type="dxa"/>
            <w:tcBorders>
              <w:top w:val="single" w:color="auto" w:sz="4" w:space="0"/>
              <w:left w:val="nil"/>
              <w:bottom w:val="single" w:color="auto" w:sz="4" w:space="0"/>
              <w:right w:val="doub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397" w:hRule="atLeast"/>
          <w:jc w:val="center"/>
        </w:trPr>
        <w:tc>
          <w:tcPr>
            <w:tcW w:w="1564" w:type="dxa"/>
            <w:vMerge w:val="continue"/>
            <w:tcBorders>
              <w:left w:val="double" w:color="auto" w:sz="4" w:space="0"/>
              <w:bottom w:val="sing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6220" w:type="dxa"/>
            <w:tcBorders>
              <w:top w:val="single" w:color="auto" w:sz="4" w:space="0"/>
              <w:left w:val="nil"/>
              <w:bottom w:val="single" w:color="auto" w:sz="4" w:space="0"/>
              <w:right w:val="single" w:color="auto" w:sz="4" w:space="0"/>
            </w:tcBorders>
            <w:noWrap w:val="0"/>
            <w:vAlign w:val="center"/>
          </w:tcPr>
          <w:p>
            <w:pPr>
              <w:pageBreakBefore w:val="0"/>
              <w:topLinePunct w:val="0"/>
              <w:bidi w:val="0"/>
              <w:outlineLvl w:val="9"/>
              <w:rPr>
                <w:rFonts w:ascii="仿宋" w:hAnsi="仿宋" w:eastAsia="仿宋" w:cs="仿宋"/>
                <w:kern w:val="0"/>
                <w:szCs w:val="21"/>
              </w:rPr>
            </w:pPr>
            <w:r>
              <w:rPr>
                <w:rFonts w:hint="eastAsia" w:ascii="仿宋" w:hAnsi="仿宋" w:eastAsia="仿宋" w:cs="仿宋"/>
                <w:kern w:val="0"/>
                <w:szCs w:val="21"/>
              </w:rPr>
              <w:t>4．认真进行实训总结。</w:t>
            </w:r>
          </w:p>
        </w:tc>
        <w:tc>
          <w:tcPr>
            <w:tcW w:w="809" w:type="dxa"/>
            <w:tcBorders>
              <w:top w:val="single" w:color="auto" w:sz="4" w:space="0"/>
              <w:left w:val="nil"/>
              <w:bottom w:val="single" w:color="auto" w:sz="4" w:space="0"/>
              <w:right w:val="doub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397" w:hRule="atLeast"/>
          <w:jc w:val="center"/>
        </w:trPr>
        <w:tc>
          <w:tcPr>
            <w:tcW w:w="1564" w:type="dxa"/>
            <w:vMerge w:val="restart"/>
            <w:tcBorders>
              <w:top w:val="single" w:color="auto" w:sz="4" w:space="0"/>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常规管理</w:t>
            </w:r>
          </w:p>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（25）</w:t>
            </w:r>
          </w:p>
        </w:tc>
        <w:tc>
          <w:tcPr>
            <w:tcW w:w="6220" w:type="dxa"/>
            <w:tcBorders>
              <w:top w:val="single" w:color="auto" w:sz="4" w:space="0"/>
              <w:left w:val="nil"/>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1．根据学生群体特点，因材施教；</w:t>
            </w:r>
          </w:p>
        </w:tc>
        <w:tc>
          <w:tcPr>
            <w:tcW w:w="809" w:type="dxa"/>
            <w:tcBorders>
              <w:top w:val="single" w:color="auto" w:sz="4" w:space="0"/>
              <w:left w:val="nil"/>
              <w:bottom w:val="single" w:color="auto" w:sz="4" w:space="0"/>
              <w:right w:val="doub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8</w:t>
            </w:r>
          </w:p>
        </w:tc>
      </w:tr>
      <w:tr>
        <w:tblPrEx>
          <w:tblCellMar>
            <w:top w:w="0" w:type="dxa"/>
            <w:left w:w="108" w:type="dxa"/>
            <w:bottom w:w="0" w:type="dxa"/>
            <w:right w:w="108" w:type="dxa"/>
          </w:tblCellMar>
        </w:tblPrEx>
        <w:trPr>
          <w:trHeight w:val="397" w:hRule="atLeast"/>
          <w:jc w:val="center"/>
        </w:trPr>
        <w:tc>
          <w:tcPr>
            <w:tcW w:w="1564" w:type="dxa"/>
            <w:vMerge w:val="continue"/>
            <w:tcBorders>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6220" w:type="dxa"/>
            <w:tcBorders>
              <w:top w:val="single" w:color="auto" w:sz="4" w:space="0"/>
              <w:left w:val="nil"/>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2．严格执行规章制度，实训现场秩序好；</w:t>
            </w:r>
          </w:p>
        </w:tc>
        <w:tc>
          <w:tcPr>
            <w:tcW w:w="809" w:type="dxa"/>
            <w:tcBorders>
              <w:top w:val="single" w:color="auto" w:sz="4" w:space="0"/>
              <w:left w:val="nil"/>
              <w:bottom w:val="single" w:color="auto" w:sz="4" w:space="0"/>
              <w:right w:val="doub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397" w:hRule="atLeast"/>
          <w:jc w:val="center"/>
        </w:trPr>
        <w:tc>
          <w:tcPr>
            <w:tcW w:w="1564" w:type="dxa"/>
            <w:vMerge w:val="continue"/>
            <w:tcBorders>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6220" w:type="dxa"/>
            <w:tcBorders>
              <w:top w:val="single" w:color="auto" w:sz="4" w:space="0"/>
              <w:left w:val="nil"/>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3．学业评价公正、合理；</w:t>
            </w:r>
          </w:p>
        </w:tc>
        <w:tc>
          <w:tcPr>
            <w:tcW w:w="809" w:type="dxa"/>
            <w:tcBorders>
              <w:top w:val="single" w:color="auto" w:sz="4" w:space="0"/>
              <w:left w:val="nil"/>
              <w:bottom w:val="single" w:color="auto" w:sz="4" w:space="0"/>
              <w:right w:val="doub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397" w:hRule="atLeast"/>
          <w:jc w:val="center"/>
        </w:trPr>
        <w:tc>
          <w:tcPr>
            <w:tcW w:w="1564" w:type="dxa"/>
            <w:vMerge w:val="continue"/>
            <w:tcBorders>
              <w:left w:val="double" w:color="auto" w:sz="4" w:space="0"/>
              <w:bottom w:val="sing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6220" w:type="dxa"/>
            <w:tcBorders>
              <w:top w:val="single" w:color="auto" w:sz="4" w:space="0"/>
              <w:left w:val="nil"/>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4．注重职业道德教育，能进行质量、安全、环保等教育。</w:t>
            </w:r>
          </w:p>
        </w:tc>
        <w:tc>
          <w:tcPr>
            <w:tcW w:w="809" w:type="dxa"/>
            <w:tcBorders>
              <w:top w:val="single" w:color="auto" w:sz="4" w:space="0"/>
              <w:left w:val="nil"/>
              <w:bottom w:val="single" w:color="auto" w:sz="4" w:space="0"/>
              <w:right w:val="doub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7</w:t>
            </w:r>
          </w:p>
        </w:tc>
      </w:tr>
      <w:tr>
        <w:tblPrEx>
          <w:tblCellMar>
            <w:top w:w="0" w:type="dxa"/>
            <w:left w:w="108" w:type="dxa"/>
            <w:bottom w:w="0" w:type="dxa"/>
            <w:right w:w="108" w:type="dxa"/>
          </w:tblCellMar>
        </w:tblPrEx>
        <w:trPr>
          <w:trHeight w:val="397" w:hRule="atLeast"/>
          <w:jc w:val="center"/>
        </w:trPr>
        <w:tc>
          <w:tcPr>
            <w:tcW w:w="1564" w:type="dxa"/>
            <w:vMerge w:val="restart"/>
            <w:tcBorders>
              <w:top w:val="single" w:color="auto" w:sz="4" w:space="0"/>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教学效果</w:t>
            </w:r>
          </w:p>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（18）</w:t>
            </w:r>
          </w:p>
        </w:tc>
        <w:tc>
          <w:tcPr>
            <w:tcW w:w="6220" w:type="dxa"/>
            <w:tcBorders>
              <w:top w:val="single" w:color="auto" w:sz="4" w:space="0"/>
              <w:left w:val="nil"/>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1．上课听得懂、能理解、看得清、学得会；</w:t>
            </w:r>
          </w:p>
        </w:tc>
        <w:tc>
          <w:tcPr>
            <w:tcW w:w="809" w:type="dxa"/>
            <w:tcBorders>
              <w:top w:val="single" w:color="auto" w:sz="4" w:space="0"/>
              <w:left w:val="nil"/>
              <w:bottom w:val="single" w:color="auto" w:sz="4" w:space="0"/>
              <w:right w:val="doub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8</w:t>
            </w:r>
          </w:p>
        </w:tc>
      </w:tr>
      <w:tr>
        <w:tblPrEx>
          <w:tblCellMar>
            <w:top w:w="0" w:type="dxa"/>
            <w:left w:w="108" w:type="dxa"/>
            <w:bottom w:w="0" w:type="dxa"/>
            <w:right w:w="108" w:type="dxa"/>
          </w:tblCellMar>
        </w:tblPrEx>
        <w:trPr>
          <w:trHeight w:val="397" w:hRule="atLeast"/>
          <w:jc w:val="center"/>
        </w:trPr>
        <w:tc>
          <w:tcPr>
            <w:tcW w:w="1564" w:type="dxa"/>
            <w:vMerge w:val="continue"/>
            <w:tcBorders>
              <w:left w:val="doub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6220" w:type="dxa"/>
            <w:tcBorders>
              <w:top w:val="single" w:color="auto" w:sz="4" w:space="0"/>
              <w:left w:val="nil"/>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2．能运用所学知识和技能分析、解决实际问题；</w:t>
            </w:r>
          </w:p>
        </w:tc>
        <w:tc>
          <w:tcPr>
            <w:tcW w:w="809" w:type="dxa"/>
            <w:tcBorders>
              <w:top w:val="single" w:color="auto" w:sz="4" w:space="0"/>
              <w:left w:val="nil"/>
              <w:bottom w:val="single" w:color="auto" w:sz="4" w:space="0"/>
              <w:right w:val="doub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397" w:hRule="atLeast"/>
          <w:jc w:val="center"/>
        </w:trPr>
        <w:tc>
          <w:tcPr>
            <w:tcW w:w="1564" w:type="dxa"/>
            <w:vMerge w:val="continue"/>
            <w:tcBorders>
              <w:left w:val="double" w:color="auto" w:sz="4" w:space="0"/>
              <w:bottom w:val="single" w:color="auto" w:sz="4" w:space="0"/>
              <w:right w:val="single" w:color="auto" w:sz="4" w:space="0"/>
            </w:tcBorders>
            <w:noWrap w:val="0"/>
            <w:vAlign w:val="center"/>
          </w:tcPr>
          <w:p>
            <w:pPr>
              <w:pageBreakBefore w:val="0"/>
              <w:topLinePunct w:val="0"/>
              <w:bidi w:val="0"/>
              <w:jc w:val="center"/>
              <w:outlineLvl w:val="9"/>
              <w:rPr>
                <w:rFonts w:ascii="仿宋" w:hAnsi="仿宋" w:eastAsia="仿宋" w:cs="仿宋"/>
                <w:kern w:val="0"/>
                <w:szCs w:val="21"/>
              </w:rPr>
            </w:pPr>
          </w:p>
        </w:tc>
        <w:tc>
          <w:tcPr>
            <w:tcW w:w="6220" w:type="dxa"/>
            <w:tcBorders>
              <w:top w:val="single" w:color="auto" w:sz="4" w:space="0"/>
              <w:left w:val="nil"/>
              <w:bottom w:val="single" w:color="auto" w:sz="4" w:space="0"/>
              <w:right w:val="single" w:color="auto" w:sz="4" w:space="0"/>
            </w:tcBorders>
            <w:noWrap w:val="0"/>
            <w:vAlign w:val="center"/>
          </w:tcPr>
          <w:p>
            <w:pPr>
              <w:pageBreakBefore w:val="0"/>
              <w:topLinePunct w:val="0"/>
              <w:bidi w:val="0"/>
              <w:jc w:val="left"/>
              <w:outlineLvl w:val="9"/>
              <w:rPr>
                <w:rFonts w:ascii="仿宋" w:hAnsi="仿宋" w:eastAsia="仿宋" w:cs="仿宋"/>
                <w:kern w:val="0"/>
                <w:szCs w:val="21"/>
              </w:rPr>
            </w:pPr>
            <w:r>
              <w:rPr>
                <w:rFonts w:hint="eastAsia" w:ascii="仿宋" w:hAnsi="仿宋" w:eastAsia="仿宋" w:cs="仿宋"/>
                <w:kern w:val="0"/>
                <w:szCs w:val="21"/>
              </w:rPr>
              <w:t>3．对该任课老师的教学工作满意。</w:t>
            </w:r>
          </w:p>
        </w:tc>
        <w:tc>
          <w:tcPr>
            <w:tcW w:w="809" w:type="dxa"/>
            <w:tcBorders>
              <w:top w:val="single" w:color="auto" w:sz="4" w:space="0"/>
              <w:left w:val="nil"/>
              <w:bottom w:val="single" w:color="auto" w:sz="4" w:space="0"/>
              <w:right w:val="double" w:color="auto" w:sz="4" w:space="0"/>
            </w:tcBorders>
            <w:noWrap w:val="0"/>
            <w:vAlign w:val="center"/>
          </w:tcPr>
          <w:p>
            <w:pPr>
              <w:pageBreakBefore w:val="0"/>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5</w:t>
            </w:r>
          </w:p>
        </w:tc>
      </w:tr>
      <w:tr>
        <w:tblPrEx>
          <w:tblCellMar>
            <w:top w:w="0" w:type="dxa"/>
            <w:left w:w="108" w:type="dxa"/>
            <w:bottom w:w="0" w:type="dxa"/>
            <w:right w:w="108" w:type="dxa"/>
          </w:tblCellMar>
        </w:tblPrEx>
        <w:trPr>
          <w:trHeight w:val="510" w:hRule="atLeast"/>
          <w:jc w:val="center"/>
        </w:trPr>
        <w:tc>
          <w:tcPr>
            <w:tcW w:w="7784" w:type="dxa"/>
            <w:gridSpan w:val="2"/>
            <w:tcBorders>
              <w:top w:val="single" w:color="auto" w:sz="4" w:space="0"/>
              <w:left w:val="double" w:color="auto" w:sz="4" w:space="0"/>
              <w:bottom w:val="doub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4"/>
              </w:rPr>
            </w:pPr>
            <w:r>
              <w:rPr>
                <w:rFonts w:hint="eastAsia" w:ascii="仿宋" w:hAnsi="仿宋" w:eastAsia="仿宋" w:cs="仿宋"/>
                <w:kern w:val="0"/>
                <w:sz w:val="24"/>
              </w:rPr>
              <w:t>合计平均分</w:t>
            </w:r>
          </w:p>
        </w:tc>
        <w:tc>
          <w:tcPr>
            <w:tcW w:w="809" w:type="dxa"/>
            <w:tcBorders>
              <w:top w:val="single" w:color="auto" w:sz="4" w:space="0"/>
              <w:left w:val="nil"/>
              <w:bottom w:val="double" w:color="auto" w:sz="4" w:space="0"/>
              <w:right w:val="double" w:color="auto" w:sz="4" w:space="0"/>
            </w:tcBorders>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=SUM(ABOVE) </w:instrText>
            </w:r>
            <w:r>
              <w:rPr>
                <w:rFonts w:hint="eastAsia" w:ascii="仿宋" w:hAnsi="仿宋" w:eastAsia="仿宋" w:cs="仿宋"/>
                <w:kern w:val="0"/>
                <w:szCs w:val="21"/>
              </w:rPr>
              <w:fldChar w:fldCharType="separate"/>
            </w:r>
            <w:r>
              <w:rPr>
                <w:rFonts w:hint="eastAsia" w:ascii="仿宋" w:hAnsi="仿宋" w:eastAsia="仿宋" w:cs="仿宋"/>
                <w:kern w:val="0"/>
                <w:szCs w:val="21"/>
              </w:rPr>
              <w:t>100</w:t>
            </w:r>
            <w:r>
              <w:rPr>
                <w:rFonts w:hint="eastAsia" w:ascii="仿宋" w:hAnsi="仿宋" w:eastAsia="仿宋" w:cs="仿宋"/>
                <w:kern w:val="0"/>
                <w:szCs w:val="21"/>
              </w:rPr>
              <w:fldChar w:fldCharType="end"/>
            </w:r>
          </w:p>
        </w:tc>
      </w:tr>
    </w:tbl>
    <w:p>
      <w:pPr>
        <w:pageBreakBefore w:val="0"/>
        <w:widowControl/>
        <w:topLinePunct w:val="0"/>
        <w:bidi w:val="0"/>
        <w:jc w:val="left"/>
        <w:outlineLvl w:val="9"/>
        <w:rPr>
          <w:rFonts w:ascii="仿宋" w:hAnsi="仿宋" w:eastAsia="仿宋" w:cs="仿宋"/>
          <w:kern w:val="0"/>
          <w:sz w:val="24"/>
        </w:rPr>
      </w:pPr>
    </w:p>
    <w:p>
      <w:pPr>
        <w:pageBreakBefore w:val="0"/>
        <w:widowControl/>
        <w:topLinePunct w:val="0"/>
        <w:bidi w:val="0"/>
        <w:jc w:val="left"/>
        <w:outlineLvl w:val="9"/>
        <w:rPr>
          <w:rFonts w:ascii="仿宋" w:hAnsi="仿宋" w:eastAsia="仿宋" w:cs="仿宋"/>
          <w:kern w:val="0"/>
          <w:szCs w:val="21"/>
        </w:rPr>
      </w:pPr>
      <w:r>
        <w:rPr>
          <w:rFonts w:hint="eastAsia" w:ascii="仿宋" w:hAnsi="仿宋" w:eastAsia="仿宋" w:cs="仿宋"/>
          <w:kern w:val="0"/>
          <w:sz w:val="24"/>
        </w:rPr>
        <w:t>本表按四等12级填写。</w:t>
      </w:r>
    </w:p>
    <w:tbl>
      <w:tblPr>
        <w:tblStyle w:val="37"/>
        <w:tblW w:w="857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620"/>
        <w:gridCol w:w="621"/>
        <w:gridCol w:w="620"/>
        <w:gridCol w:w="621"/>
        <w:gridCol w:w="620"/>
        <w:gridCol w:w="621"/>
        <w:gridCol w:w="621"/>
        <w:gridCol w:w="620"/>
        <w:gridCol w:w="621"/>
        <w:gridCol w:w="620"/>
        <w:gridCol w:w="621"/>
        <w:gridCol w:w="621"/>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8"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四等</w:t>
            </w:r>
          </w:p>
        </w:tc>
        <w:tc>
          <w:tcPr>
            <w:tcW w:w="1861" w:type="dxa"/>
            <w:gridSpan w:val="3"/>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好</w:t>
            </w:r>
          </w:p>
        </w:tc>
        <w:tc>
          <w:tcPr>
            <w:tcW w:w="1862" w:type="dxa"/>
            <w:gridSpan w:val="3"/>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较好</w:t>
            </w:r>
          </w:p>
        </w:tc>
        <w:tc>
          <w:tcPr>
            <w:tcW w:w="1862" w:type="dxa"/>
            <w:gridSpan w:val="3"/>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一般</w:t>
            </w:r>
          </w:p>
        </w:tc>
        <w:tc>
          <w:tcPr>
            <w:tcW w:w="1862" w:type="dxa"/>
            <w:gridSpan w:val="3"/>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较差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8" w:type="dxa"/>
            <w:vMerge w:val="restart"/>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12级</w:t>
            </w:r>
          </w:p>
        </w:tc>
        <w:tc>
          <w:tcPr>
            <w:tcW w:w="620"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A+</w:t>
            </w:r>
          </w:p>
        </w:tc>
        <w:tc>
          <w:tcPr>
            <w:tcW w:w="621"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A</w:t>
            </w:r>
          </w:p>
        </w:tc>
        <w:tc>
          <w:tcPr>
            <w:tcW w:w="620"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A-</w:t>
            </w:r>
          </w:p>
        </w:tc>
        <w:tc>
          <w:tcPr>
            <w:tcW w:w="621"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B+</w:t>
            </w:r>
          </w:p>
        </w:tc>
        <w:tc>
          <w:tcPr>
            <w:tcW w:w="620"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B</w:t>
            </w:r>
          </w:p>
        </w:tc>
        <w:tc>
          <w:tcPr>
            <w:tcW w:w="621"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B-</w:t>
            </w:r>
          </w:p>
        </w:tc>
        <w:tc>
          <w:tcPr>
            <w:tcW w:w="621" w:type="dxa"/>
            <w:noWrap w:val="0"/>
            <w:vAlign w:val="bottom"/>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C+</w:t>
            </w:r>
          </w:p>
        </w:tc>
        <w:tc>
          <w:tcPr>
            <w:tcW w:w="620"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C</w:t>
            </w:r>
          </w:p>
        </w:tc>
        <w:tc>
          <w:tcPr>
            <w:tcW w:w="621"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C-</w:t>
            </w:r>
          </w:p>
        </w:tc>
        <w:tc>
          <w:tcPr>
            <w:tcW w:w="620"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D+</w:t>
            </w:r>
          </w:p>
        </w:tc>
        <w:tc>
          <w:tcPr>
            <w:tcW w:w="621"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D</w:t>
            </w:r>
          </w:p>
        </w:tc>
        <w:tc>
          <w:tcPr>
            <w:tcW w:w="621"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D-</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128" w:type="dxa"/>
            <w:vMerge w:val="continue"/>
            <w:noWrap w:val="0"/>
            <w:vAlign w:val="center"/>
          </w:tcPr>
          <w:p>
            <w:pPr>
              <w:pageBreakBefore w:val="0"/>
              <w:widowControl/>
              <w:topLinePunct w:val="0"/>
              <w:bidi w:val="0"/>
              <w:jc w:val="left"/>
              <w:outlineLvl w:val="9"/>
              <w:rPr>
                <w:rFonts w:ascii="仿宋" w:hAnsi="仿宋" w:eastAsia="仿宋" w:cs="仿宋"/>
                <w:kern w:val="0"/>
                <w:szCs w:val="21"/>
              </w:rPr>
            </w:pPr>
          </w:p>
        </w:tc>
        <w:tc>
          <w:tcPr>
            <w:tcW w:w="620"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100</w:t>
            </w:r>
          </w:p>
        </w:tc>
        <w:tc>
          <w:tcPr>
            <w:tcW w:w="621"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95</w:t>
            </w:r>
          </w:p>
        </w:tc>
        <w:tc>
          <w:tcPr>
            <w:tcW w:w="620"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90</w:t>
            </w:r>
          </w:p>
        </w:tc>
        <w:tc>
          <w:tcPr>
            <w:tcW w:w="621"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85</w:t>
            </w:r>
          </w:p>
        </w:tc>
        <w:tc>
          <w:tcPr>
            <w:tcW w:w="620"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80</w:t>
            </w:r>
          </w:p>
        </w:tc>
        <w:tc>
          <w:tcPr>
            <w:tcW w:w="621"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75</w:t>
            </w:r>
          </w:p>
        </w:tc>
        <w:tc>
          <w:tcPr>
            <w:tcW w:w="621"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70</w:t>
            </w:r>
          </w:p>
        </w:tc>
        <w:tc>
          <w:tcPr>
            <w:tcW w:w="620"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65</w:t>
            </w:r>
          </w:p>
        </w:tc>
        <w:tc>
          <w:tcPr>
            <w:tcW w:w="621"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60</w:t>
            </w:r>
          </w:p>
        </w:tc>
        <w:tc>
          <w:tcPr>
            <w:tcW w:w="620"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55</w:t>
            </w:r>
          </w:p>
        </w:tc>
        <w:tc>
          <w:tcPr>
            <w:tcW w:w="621"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50</w:t>
            </w:r>
          </w:p>
        </w:tc>
        <w:tc>
          <w:tcPr>
            <w:tcW w:w="621" w:type="dxa"/>
            <w:noWrap w:val="0"/>
            <w:vAlign w:val="center"/>
          </w:tcPr>
          <w:p>
            <w:pPr>
              <w:pageBreakBefore w:val="0"/>
              <w:widowControl/>
              <w:topLinePunct w:val="0"/>
              <w:bidi w:val="0"/>
              <w:jc w:val="center"/>
              <w:outlineLvl w:val="9"/>
              <w:rPr>
                <w:rFonts w:ascii="仿宋" w:hAnsi="仿宋" w:eastAsia="仿宋" w:cs="仿宋"/>
                <w:kern w:val="0"/>
                <w:szCs w:val="21"/>
              </w:rPr>
            </w:pPr>
            <w:r>
              <w:rPr>
                <w:rFonts w:hint="eastAsia" w:ascii="仿宋" w:hAnsi="仿宋" w:eastAsia="仿宋" w:cs="仿宋"/>
                <w:kern w:val="0"/>
                <w:szCs w:val="21"/>
              </w:rPr>
              <w:t>45</w:t>
            </w:r>
          </w:p>
        </w:tc>
      </w:tr>
    </w:tbl>
    <w:p>
      <w:pPr>
        <w:pageBreakBefore w:val="0"/>
        <w:widowControl/>
        <w:topLinePunct w:val="0"/>
        <w:bidi w:val="0"/>
        <w:outlineLvl w:val="9"/>
        <w:rPr>
          <w:rFonts w:ascii="仿宋" w:hAnsi="仿宋" w:eastAsia="仿宋" w:cs="仿宋"/>
          <w:color w:val="000000"/>
          <w:sz w:val="24"/>
        </w:rPr>
      </w:pPr>
    </w:p>
    <w:p>
      <w:pPr>
        <w:pageBreakBefore w:val="0"/>
        <w:widowControl/>
        <w:topLinePunct w:val="0"/>
        <w:bidi w:val="0"/>
        <w:outlineLvl w:val="9"/>
        <w:rPr>
          <w:rFonts w:ascii="仿宋" w:hAnsi="仿宋" w:eastAsia="仿宋" w:cs="仿宋"/>
          <w:bCs/>
          <w:kern w:val="0"/>
          <w:sz w:val="24"/>
        </w:rPr>
      </w:pPr>
      <w:r>
        <w:rPr>
          <w:rFonts w:hint="eastAsia" w:ascii="仿宋" w:hAnsi="仿宋" w:eastAsia="仿宋" w:cs="仿宋"/>
          <w:color w:val="000000"/>
          <w:sz w:val="24"/>
        </w:rPr>
        <w:br w:type="page"/>
      </w:r>
      <w:r>
        <w:rPr>
          <w:rFonts w:hint="eastAsia" w:ascii="仿宋" w:hAnsi="仿宋" w:eastAsia="仿宋" w:cs="仿宋"/>
          <w:color w:val="000000"/>
          <w:sz w:val="28"/>
          <w:szCs w:val="28"/>
        </w:rPr>
        <w:t>附件10</w:t>
      </w:r>
    </w:p>
    <w:p>
      <w:pPr>
        <w:pageBreakBefore w:val="0"/>
        <w:topLinePunct w:val="0"/>
        <w:bidi w:val="0"/>
        <w:spacing w:line="360" w:lineRule="auto"/>
        <w:jc w:val="center"/>
        <w:outlineLvl w:val="9"/>
        <w:rPr>
          <w:rFonts w:ascii="仿宋" w:hAnsi="仿宋" w:eastAsia="仿宋" w:cs="仿宋"/>
          <w:sz w:val="28"/>
          <w:szCs w:val="28"/>
        </w:rPr>
      </w:pPr>
      <w:r>
        <w:rPr>
          <w:rFonts w:hint="eastAsia" w:ascii="仿宋" w:hAnsi="仿宋" w:eastAsia="仿宋" w:cs="仿宋"/>
          <w:sz w:val="28"/>
          <w:szCs w:val="28"/>
        </w:rPr>
        <w:t>教师评学表</w:t>
      </w:r>
    </w:p>
    <w:tbl>
      <w:tblPr>
        <w:tblStyle w:val="37"/>
        <w:tblW w:w="8720" w:type="dxa"/>
        <w:jc w:val="center"/>
        <w:tblLayout w:type="fixed"/>
        <w:tblCellMar>
          <w:top w:w="0" w:type="dxa"/>
          <w:left w:w="108" w:type="dxa"/>
          <w:bottom w:w="0" w:type="dxa"/>
          <w:right w:w="108" w:type="dxa"/>
        </w:tblCellMar>
      </w:tblPr>
      <w:tblGrid>
        <w:gridCol w:w="675"/>
        <w:gridCol w:w="743"/>
        <w:gridCol w:w="1525"/>
        <w:gridCol w:w="467"/>
        <w:gridCol w:w="3536"/>
        <w:gridCol w:w="817"/>
        <w:gridCol w:w="737"/>
        <w:gridCol w:w="220"/>
      </w:tblGrid>
      <w:tr>
        <w:tblPrEx>
          <w:tblCellMar>
            <w:top w:w="0" w:type="dxa"/>
            <w:left w:w="108" w:type="dxa"/>
            <w:bottom w:w="0" w:type="dxa"/>
            <w:right w:w="108" w:type="dxa"/>
          </w:tblCellMar>
        </w:tblPrEx>
        <w:trPr>
          <w:gridAfter w:val="1"/>
          <w:wAfter w:w="220" w:type="dxa"/>
          <w:trHeight w:val="1695" w:hRule="atLeast"/>
          <w:jc w:val="center"/>
        </w:trPr>
        <w:tc>
          <w:tcPr>
            <w:tcW w:w="8500" w:type="dxa"/>
            <w:gridSpan w:val="7"/>
            <w:tcBorders>
              <w:top w:val="nil"/>
              <w:left w:val="nil"/>
              <w:bottom w:val="nil"/>
              <w:right w:val="nil"/>
            </w:tcBorders>
            <w:noWrap w:val="0"/>
            <w:vAlign w:val="center"/>
          </w:tcPr>
          <w:p>
            <w:pPr>
              <w:pageBreakBefore w:val="0"/>
              <w:topLinePunct w:val="0"/>
              <w:bidi w:val="0"/>
              <w:spacing w:line="360" w:lineRule="auto"/>
              <w:outlineLvl w:val="9"/>
              <w:rPr>
                <w:rFonts w:ascii="仿宋" w:hAnsi="仿宋" w:eastAsia="仿宋" w:cs="仿宋"/>
                <w:kern w:val="0"/>
                <w:sz w:val="22"/>
              </w:rPr>
            </w:pPr>
            <w:r>
              <w:rPr>
                <w:rFonts w:hint="eastAsia" w:ascii="仿宋" w:hAnsi="仿宋" w:eastAsia="仿宋" w:cs="仿宋"/>
                <w:kern w:val="0"/>
                <w:sz w:val="22"/>
              </w:rPr>
              <w:t>教师评学是教学评估的重要组成部分，对于促进学风建设、提高教育教学质量有着重要意义。教师通过评学，对学生学习情况及能力表现等方面做出总体和个体的评价，有利于掌握教学第一线相关信息，为教学改革及下一步工作安排提供有效依据。请每位任课教师本着客观、公正的态度认真填写，本调查表将作为学生班级各类评比的重要依据之一。</w:t>
            </w:r>
          </w:p>
        </w:tc>
      </w:tr>
      <w:tr>
        <w:tblPrEx>
          <w:tblCellMar>
            <w:top w:w="0" w:type="dxa"/>
            <w:left w:w="108" w:type="dxa"/>
            <w:bottom w:w="0" w:type="dxa"/>
            <w:right w:w="108" w:type="dxa"/>
          </w:tblCellMar>
        </w:tblPrEx>
        <w:trPr>
          <w:gridAfter w:val="1"/>
          <w:wAfter w:w="220" w:type="dxa"/>
          <w:trHeight w:val="439" w:hRule="atLeast"/>
          <w:jc w:val="center"/>
        </w:trPr>
        <w:tc>
          <w:tcPr>
            <w:tcW w:w="2943"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课程名称：</w:t>
            </w:r>
          </w:p>
        </w:tc>
        <w:tc>
          <w:tcPr>
            <w:tcW w:w="5557" w:type="dxa"/>
            <w:gridSpan w:val="4"/>
            <w:tcBorders>
              <w:top w:val="single" w:color="auto" w:sz="4" w:space="0"/>
              <w:left w:val="nil"/>
              <w:bottom w:val="single" w:color="auto" w:sz="4" w:space="0"/>
              <w:right w:val="single" w:color="000000" w:sz="4" w:space="0"/>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所评班级：       学院          专业      级    班</w:t>
            </w:r>
          </w:p>
        </w:tc>
      </w:tr>
      <w:tr>
        <w:tblPrEx>
          <w:tblCellMar>
            <w:top w:w="0" w:type="dxa"/>
            <w:left w:w="108" w:type="dxa"/>
            <w:bottom w:w="0" w:type="dxa"/>
            <w:right w:w="108" w:type="dxa"/>
          </w:tblCellMar>
        </w:tblPrEx>
        <w:trPr>
          <w:gridAfter w:val="1"/>
          <w:wAfter w:w="220" w:type="dxa"/>
          <w:trHeight w:val="439" w:hRule="atLeast"/>
          <w:jc w:val="center"/>
        </w:trPr>
        <w:tc>
          <w:tcPr>
            <w:tcW w:w="2943" w:type="dxa"/>
            <w:gridSpan w:val="3"/>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任课教师：</w:t>
            </w:r>
          </w:p>
        </w:tc>
        <w:tc>
          <w:tcPr>
            <w:tcW w:w="5557" w:type="dxa"/>
            <w:gridSpan w:val="4"/>
            <w:tcBorders>
              <w:top w:val="single" w:color="auto" w:sz="4" w:space="0"/>
              <w:left w:val="nil"/>
              <w:bottom w:val="single" w:color="auto" w:sz="4" w:space="0"/>
              <w:right w:val="single" w:color="000000" w:sz="4" w:space="0"/>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学期： 20    --20     学年  第    学期</w:t>
            </w:r>
          </w:p>
        </w:tc>
      </w:tr>
      <w:tr>
        <w:tblPrEx>
          <w:tblCellMar>
            <w:top w:w="0" w:type="dxa"/>
            <w:left w:w="108" w:type="dxa"/>
            <w:bottom w:w="0" w:type="dxa"/>
            <w:right w:w="108" w:type="dxa"/>
          </w:tblCellMar>
        </w:tblPrEx>
        <w:trPr>
          <w:gridAfter w:val="1"/>
          <w:wAfter w:w="220" w:type="dxa"/>
          <w:trHeight w:val="612" w:hRule="atLeast"/>
          <w:jc w:val="center"/>
        </w:trPr>
        <w:tc>
          <w:tcPr>
            <w:tcW w:w="8500" w:type="dxa"/>
            <w:gridSpan w:val="7"/>
            <w:tcBorders>
              <w:top w:val="single" w:color="auto" w:sz="4" w:space="0"/>
              <w:left w:val="nil"/>
              <w:bottom w:val="single" w:color="auto" w:sz="4" w:space="0"/>
              <w:right w:val="nil"/>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一、对学生评价</w:t>
            </w:r>
          </w:p>
        </w:tc>
      </w:tr>
      <w:tr>
        <w:tblPrEx>
          <w:tblCellMar>
            <w:top w:w="0" w:type="dxa"/>
            <w:left w:w="108" w:type="dxa"/>
            <w:bottom w:w="0" w:type="dxa"/>
            <w:right w:w="108" w:type="dxa"/>
          </w:tblCellMar>
        </w:tblPrEx>
        <w:trPr>
          <w:gridAfter w:val="1"/>
          <w:wAfter w:w="220" w:type="dxa"/>
          <w:cantSplit/>
          <w:jc w:val="center"/>
        </w:trPr>
        <w:tc>
          <w:tcPr>
            <w:tcW w:w="675"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序号</w:t>
            </w:r>
          </w:p>
        </w:tc>
        <w:tc>
          <w:tcPr>
            <w:tcW w:w="743"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评价项目</w:t>
            </w:r>
          </w:p>
        </w:tc>
        <w:tc>
          <w:tcPr>
            <w:tcW w:w="5528" w:type="dxa"/>
            <w:gridSpan w:val="3"/>
            <w:tcBorders>
              <w:top w:val="single" w:color="auto" w:sz="4" w:space="0"/>
              <w:left w:val="nil"/>
              <w:bottom w:val="single" w:color="auto" w:sz="4" w:space="0"/>
              <w:right w:val="single" w:color="000000"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评价内容</w:t>
            </w:r>
          </w:p>
        </w:tc>
        <w:tc>
          <w:tcPr>
            <w:tcW w:w="81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满分</w:t>
            </w:r>
          </w:p>
        </w:tc>
        <w:tc>
          <w:tcPr>
            <w:tcW w:w="7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得分</w:t>
            </w:r>
          </w:p>
        </w:tc>
      </w:tr>
      <w:tr>
        <w:tblPrEx>
          <w:tblCellMar>
            <w:top w:w="0" w:type="dxa"/>
            <w:left w:w="108" w:type="dxa"/>
            <w:bottom w:w="0" w:type="dxa"/>
            <w:right w:w="108" w:type="dxa"/>
          </w:tblCellMar>
        </w:tblPrEx>
        <w:trPr>
          <w:gridAfter w:val="1"/>
          <w:wAfter w:w="220" w:type="dxa"/>
          <w:cantSplit/>
          <w:jc w:val="center"/>
        </w:trPr>
        <w:tc>
          <w:tcPr>
            <w:tcW w:w="675"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1</w:t>
            </w:r>
          </w:p>
        </w:tc>
        <w:tc>
          <w:tcPr>
            <w:tcW w:w="743"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学风</w:t>
            </w:r>
          </w:p>
        </w:tc>
        <w:tc>
          <w:tcPr>
            <w:tcW w:w="5528" w:type="dxa"/>
            <w:gridSpan w:val="3"/>
            <w:tcBorders>
              <w:top w:val="single" w:color="auto" w:sz="4" w:space="0"/>
              <w:left w:val="single" w:color="auto" w:sz="4" w:space="0"/>
              <w:bottom w:val="single" w:color="auto" w:sz="4" w:space="0"/>
              <w:right w:val="single" w:color="000000" w:sz="4" w:space="0"/>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对学生上课迟到、早退、缺勤（旷课）现象的评价</w:t>
            </w:r>
          </w:p>
        </w:tc>
        <w:tc>
          <w:tcPr>
            <w:tcW w:w="81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10分</w:t>
            </w:r>
          </w:p>
        </w:tc>
        <w:tc>
          <w:tcPr>
            <w:tcW w:w="7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　</w:t>
            </w:r>
          </w:p>
        </w:tc>
      </w:tr>
      <w:tr>
        <w:tblPrEx>
          <w:tblCellMar>
            <w:top w:w="0" w:type="dxa"/>
            <w:left w:w="108" w:type="dxa"/>
            <w:bottom w:w="0" w:type="dxa"/>
            <w:right w:w="108" w:type="dxa"/>
          </w:tblCellMar>
        </w:tblPrEx>
        <w:trPr>
          <w:gridAfter w:val="1"/>
          <w:wAfter w:w="220" w:type="dxa"/>
          <w:cantSplit/>
          <w:jc w:val="center"/>
        </w:trPr>
        <w:tc>
          <w:tcPr>
            <w:tcW w:w="675"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2</w:t>
            </w:r>
          </w:p>
        </w:tc>
        <w:tc>
          <w:tcPr>
            <w:tcW w:w="743"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left"/>
              <w:outlineLvl w:val="9"/>
              <w:rPr>
                <w:rFonts w:ascii="仿宋" w:hAnsi="仿宋" w:eastAsia="仿宋" w:cs="仿宋"/>
                <w:kern w:val="0"/>
                <w:sz w:val="22"/>
              </w:rPr>
            </w:pPr>
          </w:p>
        </w:tc>
        <w:tc>
          <w:tcPr>
            <w:tcW w:w="5528" w:type="dxa"/>
            <w:gridSpan w:val="3"/>
            <w:tcBorders>
              <w:top w:val="single" w:color="auto" w:sz="4" w:space="0"/>
              <w:left w:val="single" w:color="auto" w:sz="4" w:space="0"/>
              <w:bottom w:val="single" w:color="auto" w:sz="4" w:space="0"/>
              <w:right w:val="single" w:color="000000" w:sz="4" w:space="0"/>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对课堂纪律，学生的注意力情况的评价</w:t>
            </w:r>
          </w:p>
        </w:tc>
        <w:tc>
          <w:tcPr>
            <w:tcW w:w="81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10分</w:t>
            </w:r>
          </w:p>
        </w:tc>
        <w:tc>
          <w:tcPr>
            <w:tcW w:w="7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　</w:t>
            </w:r>
          </w:p>
        </w:tc>
      </w:tr>
      <w:tr>
        <w:tblPrEx>
          <w:tblCellMar>
            <w:top w:w="0" w:type="dxa"/>
            <w:left w:w="108" w:type="dxa"/>
            <w:bottom w:w="0" w:type="dxa"/>
            <w:right w:w="108" w:type="dxa"/>
          </w:tblCellMar>
        </w:tblPrEx>
        <w:trPr>
          <w:gridAfter w:val="1"/>
          <w:wAfter w:w="220" w:type="dxa"/>
          <w:cantSplit/>
          <w:jc w:val="center"/>
        </w:trPr>
        <w:tc>
          <w:tcPr>
            <w:tcW w:w="675"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3</w:t>
            </w:r>
          </w:p>
        </w:tc>
        <w:tc>
          <w:tcPr>
            <w:tcW w:w="743"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left"/>
              <w:outlineLvl w:val="9"/>
              <w:rPr>
                <w:rFonts w:ascii="仿宋" w:hAnsi="仿宋" w:eastAsia="仿宋" w:cs="仿宋"/>
                <w:kern w:val="0"/>
                <w:sz w:val="22"/>
              </w:rPr>
            </w:pPr>
          </w:p>
        </w:tc>
        <w:tc>
          <w:tcPr>
            <w:tcW w:w="5528" w:type="dxa"/>
            <w:gridSpan w:val="3"/>
            <w:tcBorders>
              <w:top w:val="single" w:color="auto" w:sz="4" w:space="0"/>
              <w:left w:val="single" w:color="auto" w:sz="4" w:space="0"/>
              <w:bottom w:val="single" w:color="auto" w:sz="4" w:space="0"/>
              <w:right w:val="single" w:color="000000" w:sz="4" w:space="0"/>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尊敬教师、配合教师使课堂教学能够正常、有序地进行</w:t>
            </w:r>
          </w:p>
        </w:tc>
        <w:tc>
          <w:tcPr>
            <w:tcW w:w="81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10分</w:t>
            </w:r>
          </w:p>
        </w:tc>
        <w:tc>
          <w:tcPr>
            <w:tcW w:w="7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　</w:t>
            </w:r>
          </w:p>
        </w:tc>
      </w:tr>
      <w:tr>
        <w:tblPrEx>
          <w:tblCellMar>
            <w:top w:w="0" w:type="dxa"/>
            <w:left w:w="108" w:type="dxa"/>
            <w:bottom w:w="0" w:type="dxa"/>
            <w:right w:w="108" w:type="dxa"/>
          </w:tblCellMar>
        </w:tblPrEx>
        <w:trPr>
          <w:gridAfter w:val="1"/>
          <w:wAfter w:w="220" w:type="dxa"/>
          <w:cantSplit/>
          <w:jc w:val="center"/>
        </w:trPr>
        <w:tc>
          <w:tcPr>
            <w:tcW w:w="675"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4</w:t>
            </w:r>
          </w:p>
        </w:tc>
        <w:tc>
          <w:tcPr>
            <w:tcW w:w="743"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学习过程</w:t>
            </w:r>
          </w:p>
        </w:tc>
        <w:tc>
          <w:tcPr>
            <w:tcW w:w="5528" w:type="dxa"/>
            <w:gridSpan w:val="3"/>
            <w:tcBorders>
              <w:top w:val="single" w:color="auto" w:sz="4" w:space="0"/>
              <w:left w:val="single" w:color="auto" w:sz="4" w:space="0"/>
              <w:bottom w:val="single" w:color="auto" w:sz="4" w:space="0"/>
              <w:right w:val="single" w:color="000000" w:sz="4" w:space="0"/>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课前进行预习，课后认真复习，阅读指定参考文献</w:t>
            </w:r>
          </w:p>
        </w:tc>
        <w:tc>
          <w:tcPr>
            <w:tcW w:w="81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10分</w:t>
            </w:r>
          </w:p>
        </w:tc>
        <w:tc>
          <w:tcPr>
            <w:tcW w:w="7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　</w:t>
            </w:r>
          </w:p>
        </w:tc>
      </w:tr>
      <w:tr>
        <w:tblPrEx>
          <w:tblCellMar>
            <w:top w:w="0" w:type="dxa"/>
            <w:left w:w="108" w:type="dxa"/>
            <w:bottom w:w="0" w:type="dxa"/>
            <w:right w:w="108" w:type="dxa"/>
          </w:tblCellMar>
        </w:tblPrEx>
        <w:trPr>
          <w:gridAfter w:val="1"/>
          <w:wAfter w:w="220" w:type="dxa"/>
          <w:cantSplit/>
          <w:jc w:val="center"/>
        </w:trPr>
        <w:tc>
          <w:tcPr>
            <w:tcW w:w="675"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5</w:t>
            </w:r>
          </w:p>
        </w:tc>
        <w:tc>
          <w:tcPr>
            <w:tcW w:w="743"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left"/>
              <w:outlineLvl w:val="9"/>
              <w:rPr>
                <w:rFonts w:ascii="仿宋" w:hAnsi="仿宋" w:eastAsia="仿宋" w:cs="仿宋"/>
                <w:kern w:val="0"/>
                <w:sz w:val="22"/>
              </w:rPr>
            </w:pPr>
          </w:p>
        </w:tc>
        <w:tc>
          <w:tcPr>
            <w:tcW w:w="5528" w:type="dxa"/>
            <w:gridSpan w:val="3"/>
            <w:tcBorders>
              <w:top w:val="single" w:color="auto" w:sz="4" w:space="0"/>
              <w:left w:val="single" w:color="auto" w:sz="4" w:space="0"/>
              <w:bottom w:val="single" w:color="auto" w:sz="4" w:space="0"/>
              <w:right w:val="single" w:color="000000" w:sz="4" w:space="0"/>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跟随教师思路，理解授课内容并做好课堂笔记</w:t>
            </w:r>
          </w:p>
        </w:tc>
        <w:tc>
          <w:tcPr>
            <w:tcW w:w="81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10分</w:t>
            </w:r>
          </w:p>
        </w:tc>
        <w:tc>
          <w:tcPr>
            <w:tcW w:w="7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　</w:t>
            </w:r>
          </w:p>
        </w:tc>
      </w:tr>
      <w:tr>
        <w:tblPrEx>
          <w:tblCellMar>
            <w:top w:w="0" w:type="dxa"/>
            <w:left w:w="108" w:type="dxa"/>
            <w:bottom w:w="0" w:type="dxa"/>
            <w:right w:w="108" w:type="dxa"/>
          </w:tblCellMar>
        </w:tblPrEx>
        <w:trPr>
          <w:gridAfter w:val="1"/>
          <w:wAfter w:w="220" w:type="dxa"/>
          <w:cantSplit/>
          <w:jc w:val="center"/>
        </w:trPr>
        <w:tc>
          <w:tcPr>
            <w:tcW w:w="675"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6</w:t>
            </w:r>
          </w:p>
        </w:tc>
        <w:tc>
          <w:tcPr>
            <w:tcW w:w="743"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left"/>
              <w:outlineLvl w:val="9"/>
              <w:rPr>
                <w:rFonts w:ascii="仿宋" w:hAnsi="仿宋" w:eastAsia="仿宋" w:cs="仿宋"/>
                <w:kern w:val="0"/>
                <w:sz w:val="22"/>
              </w:rPr>
            </w:pPr>
          </w:p>
        </w:tc>
        <w:tc>
          <w:tcPr>
            <w:tcW w:w="5528" w:type="dxa"/>
            <w:gridSpan w:val="3"/>
            <w:tcBorders>
              <w:top w:val="single" w:color="auto" w:sz="4" w:space="0"/>
              <w:left w:val="nil"/>
              <w:bottom w:val="single" w:color="auto" w:sz="4" w:space="0"/>
              <w:right w:val="single" w:color="000000" w:sz="4" w:space="0"/>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参与互动性学习，认真思考，勇于提出问题，并与教师讨论问题或参加辅导答疑</w:t>
            </w:r>
          </w:p>
        </w:tc>
        <w:tc>
          <w:tcPr>
            <w:tcW w:w="81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10分</w:t>
            </w:r>
          </w:p>
        </w:tc>
        <w:tc>
          <w:tcPr>
            <w:tcW w:w="7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　</w:t>
            </w:r>
          </w:p>
        </w:tc>
      </w:tr>
      <w:tr>
        <w:tblPrEx>
          <w:tblCellMar>
            <w:top w:w="0" w:type="dxa"/>
            <w:left w:w="108" w:type="dxa"/>
            <w:bottom w:w="0" w:type="dxa"/>
            <w:right w:w="108" w:type="dxa"/>
          </w:tblCellMar>
        </w:tblPrEx>
        <w:trPr>
          <w:gridAfter w:val="1"/>
          <w:wAfter w:w="220" w:type="dxa"/>
          <w:cantSplit/>
          <w:jc w:val="center"/>
        </w:trPr>
        <w:tc>
          <w:tcPr>
            <w:tcW w:w="675"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7</w:t>
            </w:r>
          </w:p>
        </w:tc>
        <w:tc>
          <w:tcPr>
            <w:tcW w:w="743"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left"/>
              <w:outlineLvl w:val="9"/>
              <w:rPr>
                <w:rFonts w:ascii="仿宋" w:hAnsi="仿宋" w:eastAsia="仿宋" w:cs="仿宋"/>
                <w:kern w:val="0"/>
                <w:sz w:val="22"/>
              </w:rPr>
            </w:pPr>
          </w:p>
        </w:tc>
        <w:tc>
          <w:tcPr>
            <w:tcW w:w="5528" w:type="dxa"/>
            <w:gridSpan w:val="3"/>
            <w:tcBorders>
              <w:top w:val="single" w:color="auto" w:sz="4" w:space="0"/>
              <w:left w:val="nil"/>
              <w:bottom w:val="single" w:color="auto" w:sz="4" w:space="0"/>
              <w:right w:val="single" w:color="000000" w:sz="4" w:space="0"/>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按时上交作业（或完成实训项目及报告）</w:t>
            </w:r>
          </w:p>
        </w:tc>
        <w:tc>
          <w:tcPr>
            <w:tcW w:w="81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10分</w:t>
            </w:r>
          </w:p>
        </w:tc>
        <w:tc>
          <w:tcPr>
            <w:tcW w:w="7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　</w:t>
            </w:r>
          </w:p>
        </w:tc>
      </w:tr>
      <w:tr>
        <w:tblPrEx>
          <w:tblCellMar>
            <w:top w:w="0" w:type="dxa"/>
            <w:left w:w="108" w:type="dxa"/>
            <w:bottom w:w="0" w:type="dxa"/>
            <w:right w:w="108" w:type="dxa"/>
          </w:tblCellMar>
        </w:tblPrEx>
        <w:trPr>
          <w:gridAfter w:val="1"/>
          <w:wAfter w:w="220" w:type="dxa"/>
          <w:cantSplit/>
          <w:jc w:val="center"/>
        </w:trPr>
        <w:tc>
          <w:tcPr>
            <w:tcW w:w="675"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8</w:t>
            </w:r>
          </w:p>
        </w:tc>
        <w:tc>
          <w:tcPr>
            <w:tcW w:w="743"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left"/>
              <w:outlineLvl w:val="9"/>
              <w:rPr>
                <w:rFonts w:ascii="仿宋" w:hAnsi="仿宋" w:eastAsia="仿宋" w:cs="仿宋"/>
                <w:kern w:val="0"/>
                <w:sz w:val="22"/>
              </w:rPr>
            </w:pPr>
          </w:p>
        </w:tc>
        <w:tc>
          <w:tcPr>
            <w:tcW w:w="5528" w:type="dxa"/>
            <w:gridSpan w:val="3"/>
            <w:tcBorders>
              <w:top w:val="single" w:color="auto" w:sz="4" w:space="0"/>
              <w:left w:val="single" w:color="auto" w:sz="4" w:space="0"/>
              <w:bottom w:val="single" w:color="auto" w:sz="4" w:space="0"/>
              <w:right w:val="single" w:color="000000" w:sz="4" w:space="0"/>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对作业（实训项目及报告），完成质量的评价</w:t>
            </w:r>
          </w:p>
        </w:tc>
        <w:tc>
          <w:tcPr>
            <w:tcW w:w="81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10分</w:t>
            </w:r>
          </w:p>
        </w:tc>
        <w:tc>
          <w:tcPr>
            <w:tcW w:w="7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　</w:t>
            </w:r>
          </w:p>
        </w:tc>
      </w:tr>
      <w:tr>
        <w:tblPrEx>
          <w:tblCellMar>
            <w:top w:w="0" w:type="dxa"/>
            <w:left w:w="108" w:type="dxa"/>
            <w:bottom w:w="0" w:type="dxa"/>
            <w:right w:w="108" w:type="dxa"/>
          </w:tblCellMar>
        </w:tblPrEx>
        <w:trPr>
          <w:gridAfter w:val="1"/>
          <w:wAfter w:w="220" w:type="dxa"/>
          <w:cantSplit/>
          <w:jc w:val="center"/>
        </w:trPr>
        <w:tc>
          <w:tcPr>
            <w:tcW w:w="675"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9</w:t>
            </w:r>
          </w:p>
        </w:tc>
        <w:tc>
          <w:tcPr>
            <w:tcW w:w="743" w:type="dxa"/>
            <w:vMerge w:val="restart"/>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学习效果</w:t>
            </w:r>
          </w:p>
        </w:tc>
        <w:tc>
          <w:tcPr>
            <w:tcW w:w="5528" w:type="dxa"/>
            <w:gridSpan w:val="3"/>
            <w:tcBorders>
              <w:top w:val="single" w:color="auto" w:sz="4" w:space="0"/>
              <w:left w:val="single" w:color="auto" w:sz="4" w:space="0"/>
              <w:bottom w:val="single" w:color="auto" w:sz="4" w:space="0"/>
              <w:right w:val="single" w:color="000000" w:sz="4" w:space="0"/>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能掌握课程所传授的知识与技能</w:t>
            </w:r>
          </w:p>
        </w:tc>
        <w:tc>
          <w:tcPr>
            <w:tcW w:w="81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10分</w:t>
            </w:r>
          </w:p>
        </w:tc>
        <w:tc>
          <w:tcPr>
            <w:tcW w:w="7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　</w:t>
            </w:r>
          </w:p>
        </w:tc>
      </w:tr>
      <w:tr>
        <w:tblPrEx>
          <w:tblCellMar>
            <w:top w:w="0" w:type="dxa"/>
            <w:left w:w="108" w:type="dxa"/>
            <w:bottom w:w="0" w:type="dxa"/>
            <w:right w:w="108" w:type="dxa"/>
          </w:tblCellMar>
        </w:tblPrEx>
        <w:trPr>
          <w:gridAfter w:val="1"/>
          <w:wAfter w:w="220" w:type="dxa"/>
          <w:cantSplit/>
          <w:jc w:val="center"/>
        </w:trPr>
        <w:tc>
          <w:tcPr>
            <w:tcW w:w="675" w:type="dxa"/>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10</w:t>
            </w:r>
          </w:p>
        </w:tc>
        <w:tc>
          <w:tcPr>
            <w:tcW w:w="743" w:type="dxa"/>
            <w:vMerge w:val="continue"/>
            <w:tcBorders>
              <w:top w:val="nil"/>
              <w:left w:val="single" w:color="auto" w:sz="4" w:space="0"/>
              <w:bottom w:val="single" w:color="000000" w:sz="4" w:space="0"/>
              <w:right w:val="single" w:color="auto" w:sz="4" w:space="0"/>
            </w:tcBorders>
            <w:noWrap w:val="0"/>
            <w:vAlign w:val="center"/>
          </w:tcPr>
          <w:p>
            <w:pPr>
              <w:pageBreakBefore w:val="0"/>
              <w:widowControl/>
              <w:topLinePunct w:val="0"/>
              <w:bidi w:val="0"/>
              <w:jc w:val="left"/>
              <w:outlineLvl w:val="9"/>
              <w:rPr>
                <w:rFonts w:ascii="仿宋" w:hAnsi="仿宋" w:eastAsia="仿宋" w:cs="仿宋"/>
                <w:kern w:val="0"/>
                <w:sz w:val="22"/>
              </w:rPr>
            </w:pPr>
          </w:p>
        </w:tc>
        <w:tc>
          <w:tcPr>
            <w:tcW w:w="5528" w:type="dxa"/>
            <w:gridSpan w:val="3"/>
            <w:tcBorders>
              <w:top w:val="single" w:color="auto" w:sz="4" w:space="0"/>
              <w:left w:val="single" w:color="auto" w:sz="4" w:space="0"/>
              <w:bottom w:val="single" w:color="auto" w:sz="4" w:space="0"/>
              <w:right w:val="single" w:color="000000" w:sz="4" w:space="0"/>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能运用所学知识提出问题、分析问题和解决问题</w:t>
            </w:r>
          </w:p>
        </w:tc>
        <w:tc>
          <w:tcPr>
            <w:tcW w:w="81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10分</w:t>
            </w:r>
          </w:p>
        </w:tc>
        <w:tc>
          <w:tcPr>
            <w:tcW w:w="7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　</w:t>
            </w:r>
          </w:p>
        </w:tc>
      </w:tr>
      <w:tr>
        <w:tblPrEx>
          <w:tblCellMar>
            <w:top w:w="0" w:type="dxa"/>
            <w:left w:w="108" w:type="dxa"/>
            <w:bottom w:w="0" w:type="dxa"/>
            <w:right w:w="108" w:type="dxa"/>
          </w:tblCellMar>
        </w:tblPrEx>
        <w:trPr>
          <w:gridAfter w:val="1"/>
          <w:wAfter w:w="220" w:type="dxa"/>
          <w:cantSplit/>
          <w:trHeight w:val="379" w:hRule="atLeast"/>
          <w:jc w:val="center"/>
        </w:trPr>
        <w:tc>
          <w:tcPr>
            <w:tcW w:w="6946" w:type="dxa"/>
            <w:gridSpan w:val="5"/>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总分</w:t>
            </w:r>
          </w:p>
        </w:tc>
        <w:tc>
          <w:tcPr>
            <w:tcW w:w="81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100分</w:t>
            </w:r>
          </w:p>
        </w:tc>
        <w:tc>
          <w:tcPr>
            <w:tcW w:w="7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仿宋" w:hAnsi="仿宋" w:eastAsia="仿宋" w:cs="仿宋"/>
                <w:kern w:val="0"/>
                <w:sz w:val="22"/>
              </w:rPr>
            </w:pPr>
            <w:r>
              <w:rPr>
                <w:rFonts w:hint="eastAsia" w:ascii="仿宋" w:hAnsi="仿宋" w:eastAsia="仿宋" w:cs="仿宋"/>
                <w:kern w:val="0"/>
                <w:sz w:val="22"/>
              </w:rPr>
              <w:t>　</w:t>
            </w:r>
          </w:p>
        </w:tc>
      </w:tr>
      <w:tr>
        <w:tblPrEx>
          <w:tblCellMar>
            <w:top w:w="0" w:type="dxa"/>
            <w:left w:w="108" w:type="dxa"/>
            <w:bottom w:w="0" w:type="dxa"/>
            <w:right w:w="108" w:type="dxa"/>
          </w:tblCellMar>
        </w:tblPrEx>
        <w:trPr>
          <w:gridAfter w:val="1"/>
          <w:wAfter w:w="220" w:type="dxa"/>
          <w:trHeight w:val="1519" w:hRule="atLeast"/>
          <w:jc w:val="center"/>
        </w:trPr>
        <w:tc>
          <w:tcPr>
            <w:tcW w:w="8500" w:type="dxa"/>
            <w:gridSpan w:val="7"/>
            <w:tcBorders>
              <w:top w:val="single" w:color="auto" w:sz="4" w:space="0"/>
              <w:left w:val="nil"/>
              <w:right w:val="nil"/>
            </w:tcBorders>
            <w:noWrap w:val="0"/>
            <w:vAlign w:val="center"/>
          </w:tcPr>
          <w:p>
            <w:pPr>
              <w:pageBreakBefore w:val="0"/>
              <w:topLinePunct w:val="0"/>
              <w:bidi w:val="0"/>
              <w:spacing w:line="360" w:lineRule="auto"/>
              <w:outlineLvl w:val="9"/>
              <w:rPr>
                <w:rFonts w:ascii="仿宋" w:hAnsi="仿宋" w:eastAsia="仿宋" w:cs="仿宋"/>
                <w:kern w:val="0"/>
                <w:sz w:val="22"/>
              </w:rPr>
            </w:pPr>
            <w:r>
              <w:rPr>
                <w:rFonts w:hint="eastAsia" w:ascii="仿宋" w:hAnsi="仿宋" w:eastAsia="仿宋" w:cs="仿宋"/>
                <w:kern w:val="0"/>
                <w:sz w:val="22"/>
              </w:rPr>
              <w:t>说明：以上几项请教师根据整个班级大多数同学的情况填写，也即班级的主流。个别需</w:t>
            </w:r>
          </w:p>
          <w:p>
            <w:pPr>
              <w:pageBreakBefore w:val="0"/>
              <w:topLinePunct w:val="0"/>
              <w:bidi w:val="0"/>
              <w:spacing w:line="360" w:lineRule="auto"/>
              <w:outlineLvl w:val="9"/>
              <w:rPr>
                <w:rFonts w:ascii="仿宋" w:hAnsi="仿宋" w:eastAsia="仿宋" w:cs="仿宋"/>
                <w:kern w:val="0"/>
                <w:sz w:val="22"/>
              </w:rPr>
            </w:pPr>
            <w:r>
              <w:rPr>
                <w:rFonts w:hint="eastAsia" w:ascii="仿宋" w:hAnsi="仿宋" w:eastAsia="仿宋" w:cs="仿宋"/>
                <w:kern w:val="0"/>
                <w:sz w:val="22"/>
              </w:rPr>
              <w:t>反映的情况写在下面或反面，我们会及时与有关部门联系，尽早解决您反映的问题。</w:t>
            </w:r>
          </w:p>
          <w:p>
            <w:pPr>
              <w:pageBreakBefore w:val="0"/>
              <w:topLinePunct w:val="0"/>
              <w:bidi w:val="0"/>
              <w:spacing w:line="360" w:lineRule="auto"/>
              <w:outlineLvl w:val="9"/>
              <w:rPr>
                <w:rFonts w:ascii="仿宋" w:hAnsi="仿宋" w:eastAsia="仿宋" w:cs="仿宋"/>
                <w:kern w:val="0"/>
                <w:sz w:val="22"/>
              </w:rPr>
            </w:pPr>
            <w:r>
              <w:rPr>
                <w:rFonts w:hint="eastAsia" w:ascii="仿宋" w:hAnsi="仿宋" w:eastAsia="仿宋" w:cs="仿宋"/>
                <w:kern w:val="0"/>
                <w:sz w:val="22"/>
              </w:rPr>
              <w:t>另：担任合班课程的教师每个合班仅需填写一份表格；承担两门及以上课程的教师，须按课程分别填写评学表。</w:t>
            </w:r>
          </w:p>
        </w:tc>
      </w:tr>
      <w:tr>
        <w:tblPrEx>
          <w:tblCellMar>
            <w:top w:w="0" w:type="dxa"/>
            <w:left w:w="108" w:type="dxa"/>
            <w:bottom w:w="0" w:type="dxa"/>
            <w:right w:w="108" w:type="dxa"/>
          </w:tblCellMar>
        </w:tblPrEx>
        <w:trPr>
          <w:trHeight w:val="493" w:hRule="atLeast"/>
          <w:jc w:val="center"/>
        </w:trPr>
        <w:tc>
          <w:tcPr>
            <w:tcW w:w="8720" w:type="dxa"/>
            <w:gridSpan w:val="8"/>
            <w:tcBorders>
              <w:top w:val="nil"/>
              <w:left w:val="nil"/>
              <w:right w:val="nil"/>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二、对学校、二级学院、管理部门的意见和建议</w:t>
            </w:r>
          </w:p>
        </w:tc>
      </w:tr>
      <w:tr>
        <w:tblPrEx>
          <w:tblCellMar>
            <w:top w:w="0" w:type="dxa"/>
            <w:left w:w="108" w:type="dxa"/>
            <w:bottom w:w="0" w:type="dxa"/>
            <w:right w:w="108" w:type="dxa"/>
          </w:tblCellMar>
        </w:tblPrEx>
        <w:trPr>
          <w:gridAfter w:val="1"/>
          <w:wAfter w:w="220" w:type="dxa"/>
          <w:trHeight w:val="986" w:hRule="atLeast"/>
          <w:jc w:val="center"/>
        </w:trPr>
        <w:tc>
          <w:tcPr>
            <w:tcW w:w="8500" w:type="dxa"/>
            <w:gridSpan w:val="7"/>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left"/>
              <w:outlineLvl w:val="9"/>
              <w:rPr>
                <w:rFonts w:ascii="仿宋" w:hAnsi="仿宋" w:eastAsia="仿宋" w:cs="仿宋"/>
                <w:kern w:val="0"/>
                <w:sz w:val="22"/>
              </w:rPr>
            </w:pPr>
          </w:p>
        </w:tc>
      </w:tr>
      <w:tr>
        <w:tblPrEx>
          <w:tblCellMar>
            <w:top w:w="0" w:type="dxa"/>
            <w:left w:w="108" w:type="dxa"/>
            <w:bottom w:w="0" w:type="dxa"/>
            <w:right w:w="108" w:type="dxa"/>
          </w:tblCellMar>
        </w:tblPrEx>
        <w:trPr>
          <w:gridAfter w:val="1"/>
          <w:wAfter w:w="220" w:type="dxa"/>
          <w:trHeight w:val="555" w:hRule="atLeast"/>
          <w:jc w:val="center"/>
        </w:trPr>
        <w:tc>
          <w:tcPr>
            <w:tcW w:w="3410" w:type="dxa"/>
            <w:gridSpan w:val="4"/>
            <w:tcBorders>
              <w:top w:val="single" w:color="auto" w:sz="4" w:space="0"/>
              <w:left w:val="nil"/>
              <w:bottom w:val="nil"/>
              <w:right w:val="nil"/>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 xml:space="preserve">填写人所在部门：            </w:t>
            </w:r>
          </w:p>
        </w:tc>
        <w:tc>
          <w:tcPr>
            <w:tcW w:w="5090" w:type="dxa"/>
            <w:gridSpan w:val="3"/>
            <w:tcBorders>
              <w:top w:val="single" w:color="auto" w:sz="4" w:space="0"/>
              <w:left w:val="nil"/>
              <w:bottom w:val="nil"/>
              <w:right w:val="nil"/>
            </w:tcBorders>
            <w:noWrap w:val="0"/>
            <w:vAlign w:val="center"/>
          </w:tcPr>
          <w:p>
            <w:pPr>
              <w:pageBreakBefore w:val="0"/>
              <w:widowControl/>
              <w:topLinePunct w:val="0"/>
              <w:bidi w:val="0"/>
              <w:jc w:val="left"/>
              <w:outlineLvl w:val="9"/>
              <w:rPr>
                <w:rFonts w:ascii="仿宋" w:hAnsi="仿宋" w:eastAsia="仿宋" w:cs="仿宋"/>
                <w:kern w:val="0"/>
                <w:sz w:val="22"/>
              </w:rPr>
            </w:pPr>
            <w:r>
              <w:rPr>
                <w:rFonts w:hint="eastAsia" w:ascii="仿宋" w:hAnsi="仿宋" w:eastAsia="仿宋" w:cs="仿宋"/>
                <w:kern w:val="0"/>
                <w:sz w:val="22"/>
              </w:rPr>
              <w:t xml:space="preserve">               填写日期：    年    月     日</w:t>
            </w:r>
          </w:p>
        </w:tc>
      </w:tr>
    </w:tbl>
    <w:p>
      <w:pPr>
        <w:pageBreakBefore w:val="0"/>
        <w:widowControl/>
        <w:topLinePunct w:val="0"/>
        <w:bidi w:val="0"/>
        <w:adjustRightInd w:val="0"/>
        <w:snapToGrid w:val="0"/>
        <w:spacing w:line="360" w:lineRule="auto"/>
        <w:ind w:firstLine="420" w:firstLineChars="200"/>
        <w:jc w:val="left"/>
        <w:outlineLvl w:val="9"/>
        <w:rPr>
          <w:rFonts w:ascii="宋体"/>
        </w:rPr>
      </w:pPr>
    </w:p>
    <w:p>
      <w:pPr>
        <w:pageBreakBefore w:val="0"/>
        <w:topLinePunct w:val="0"/>
        <w:bidi w:val="0"/>
        <w:spacing w:line="20" w:lineRule="exact"/>
        <w:outlineLvl w:val="9"/>
        <w:rPr>
          <w:rFonts w:eastAsia="仿宋_GB2312"/>
          <w:sz w:val="32"/>
          <w:szCs w:val="32"/>
        </w:rPr>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outlineLvl w:val="9"/>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outlineLvl w:val="9"/>
        <w:rPr>
          <w:sz w:val="24"/>
        </w:rPr>
      </w:pPr>
    </w:p>
    <w:p>
      <w:pPr>
        <w:pageBreakBefore w:val="0"/>
        <w:topLinePunct w:val="0"/>
        <w:bidi w:val="0"/>
        <w:spacing w:before="178" w:beforeLines="50"/>
        <w:outlineLvl w:val="9"/>
        <w:rPr>
          <w:sz w:val="24"/>
        </w:rPr>
      </w:pPr>
    </w:p>
    <w:p>
      <w:pPr>
        <w:pageBreakBefore w:val="0"/>
        <w:topLinePunct w:val="0"/>
        <w:bidi w:val="0"/>
        <w:jc w:val="center"/>
        <w:outlineLvl w:val="9"/>
        <w:rPr>
          <w:rFonts w:eastAsia="仿宋_GB2312"/>
          <w:sz w:val="32"/>
          <w:szCs w:val="32"/>
        </w:rPr>
      </w:pPr>
      <w:r>
        <w:rPr>
          <w:rFonts w:hint="eastAsia" w:eastAsia="仿宋_GB2312"/>
          <w:color w:val="000000"/>
          <w:kern w:val="0"/>
          <w:sz w:val="32"/>
          <w:szCs w:val="28"/>
        </w:rPr>
        <w:t>沪电信职院</w:t>
      </w:r>
      <w:r>
        <w:rPr>
          <w:rFonts w:hint="eastAsia" w:ascii="仿宋_GB2312" w:eastAsia="仿宋_GB2312"/>
          <w:color w:val="000000"/>
          <w:kern w:val="0"/>
          <w:sz w:val="32"/>
          <w:szCs w:val="28"/>
        </w:rPr>
        <w:t>〔2019〕1</w:t>
      </w:r>
      <w:r>
        <w:rPr>
          <w:rFonts w:hint="eastAsia" w:ascii="仿宋_GB2312" w:eastAsia="仿宋_GB2312"/>
          <w:color w:val="000000"/>
          <w:kern w:val="0"/>
          <w:sz w:val="32"/>
          <w:szCs w:val="28"/>
          <w:lang w:val="en-US" w:eastAsia="zh-CN"/>
        </w:rPr>
        <w:t>40</w:t>
      </w:r>
      <w:r>
        <w:rPr>
          <w:rFonts w:hint="eastAsia" w:ascii="仿宋_GB2312" w:eastAsia="仿宋_GB2312"/>
          <w:color w:val="000000"/>
          <w:kern w:val="0"/>
          <w:sz w:val="32"/>
          <w:szCs w:val="28"/>
        </w:rPr>
        <w:t xml:space="preserve">号   </w:t>
      </w:r>
    </w:p>
    <w:p>
      <w:pPr>
        <w:pageBreakBefore w:val="0"/>
        <w:widowControl/>
        <w:topLinePunct w:val="0"/>
        <w:bidi w:val="0"/>
        <w:adjustRightInd w:val="0"/>
        <w:snapToGrid w:val="0"/>
        <w:spacing w:line="520" w:lineRule="exact"/>
        <w:outlineLvl w:val="9"/>
        <w:rPr>
          <w:rFonts w:eastAsia="华文中宋"/>
          <w:b/>
          <w:sz w:val="36"/>
          <w:szCs w:val="36"/>
        </w:rPr>
      </w:pPr>
      <w:r>
        <w:rPr>
          <w:rFonts w:hint="eastAsia" w:ascii="黑体" w:eastAsia="黑体"/>
          <w:color w:val="FF0000"/>
          <w:sz w:val="28"/>
          <w:szCs w:val="28"/>
          <w:u w:val="thick"/>
        </w:rPr>
        <w:t xml:space="preserve">                                                              </w:t>
      </w:r>
    </w:p>
    <w:p>
      <w:pPr>
        <w:pStyle w:val="98"/>
        <w:pageBreakBefore w:val="0"/>
        <w:shd w:val="clear" w:color="auto" w:fill="FFFFFF"/>
        <w:topLinePunct w:val="0"/>
        <w:bidi w:val="0"/>
        <w:spacing w:before="0" w:beforeAutospacing="0" w:after="0" w:afterAutospacing="0" w:line="560" w:lineRule="exact"/>
        <w:jc w:val="center"/>
        <w:outlineLvl w:val="9"/>
        <w:rPr>
          <w:rFonts w:eastAsia="华文中宋"/>
          <w:b/>
          <w:sz w:val="36"/>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
          <w:sz w:val="36"/>
          <w:szCs w:val="36"/>
        </w:rPr>
      </w:pPr>
      <w:bookmarkStart w:id="263" w:name="_Toc1744"/>
      <w:r>
        <w:rPr>
          <w:rFonts w:hint="eastAsia" w:ascii="黑体" w:hAnsi="黑体" w:eastAsia="黑体" w:cs="黑体"/>
          <w:b/>
          <w:kern w:val="0"/>
          <w:sz w:val="36"/>
          <w:szCs w:val="24"/>
        </w:rPr>
        <w:t>关于</w:t>
      </w:r>
      <w:r>
        <w:rPr>
          <w:rFonts w:hint="eastAsia" w:ascii="黑体" w:hAnsi="黑体" w:eastAsia="黑体" w:cs="黑体"/>
          <w:b/>
          <w:kern w:val="0"/>
          <w:sz w:val="36"/>
          <w:szCs w:val="36"/>
        </w:rPr>
        <w:t>印发《</w:t>
      </w:r>
      <w:r>
        <w:rPr>
          <w:rFonts w:hint="eastAsia" w:ascii="黑体" w:hAnsi="黑体" w:eastAsia="黑体" w:cs="黑体"/>
          <w:b/>
          <w:sz w:val="36"/>
          <w:szCs w:val="36"/>
        </w:rPr>
        <w:t>上海电子信息职业技术学院</w:t>
      </w:r>
      <w:r>
        <w:rPr>
          <w:rFonts w:hint="eastAsia" w:ascii="黑体" w:hAnsi="黑体" w:eastAsia="黑体" w:cs="黑体"/>
          <w:b/>
          <w:sz w:val="36"/>
          <w:szCs w:val="36"/>
          <w:lang w:val="en-US" w:eastAsia="zh-CN"/>
        </w:rPr>
        <w:t>三年制学生学籍管理规定</w:t>
      </w:r>
      <w:r>
        <w:rPr>
          <w:rFonts w:hint="eastAsia" w:ascii="黑体" w:hAnsi="黑体" w:eastAsia="黑体" w:cs="黑体"/>
          <w:b/>
          <w:sz w:val="36"/>
          <w:szCs w:val="36"/>
        </w:rPr>
        <w:t>（修订）》的通知</w:t>
      </w:r>
      <w:bookmarkEnd w:id="263"/>
    </w:p>
    <w:p>
      <w:pPr>
        <w:pageBreakBefore w:val="0"/>
        <w:topLinePunct w:val="0"/>
        <w:bidi w:val="0"/>
        <w:spacing w:before="357" w:beforeLines="100" w:line="240" w:lineRule="atLeas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widowControl/>
        <w:topLinePunct w:val="0"/>
        <w:bidi w:val="0"/>
        <w:spacing w:line="240" w:lineRule="atLeast"/>
        <w:ind w:firstLine="64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现将《上海电子信息职业技术学院三年制学生学籍管理规定（修订）》印发给你们，请结合本部门工作实际，认真研究执行。</w:t>
      </w:r>
      <w:r>
        <w:rPr>
          <w:rFonts w:hint="eastAsia" w:ascii="仿宋_GB2312" w:hAnsi="仿宋_GB2312" w:eastAsia="仿宋_GB2312" w:cs="仿宋_GB2312"/>
          <w:kern w:val="2"/>
          <w:sz w:val="28"/>
          <w:szCs w:val="28"/>
          <w:highlight w:val="none"/>
          <w:lang w:val="en-US" w:eastAsia="zh-CN" w:bidi="ar-SA"/>
        </w:rPr>
        <w:tab/>
      </w: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240" w:lineRule="atLeast"/>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240" w:lineRule="atLeast"/>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240" w:lineRule="atLeas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附件：上海电子信息职业技术学院三年制学生学籍管理规定（修订）</w:t>
      </w:r>
    </w:p>
    <w:p>
      <w:pPr>
        <w:pageBreakBefore w:val="0"/>
        <w:topLinePunct w:val="0"/>
        <w:bidi w:val="0"/>
        <w:spacing w:line="240" w:lineRule="atLeast"/>
        <w:ind w:right="482"/>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240" w:lineRule="atLeast"/>
        <w:ind w:right="482"/>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240" w:lineRule="atLeast"/>
        <w:ind w:right="482" w:firstLine="3080" w:firstLineChars="11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p>
    <w:p>
      <w:pPr>
        <w:pageBreakBefore w:val="0"/>
        <w:topLinePunct w:val="0"/>
        <w:bidi w:val="0"/>
        <w:spacing w:line="240" w:lineRule="atLeast"/>
        <w:ind w:right="482"/>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2019年8月3日</w:t>
      </w:r>
    </w:p>
    <w:p>
      <w:pPr>
        <w:pageBreakBefore w:val="0"/>
        <w:widowControl/>
        <w:topLinePunct w:val="0"/>
        <w:bidi w:val="0"/>
        <w:adjustRightInd w:val="0"/>
        <w:snapToGrid w:val="0"/>
        <w:spacing w:line="520" w:lineRule="exact"/>
        <w:outlineLvl w:val="9"/>
        <w:rPr>
          <w:rFonts w:hint="eastAsia" w:eastAsia="华文中宋"/>
          <w:b/>
          <w:sz w:val="36"/>
          <w:szCs w:val="36"/>
          <w:lang w:val="en-US" w:eastAsia="zh-CN"/>
        </w:rPr>
      </w:pPr>
    </w:p>
    <w:p>
      <w:pPr>
        <w:pageBreakBefore w:val="0"/>
        <w:widowControl/>
        <w:topLinePunct w:val="0"/>
        <w:bidi w:val="0"/>
        <w:adjustRightInd w:val="0"/>
        <w:snapToGrid w:val="0"/>
        <w:spacing w:line="520" w:lineRule="exact"/>
        <w:outlineLvl w:val="9"/>
        <w:rPr>
          <w:rFonts w:hint="eastAsia" w:eastAsia="华文中宋"/>
          <w:b/>
          <w:sz w:val="36"/>
          <w:szCs w:val="36"/>
          <w:lang w:val="en-US" w:eastAsia="zh-CN"/>
        </w:rPr>
      </w:pPr>
      <w:r>
        <w:rPr>
          <w:rFonts w:hint="eastAsia" w:ascii="仿宋_GB2312" w:hAnsi="仿宋_GB2312" w:eastAsia="仿宋_GB2312" w:cs="仿宋_GB2312"/>
          <w:kern w:val="2"/>
          <w:sz w:val="28"/>
          <w:szCs w:val="28"/>
          <w:highlight w:val="none"/>
          <w:lang w:val="en-US" w:eastAsia="zh-CN" w:bidi="ar-SA"/>
        </w:rPr>
        <w:t xml:space="preserve">附件： </w:t>
      </w:r>
      <w:r>
        <w:rPr>
          <w:rFonts w:hint="eastAsia" w:eastAsia="华文中宋"/>
          <w:b/>
          <w:sz w:val="36"/>
          <w:szCs w:val="36"/>
          <w:lang w:val="en-US" w:eastAsia="zh-CN"/>
        </w:rPr>
        <w:t xml:space="preserve">     </w:t>
      </w:r>
    </w:p>
    <w:p>
      <w:pPr>
        <w:pageBreakBefore w:val="0"/>
        <w:widowControl/>
        <w:topLinePunct w:val="0"/>
        <w:bidi w:val="0"/>
        <w:adjustRightInd w:val="0"/>
        <w:snapToGrid w:val="0"/>
        <w:spacing w:line="520" w:lineRule="exact"/>
        <w:ind w:firstLine="723" w:firstLineChars="200"/>
        <w:jc w:val="center"/>
        <w:outlineLvl w:val="9"/>
        <w:rPr>
          <w:rFonts w:hint="eastAsia" w:ascii="黑体" w:hAnsi="黑体" w:eastAsia="黑体" w:cs="黑体"/>
          <w:b/>
          <w:sz w:val="36"/>
          <w:szCs w:val="36"/>
          <w:lang w:val="en-US" w:eastAsia="zh-CN"/>
        </w:rPr>
      </w:pPr>
      <w:r>
        <w:rPr>
          <w:rFonts w:hint="eastAsia" w:ascii="黑体" w:hAnsi="黑体" w:eastAsia="黑体" w:cs="黑体"/>
          <w:b/>
          <w:sz w:val="36"/>
          <w:szCs w:val="36"/>
          <w:lang w:val="en-US" w:eastAsia="zh-CN"/>
        </w:rPr>
        <w:t>上海电子信息职业技术学院</w:t>
      </w:r>
    </w:p>
    <w:p>
      <w:pPr>
        <w:pageBreakBefore w:val="0"/>
        <w:widowControl/>
        <w:topLinePunct w:val="0"/>
        <w:bidi w:val="0"/>
        <w:adjustRightInd w:val="0"/>
        <w:snapToGrid w:val="0"/>
        <w:spacing w:line="520" w:lineRule="exact"/>
        <w:ind w:firstLine="723" w:firstLineChars="200"/>
        <w:jc w:val="center"/>
        <w:outlineLvl w:val="9"/>
        <w:rPr>
          <w:rFonts w:hint="eastAsia" w:ascii="黑体" w:hAnsi="黑体" w:eastAsia="黑体" w:cs="黑体"/>
          <w:b/>
          <w:sz w:val="36"/>
          <w:szCs w:val="36"/>
        </w:rPr>
      </w:pPr>
      <w:r>
        <w:rPr>
          <w:rFonts w:hint="eastAsia" w:ascii="黑体" w:hAnsi="黑体" w:eastAsia="黑体" w:cs="黑体"/>
          <w:b/>
          <w:sz w:val="36"/>
          <w:szCs w:val="36"/>
          <w:lang w:val="en-US" w:eastAsia="zh-CN"/>
        </w:rPr>
        <w:t>三年制</w:t>
      </w:r>
      <w:r>
        <w:rPr>
          <w:rFonts w:hint="eastAsia" w:ascii="黑体" w:hAnsi="黑体" w:eastAsia="黑体" w:cs="黑体"/>
          <w:b/>
          <w:sz w:val="36"/>
          <w:szCs w:val="36"/>
        </w:rPr>
        <w:t>学生学籍管理规定（修订）</w:t>
      </w:r>
    </w:p>
    <w:p>
      <w:pPr>
        <w:keepNext w:val="0"/>
        <w:keepLines w:val="0"/>
        <w:pageBreakBefore w:val="0"/>
        <w:widowControl/>
        <w:kinsoku/>
        <w:wordWrap/>
        <w:overflowPunct/>
        <w:topLinePunct w:val="0"/>
        <w:bidi w:val="0"/>
        <w:adjustRightInd w:val="0"/>
        <w:snapToGrid w:val="0"/>
        <w:spacing w:line="360" w:lineRule="auto"/>
        <w:ind w:firstLine="3080" w:firstLineChars="110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kinsoku/>
        <w:wordWrap/>
        <w:overflowPunct/>
        <w:topLinePunct w:val="0"/>
        <w:bidi w:val="0"/>
        <w:adjustRightInd w:val="0"/>
        <w:snapToGrid w:val="0"/>
        <w:spacing w:line="360" w:lineRule="auto"/>
        <w:ind w:firstLine="3080" w:firstLineChars="11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一、总则</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了全面贯彻国家教育方针，维护学校正常的教育教学秩序，保障学生合法权益，培养社会主义现代化建设需要的高素质技术技能人才，积极推进素质教育，注重能力培养，充分调动和发挥学生自主学习的积极性，使学生在德、智、体、美、劳等方面得到全面发展。根据教育部颁布的《普通高等学校学生管理规定》（教育部令第41号），对原“上海电子信息职业技术学院学生学籍管理规定”作部分修改，并制订本规定。</w:t>
      </w: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二、入学与注册</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新生的录取必须符合国家有关招生规定、并经上海市教育委员会审核批准。录取的新生必须持录取通知书、身份证等有效证件，在学校规定的报到时间里到校办理入学手续。因故不能按期入学的，应在学校规定的报到时间内向学校提出书面请假申请，请假时间一般不得超过两周。未按时请假或请假期限届满未报到的，除因不可抗力等正当事由以外，视为放弃入学资格。</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校在报到时对新生入学资格进行初步审查，审查内容包括录取材料查验、身份查验、图像采集等。审查合格的办理入学手续，予以注册学籍；审查发现新生的录取通知书、考生信息等证明材料与本人实际情况不符，或者有其他违反国家招生考试规定情形的，取消入学资格。</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新生可以申请保留入学资格，保留入学资格期间不具有学籍。对患有疾病的新生，经二级甲等以上医院诊断不宜在学校学习的，可以申请保留入学资格一年。在保留入学资格期内经治疗康复，可以向学校申请入学，由二级甲等以上医院诊断，符合体检要求，经学校复查合格后，办理入学手续。逾期不办理入学手续且未有因不可抗力延迟等正当理由的，视为放弃入学资格。</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录取新生当年参加中国人民解放军（含中国人民武装警察部队），可按照有关规定申请办理保留入学资格，学校为其保留入学资格至退役后两年，退役后可按照学校有关规定办理报到入学。</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4.学校在新生报到入学三个月内按照国家招生规定进行复查，复查内容主要包括以下方面：</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（1）录取手续及程序等是否合乎国家招生规定；</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（2）所获得的录取资格是否真实、合乎相关规定；</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（3）本人及身份证明与录取通知、考生档案等是否一致；</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（4）身心健康状况是否符合报考专业或者专业类别体检要求，能否保证在校正常学习、生活；</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（5）艺术、体育等特殊类型录取学生的专业水平是否符合录取要求。</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复查中发现学生存在弄虚作假、徇私舞弊等情形的，确定为复查不合格，学校将取消该生学籍；情节严重的，移交有关部门调查处理。</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复查中发现学生身心状况不适宜在校学习，经二级甲等以上医院诊断需要在家休养的，可按照第3条规定办理保留入学资格。</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每学期开学时，学生须按学校规定在开学三周内办理注册手续。不能如期注册者，应当履行暂缓注册手续。注册、暂缓注册按照学校《学生注册管理办法》要求办理。未按学校规定缴纳学费或者有其他不符合注册条件的，不予注册。</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家庭经济困难的学生可以申请助学贷款或者其他形式资助，办妥有关手续后办理注册。</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6.凡取得我校学籍的学生，在籍期间不得报考国内外其他普通高等院校。</w:t>
      </w: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三、学籍档案</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7.新生入学后，学校为学生建立学籍档案，主要包括：报名录取档案材料、学籍卡、奖惩记载、学生成绩总表、毕业生登记表等。学生学籍档案由学校指定专人管理，按有关规定使用与转移。</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8.学生毕业、结业、退学或注销学籍后，学籍卡由学校归档、保存。</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9.学生在校期间个人身份信息修改的，需向学校提交由公安机关出具的相关身份信息变更证明等材料，经学校和上海市教育委员会审核后变更其有关信息。</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10.新生按入学时的录取专业确定学号；学号一经排定，不作更改。</w:t>
      </w: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四、学制与学分</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11．高等职业教育基本学制为三年；中高职教育贯通培养（以下简称“贯通培养”）高职阶段基本学制为两年。</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12．学生在校最长学习年限一般不得超过六年；贯通培养学生高职阶段的最长学习年限一般不得超过四年。</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13．普通高等职业教育专业人才培养方案规定修读的学分一般不得少于143学分；贯通培养高职阶段专业人才培养方案规定修读的学分一般不得少于90学分,课程学分原则上为16课时1学分，纯实训类课程16-30课时1学分。</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kinsoku/>
        <w:wordWrap/>
        <w:overflowPunct/>
        <w:topLinePunct w:val="0"/>
        <w:bidi w:val="0"/>
        <w:adjustRightInd w:val="0"/>
        <w:snapToGrid w:val="0"/>
        <w:spacing w:line="360" w:lineRule="auto"/>
        <w:ind w:firstLine="2240" w:firstLineChars="8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五、课程考核与成绩记载</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14．各专业课程主要由通识教育必修课、职业教育必修课（以下简称“必修”），通识教育选修课、职业拓展选修课（以下简称“选修”）和艺术教育限选课（以下简称“限选”）等构成。学生应修读所在专业开设的所有课程，并按要求参加考核，考核成绩载入学生成绩总表，归入学生本人学籍档案。</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15．课程考核分为考试和考查两种，课程考核方式由各二级学院根据课程特点加以确定，并在人才培养方案中注明，一般建议考试课程平时成绩占40%，期末成绩占60%；考查课程平时成绩占60%，期末成绩占40%。</w:t>
      </w:r>
    </w:p>
    <w:p>
      <w:pPr>
        <w:keepNext w:val="0"/>
        <w:keepLines w:val="0"/>
        <w:pageBreakBefore w:val="0"/>
        <w:widowControl/>
        <w:kinsoku/>
        <w:wordWrap/>
        <w:overflowPunct/>
        <w:topLinePunct w:val="0"/>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16．成绩包括获取方式和分值两部分：获取方式指正考、补考、复读等；分值指具体分数值，以百分制记。不同的成绩分值对应不同的绩点（考核成绩分值60分，对应成绩绩点为1.0，以后每增加1分对应增加0.1个绩点），对应关系如下：</w:t>
      </w:r>
    </w:p>
    <w:tbl>
      <w:tblPr>
        <w:tblStyle w:val="37"/>
        <w:tblW w:w="5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2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28" w:type="dxa"/>
            <w:noWrap w:val="0"/>
            <w:vAlign w:val="center"/>
          </w:tcPr>
          <w:p>
            <w:pPr>
              <w:keepNext w:val="0"/>
              <w:keepLines w:val="0"/>
              <w:pageBreakBefore w:val="0"/>
              <w:kinsoku/>
              <w:wordWrap/>
              <w:overflowPunct/>
              <w:topLinePunct w:val="0"/>
              <w:autoSpaceDE w:val="0"/>
              <w:autoSpaceDN w:val="0"/>
              <w:bidi w:val="0"/>
              <w:spacing w:line="360" w:lineRule="auto"/>
              <w:ind w:firstLine="200"/>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成绩分值</w:t>
            </w:r>
          </w:p>
        </w:tc>
        <w:tc>
          <w:tcPr>
            <w:tcW w:w="2629" w:type="dxa"/>
            <w:noWrap w:val="0"/>
            <w:vAlign w:val="center"/>
          </w:tcPr>
          <w:p>
            <w:pPr>
              <w:keepNext w:val="0"/>
              <w:keepLines w:val="0"/>
              <w:pageBreakBefore w:val="0"/>
              <w:kinsoku/>
              <w:wordWrap/>
              <w:overflowPunct/>
              <w:topLinePunct w:val="0"/>
              <w:autoSpaceDE w:val="0"/>
              <w:autoSpaceDN w:val="0"/>
              <w:bidi w:val="0"/>
              <w:spacing w:line="360" w:lineRule="auto"/>
              <w:ind w:firstLine="200"/>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绩点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noWrap w:val="0"/>
            <w:vAlign w:val="center"/>
          </w:tcPr>
          <w:p>
            <w:pPr>
              <w:keepNext w:val="0"/>
              <w:keepLines w:val="0"/>
              <w:pageBreakBefore w:val="0"/>
              <w:kinsoku/>
              <w:wordWrap/>
              <w:overflowPunct/>
              <w:topLinePunct w:val="0"/>
              <w:autoSpaceDE w:val="0"/>
              <w:autoSpaceDN w:val="0"/>
              <w:bidi w:val="0"/>
              <w:spacing w:line="360" w:lineRule="auto"/>
              <w:ind w:firstLine="200"/>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≥90</w:t>
            </w:r>
          </w:p>
        </w:tc>
        <w:tc>
          <w:tcPr>
            <w:tcW w:w="2629" w:type="dxa"/>
            <w:noWrap w:val="0"/>
            <w:vAlign w:val="center"/>
          </w:tcPr>
          <w:p>
            <w:pPr>
              <w:keepNext w:val="0"/>
              <w:keepLines w:val="0"/>
              <w:pageBreakBefore w:val="0"/>
              <w:kinsoku/>
              <w:wordWrap/>
              <w:overflowPunct/>
              <w:topLinePunct w:val="0"/>
              <w:autoSpaceDE w:val="0"/>
              <w:autoSpaceDN w:val="0"/>
              <w:bidi w:val="0"/>
              <w:spacing w:line="360" w:lineRule="auto"/>
              <w:ind w:firstLine="200"/>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noWrap w:val="0"/>
            <w:vAlign w:val="center"/>
          </w:tcPr>
          <w:p>
            <w:pPr>
              <w:keepNext w:val="0"/>
              <w:keepLines w:val="0"/>
              <w:pageBreakBefore w:val="0"/>
              <w:kinsoku/>
              <w:wordWrap/>
              <w:overflowPunct/>
              <w:topLinePunct w:val="0"/>
              <w:autoSpaceDE w:val="0"/>
              <w:autoSpaceDN w:val="0"/>
              <w:bidi w:val="0"/>
              <w:spacing w:line="360" w:lineRule="auto"/>
              <w:ind w:firstLine="200"/>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80-89</w:t>
            </w:r>
          </w:p>
        </w:tc>
        <w:tc>
          <w:tcPr>
            <w:tcW w:w="2629" w:type="dxa"/>
            <w:noWrap w:val="0"/>
            <w:vAlign w:val="center"/>
          </w:tcPr>
          <w:p>
            <w:pPr>
              <w:keepNext w:val="0"/>
              <w:keepLines w:val="0"/>
              <w:pageBreakBefore w:val="0"/>
              <w:kinsoku/>
              <w:wordWrap/>
              <w:overflowPunct/>
              <w:topLinePunct w:val="0"/>
              <w:autoSpaceDE w:val="0"/>
              <w:autoSpaceDN w:val="0"/>
              <w:bidi w:val="0"/>
              <w:spacing w:line="360" w:lineRule="auto"/>
              <w:ind w:firstLine="200"/>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noWrap w:val="0"/>
            <w:vAlign w:val="center"/>
          </w:tcPr>
          <w:p>
            <w:pPr>
              <w:keepNext w:val="0"/>
              <w:keepLines w:val="0"/>
              <w:pageBreakBefore w:val="0"/>
              <w:kinsoku/>
              <w:wordWrap/>
              <w:overflowPunct/>
              <w:topLinePunct w:val="0"/>
              <w:autoSpaceDE w:val="0"/>
              <w:autoSpaceDN w:val="0"/>
              <w:bidi w:val="0"/>
              <w:spacing w:line="360" w:lineRule="auto"/>
              <w:ind w:firstLine="200"/>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70-79</w:t>
            </w:r>
          </w:p>
        </w:tc>
        <w:tc>
          <w:tcPr>
            <w:tcW w:w="2629" w:type="dxa"/>
            <w:noWrap w:val="0"/>
            <w:vAlign w:val="center"/>
          </w:tcPr>
          <w:p>
            <w:pPr>
              <w:keepNext w:val="0"/>
              <w:keepLines w:val="0"/>
              <w:pageBreakBefore w:val="0"/>
              <w:kinsoku/>
              <w:wordWrap/>
              <w:overflowPunct/>
              <w:topLinePunct w:val="0"/>
              <w:autoSpaceDE w:val="0"/>
              <w:autoSpaceDN w:val="0"/>
              <w:bidi w:val="0"/>
              <w:spacing w:line="360" w:lineRule="auto"/>
              <w:ind w:firstLine="200"/>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noWrap w:val="0"/>
            <w:vAlign w:val="center"/>
          </w:tcPr>
          <w:p>
            <w:pPr>
              <w:keepNext w:val="0"/>
              <w:keepLines w:val="0"/>
              <w:pageBreakBefore w:val="0"/>
              <w:kinsoku/>
              <w:wordWrap/>
              <w:overflowPunct/>
              <w:topLinePunct w:val="0"/>
              <w:autoSpaceDE w:val="0"/>
              <w:autoSpaceDN w:val="0"/>
              <w:bidi w:val="0"/>
              <w:spacing w:line="360" w:lineRule="auto"/>
              <w:ind w:firstLine="200"/>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60-69</w:t>
            </w:r>
          </w:p>
        </w:tc>
        <w:tc>
          <w:tcPr>
            <w:tcW w:w="2629" w:type="dxa"/>
            <w:noWrap w:val="0"/>
            <w:vAlign w:val="center"/>
          </w:tcPr>
          <w:p>
            <w:pPr>
              <w:keepNext w:val="0"/>
              <w:keepLines w:val="0"/>
              <w:pageBreakBefore w:val="0"/>
              <w:kinsoku/>
              <w:wordWrap/>
              <w:overflowPunct/>
              <w:topLinePunct w:val="0"/>
              <w:autoSpaceDE w:val="0"/>
              <w:autoSpaceDN w:val="0"/>
              <w:bidi w:val="0"/>
              <w:spacing w:line="360" w:lineRule="auto"/>
              <w:ind w:firstLine="200"/>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628" w:type="dxa"/>
            <w:noWrap w:val="0"/>
            <w:vAlign w:val="center"/>
          </w:tcPr>
          <w:p>
            <w:pPr>
              <w:keepNext w:val="0"/>
              <w:keepLines w:val="0"/>
              <w:pageBreakBefore w:val="0"/>
              <w:kinsoku/>
              <w:wordWrap/>
              <w:overflowPunct/>
              <w:topLinePunct w:val="0"/>
              <w:autoSpaceDE w:val="0"/>
              <w:autoSpaceDN w:val="0"/>
              <w:bidi w:val="0"/>
              <w:spacing w:line="360" w:lineRule="auto"/>
              <w:ind w:firstLine="200"/>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&lt;60</w:t>
            </w:r>
          </w:p>
        </w:tc>
        <w:tc>
          <w:tcPr>
            <w:tcW w:w="2629" w:type="dxa"/>
            <w:noWrap w:val="0"/>
            <w:vAlign w:val="center"/>
          </w:tcPr>
          <w:p>
            <w:pPr>
              <w:keepNext w:val="0"/>
              <w:keepLines w:val="0"/>
              <w:pageBreakBefore w:val="0"/>
              <w:kinsoku/>
              <w:wordWrap/>
              <w:overflowPunct/>
              <w:topLinePunct w:val="0"/>
              <w:autoSpaceDE w:val="0"/>
              <w:autoSpaceDN w:val="0"/>
              <w:bidi w:val="0"/>
              <w:spacing w:line="360" w:lineRule="auto"/>
              <w:ind w:firstLine="200"/>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0</w:t>
            </w:r>
          </w:p>
        </w:tc>
      </w:tr>
    </w:tbl>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一门课程的成绩记载包括成绩分值、学分、绩点和课程性质（必修、选修、限选）等。学生成绩总表中还应包括学生修读学分总数和平均绩点，其中平均绩点的计算方法为：</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pict>
          <v:shape id="Object 143" o:spid="_x0000_s1129" o:spt="75" type="#_x0000_t75" style="position:absolute;left:0pt;margin-left:191.5pt;margin-top:16.15pt;height:45pt;width:108.7pt;mso-wrap-distance-bottom:0pt;mso-wrap-distance-left:9pt;mso-wrap-distance-right:9pt;mso-wrap-distance-top:0pt;z-index:251755520;mso-width-relative:page;mso-height-relative:page;" o:ole="t" filled="f" o:preferrelative="f" stroked="f" coordsize="21600,21600">
            <v:path/>
            <v:fill on="f" focussize="0,0"/>
            <v:stroke on="f" joinstyle="miter"/>
            <v:imagedata r:id="rId13" o:title=""/>
            <o:lock v:ext="edit" aspectratio="f"/>
            <w10:wrap type="square"/>
          </v:shape>
          <o:OLEObject Type="Embed" ProgID="" ShapeID="Object 143" DrawAspect="Content" ObjectID="_1468075725" r:id="rId12">
            <o:LockedField>false</o:LockedField>
          </o:OLEObject>
        </w:pict>
      </w:r>
    </w:p>
    <w:p>
      <w:pPr>
        <w:keepNext w:val="0"/>
        <w:keepLines w:val="0"/>
        <w:pageBreakBefore w:val="0"/>
        <w:kinsoku/>
        <w:wordWrap/>
        <w:overflowPunct/>
        <w:topLinePunct w:val="0"/>
        <w:bidi w:val="0"/>
        <w:spacing w:line="360" w:lineRule="auto"/>
        <w:ind w:firstLine="1960" w:firstLineChars="7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平均绩点=</w:t>
      </w:r>
    </w:p>
    <w:p>
      <w:pPr>
        <w:keepNext w:val="0"/>
        <w:keepLines w:val="0"/>
        <w:pageBreakBefore w:val="0"/>
        <w:kinsoku/>
        <w:wordWrap/>
        <w:overflowPunct/>
        <w:topLinePunct w:val="0"/>
        <w:bidi w:val="0"/>
        <w:spacing w:line="360" w:lineRule="auto"/>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（其中：课程的学分绩点＝学分×绩点）</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17．学生体育成绩评定突出过程管理，主要根据考勤、课内教学、课外锻炼活动和体质健康等情况综合评定。</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18．学生参加创新创业、社会实践等活动以及发表论文、获得专利授权等与专业学习、学业要求相关的经历、成果，由二级学院审定，可以折算为创新创业教育学分，计入学业成绩。</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19．军事理论属于必修课，学生因身体疾病或某种生理缺陷，经二级甲等以上医院诊断不能正常参加军事技能的，可在军训前向所在二级学院提出缓训、免训或半训申请，并报武装部审核批准。</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20．学生旷课累计达到某门课程教学时数三分之一者，不得参加该课程的考核，必须复读该课程。</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21．为保证考试顺利进行，考试期间原则上不准请假。因故不能参加考试的学生须在考试前申请缓考，一门课程学生只准申请缓考一次，原则上补考不得申请缓考。缓考不及格者，不再予以补考，应复读该门课程。</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22．凡缺考或考试作弊者，不准补考，学生必须复读该课程，并在学籍档案的相应位置注明“旷缺”或“作弊”字样。</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23. 学生应修满学校第二课堂规定的40积分并获得成绩单。</w:t>
      </w: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六、选课与免修</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24．按《学分制管理规定》的要求，学生实行选课学习。学生应按专业人才培养方案的安排修读各门课程，并在规定的学习年限内取得所学专业规定修读的所有学分。</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25．学生在每学期选课前应详细阅读本专业的人才培养方案和课程简介，根据本人的学习能力慎重选课。</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26．已修读过并取得学分的课程不得再修。</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27．除人才培养方案规定的思想政治教育、安全教育、创业创新教育、体育、劳动、艺术和实践性教学等课程外，其他课程满足以下几种情况可以申请免修并取得折算成绩，或参加考试，以考试成绩记分：</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（1）学生转专业后，原已修读并取得学分的课程可以免修。</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持有高等教育自学考试单科合格证书或持有国家、上海市人力资源与社会保障部门颁发的职业资格证书或行企业职业技能等级证书的学生，可申请免修与教学标准要求相一致的课程。经审核批准后，给予相应学分，成绩以80分计，并在学籍档案中记录证书明细。</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学生参加上海电子信息职业技术学院考点组织的高等学校英语应用能力考试，获取高等学校英语应用能力考试A级证书（艺术类专业学生获取B级证书），可免修或抵充考试所在学期的实用英语课程，并给予相应学分，成绩以80分计；学生参加上海电子信息职业技术学院考点组织的大学英语四级考试，成绩在425分(含425分)以上，可免修或抵充实用英语课程，并给予相应学分，成绩以80分计。</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（4）学生参加上海电子信息职业技术学院考点组织的上海市高校计算机等级考试，获得一级证书，可免修或抵充计算机应用基础课程，并给予相应学分，成绩以80分计。</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（5）学生参加上海一类、全国二类以上职业技能竞赛，取得三等奖以上成绩的，可免修参加竞赛所在学期的相应课程，取得相应的学分，具体成绩折算方法为：</w:t>
      </w:r>
    </w:p>
    <w:tbl>
      <w:tblPr>
        <w:tblStyle w:val="37"/>
        <w:tblW w:w="6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225"/>
        <w:gridCol w:w="1720"/>
        <w:gridCol w:w="1810"/>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616" w:type="dxa"/>
            <w:noWrap w:val="0"/>
            <w:vAlign w:val="center"/>
          </w:tcPr>
          <w:p>
            <w:pPr>
              <w:keepNext w:val="0"/>
              <w:keepLines w:val="0"/>
              <w:pageBreakBefore w:val="0"/>
              <w:kinsoku/>
              <w:wordWrap/>
              <w:overflowPunct/>
              <w:topLinePunct w:val="0"/>
              <w:autoSpaceDE w:val="0"/>
              <w:autoSpaceDN w:val="0"/>
              <w:bidi w:val="0"/>
              <w:spacing w:line="360" w:lineRule="auto"/>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等第</w:t>
            </w:r>
          </w:p>
        </w:tc>
        <w:tc>
          <w:tcPr>
            <w:tcW w:w="1225" w:type="dxa"/>
            <w:noWrap w:val="0"/>
            <w:vAlign w:val="center"/>
          </w:tcPr>
          <w:p>
            <w:pPr>
              <w:keepNext w:val="0"/>
              <w:keepLines w:val="0"/>
              <w:pageBreakBefore w:val="0"/>
              <w:kinsoku/>
              <w:wordWrap/>
              <w:overflowPunct/>
              <w:topLinePunct w:val="0"/>
              <w:autoSpaceDE w:val="0"/>
              <w:autoSpaceDN w:val="0"/>
              <w:bidi w:val="0"/>
              <w:spacing w:line="360" w:lineRule="auto"/>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全国二类一等奖及以上</w:t>
            </w:r>
          </w:p>
        </w:tc>
        <w:tc>
          <w:tcPr>
            <w:tcW w:w="1720" w:type="dxa"/>
            <w:noWrap w:val="0"/>
            <w:vAlign w:val="center"/>
          </w:tcPr>
          <w:p>
            <w:pPr>
              <w:keepNext w:val="0"/>
              <w:keepLines w:val="0"/>
              <w:pageBreakBefore w:val="0"/>
              <w:kinsoku/>
              <w:wordWrap/>
              <w:overflowPunct/>
              <w:topLinePunct w:val="0"/>
              <w:autoSpaceDE w:val="0"/>
              <w:autoSpaceDN w:val="0"/>
              <w:bidi w:val="0"/>
              <w:spacing w:line="360" w:lineRule="auto"/>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全国二类二等奖/上海一类一等奖</w:t>
            </w:r>
          </w:p>
        </w:tc>
        <w:tc>
          <w:tcPr>
            <w:tcW w:w="1810" w:type="dxa"/>
            <w:noWrap w:val="0"/>
            <w:vAlign w:val="center"/>
          </w:tcPr>
          <w:p>
            <w:pPr>
              <w:keepNext w:val="0"/>
              <w:keepLines w:val="0"/>
              <w:pageBreakBefore w:val="0"/>
              <w:kinsoku/>
              <w:wordWrap/>
              <w:overflowPunct/>
              <w:topLinePunct w:val="0"/>
              <w:autoSpaceDE w:val="0"/>
              <w:autoSpaceDN w:val="0"/>
              <w:bidi w:val="0"/>
              <w:spacing w:line="360" w:lineRule="auto"/>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全国二类三等奖/上海一类二等奖</w:t>
            </w:r>
          </w:p>
        </w:tc>
        <w:tc>
          <w:tcPr>
            <w:tcW w:w="1009" w:type="dxa"/>
            <w:noWrap w:val="0"/>
            <w:vAlign w:val="center"/>
          </w:tcPr>
          <w:p>
            <w:pPr>
              <w:keepNext w:val="0"/>
              <w:keepLines w:val="0"/>
              <w:pageBreakBefore w:val="0"/>
              <w:kinsoku/>
              <w:wordWrap/>
              <w:overflowPunct/>
              <w:topLinePunct w:val="0"/>
              <w:autoSpaceDE w:val="0"/>
              <w:autoSpaceDN w:val="0"/>
              <w:bidi w:val="0"/>
              <w:spacing w:line="360" w:lineRule="auto"/>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上海一类</w:t>
            </w:r>
          </w:p>
          <w:p>
            <w:pPr>
              <w:keepNext w:val="0"/>
              <w:keepLines w:val="0"/>
              <w:pageBreakBefore w:val="0"/>
              <w:kinsoku/>
              <w:wordWrap/>
              <w:overflowPunct/>
              <w:topLinePunct w:val="0"/>
              <w:autoSpaceDE w:val="0"/>
              <w:autoSpaceDN w:val="0"/>
              <w:bidi w:val="0"/>
              <w:spacing w:line="360" w:lineRule="auto"/>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616" w:type="dxa"/>
            <w:noWrap w:val="0"/>
            <w:vAlign w:val="center"/>
          </w:tcPr>
          <w:p>
            <w:pPr>
              <w:keepNext w:val="0"/>
              <w:keepLines w:val="0"/>
              <w:pageBreakBefore w:val="0"/>
              <w:kinsoku/>
              <w:wordWrap/>
              <w:overflowPunct/>
              <w:topLinePunct w:val="0"/>
              <w:autoSpaceDE w:val="0"/>
              <w:autoSpaceDN w:val="0"/>
              <w:bidi w:val="0"/>
              <w:spacing w:line="360" w:lineRule="auto"/>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分数</w:t>
            </w:r>
          </w:p>
        </w:tc>
        <w:tc>
          <w:tcPr>
            <w:tcW w:w="1225" w:type="dxa"/>
            <w:noWrap w:val="0"/>
            <w:vAlign w:val="center"/>
          </w:tcPr>
          <w:p>
            <w:pPr>
              <w:keepNext w:val="0"/>
              <w:keepLines w:val="0"/>
              <w:pageBreakBefore w:val="0"/>
              <w:kinsoku/>
              <w:wordWrap/>
              <w:overflowPunct/>
              <w:topLinePunct w:val="0"/>
              <w:autoSpaceDE w:val="0"/>
              <w:autoSpaceDN w:val="0"/>
              <w:bidi w:val="0"/>
              <w:spacing w:line="360" w:lineRule="auto"/>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95分</w:t>
            </w:r>
          </w:p>
        </w:tc>
        <w:tc>
          <w:tcPr>
            <w:tcW w:w="1720" w:type="dxa"/>
            <w:noWrap w:val="0"/>
            <w:vAlign w:val="center"/>
          </w:tcPr>
          <w:p>
            <w:pPr>
              <w:keepNext w:val="0"/>
              <w:keepLines w:val="0"/>
              <w:pageBreakBefore w:val="0"/>
              <w:kinsoku/>
              <w:wordWrap/>
              <w:overflowPunct/>
              <w:topLinePunct w:val="0"/>
              <w:autoSpaceDE w:val="0"/>
              <w:autoSpaceDN w:val="0"/>
              <w:bidi w:val="0"/>
              <w:spacing w:line="360" w:lineRule="auto"/>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90分</w:t>
            </w:r>
          </w:p>
        </w:tc>
        <w:tc>
          <w:tcPr>
            <w:tcW w:w="1810" w:type="dxa"/>
            <w:noWrap w:val="0"/>
            <w:vAlign w:val="center"/>
          </w:tcPr>
          <w:p>
            <w:pPr>
              <w:keepNext w:val="0"/>
              <w:keepLines w:val="0"/>
              <w:pageBreakBefore w:val="0"/>
              <w:kinsoku/>
              <w:wordWrap/>
              <w:overflowPunct/>
              <w:topLinePunct w:val="0"/>
              <w:autoSpaceDE w:val="0"/>
              <w:autoSpaceDN w:val="0"/>
              <w:bidi w:val="0"/>
              <w:spacing w:line="360" w:lineRule="auto"/>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85分</w:t>
            </w:r>
          </w:p>
        </w:tc>
        <w:tc>
          <w:tcPr>
            <w:tcW w:w="1009" w:type="dxa"/>
            <w:noWrap w:val="0"/>
            <w:vAlign w:val="center"/>
          </w:tcPr>
          <w:p>
            <w:pPr>
              <w:keepNext w:val="0"/>
              <w:keepLines w:val="0"/>
              <w:pageBreakBefore w:val="0"/>
              <w:kinsoku/>
              <w:wordWrap/>
              <w:overflowPunct/>
              <w:topLinePunct w:val="0"/>
              <w:autoSpaceDE w:val="0"/>
              <w:autoSpaceDN w:val="0"/>
              <w:bidi w:val="0"/>
              <w:spacing w:line="360" w:lineRule="auto"/>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80分</w:t>
            </w:r>
          </w:p>
        </w:tc>
      </w:tr>
    </w:tbl>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如学生在参赛期间表现优异，各二级学院可适当上调分值。</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根据《退役士兵安置条例》（国务院令第608号）第28条规定，退役学生可以免修体育和军事理论，直接获得学分。体育以85分记，军事理论以95分记，如学生在服役期间有立功或嘉奖，各二级学院可适当上调分值。</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体育和军事理论课程免修办理流程为：退役学生在每学期开学一周内向所在二级学院提出相关课程免修申请；各二级学院在每学期开学三周内向体育和军事理论课程所在授课部门提供免修学生名单和成绩；授课部门负责通知有关任课教师按照免修办理并给予成绩。</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根据《教育部办公厅关于进一步做好高校学生参军入伍的通知》（教学厅[2015]3号）第10条规定，退役学生入伍经历可作为毕业实习经历。我校退役学生办理免听手续后，可以不用参加毕业顶岗实习，但必须撰写毕业顶岗实习报告，参加毕业顶岗实习答辩，答辩通过后方可获得学分。</w:t>
      </w: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七、学业警告</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28．一学期经考核未取得所修课程的学分累计达到或超过12学分者，二级学院应向学生或家长送达《学业警告通知单》，给予其学业警告。因家庭地址或联系方式变更导致无法送达的，可通过二级学院网站以公告方式送达，公告发布时间不得少于四周。</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29．学生受到学业警告后，应及时安排好不及格课程的复读；在无力复读的情况下可申请降级继续学习。降级学生按降级以后所在年级的收费标准缴费、注册。</w:t>
      </w: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八、补考与复读</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30．学生考核不及格的课程，可参加补考，补考只有一次。艺术教育限选课、通识教育选修课一般不组织补考,学生应通过复读来完成规定的学分；复读可以选修同一门课程，也可以选修其他课程。</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补考及格的课程成绩以“60分”计，补考不及格的课程必须复读。</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31．缺交实训报告或在一学期内缺交一门课程的三分之一作业者不得参加该课程的考核，补足实训报告或作业后只能参加该门课程的补考。单列课程的大型作业、课程设计、实习、实训与毕业顶岗实习等实践性教学环节不设补考，考核不及格者必须复读。学生必须按时提交毕业顶岗实习报告并参加毕业顶岗实习答辩，因故不能按时参加答辩的，须在答辩前三天向所在二级学院提交暂缓答辩书面申请，报二级学院审核批准；无故未参加答辩的必须复读毕业顶岗实习，重新参加实习，重新撰写实习报告并参加答辩。</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32．学生应根据学校有关要求参加复读选课，选课时应避免复读课程与在读课程的时间冲突，如复读课程较多也可以选择降级学习。学生应按规定缴纳复读费用，办理复读注册手续。</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33．复读所选的课程，必修课、选修课不能相互替代。必修课程应复读人才培养方案规定的原课程；选修课程在限定选修的范围内可选择其他未修的课程代替，但复读所选课程的学分应不低于原所修课程的学分。在最长学习年限内，同一课程在考核未通过前可以复读多次。</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34．学生复读课程考核合格，在学生成绩总表中记载成绩并标注“复读”，考核不及格的可以参加补考。</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35．学生复读时因实习等原因造成无法跟班上课，应于上课前向任课教师提交《课程免听申请表》办理免听手续，经审核同意后免听该课程，但学生仍必须参加课程考核。</w:t>
      </w: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九、考勤</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36．学生应按时参加课程学习和其他教育教学活动，并接受考勤。因故不能参加的，应当事先请假并获得批准，无故缺席者作旷课处理。其中，人才培养方案中规定的实践性教学环节，每缺勤一天按旷课6学时计。</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37．学生迟到、早退累计3次作旷课1学时处理。对旷课的学生，二级学院应及时予以批评教育，并按有关规定进行处理。</w:t>
      </w: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十、转专业与转学</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38．学生应在被录取专业完成学业，一般不得转专业。学生在学习期间对其他专业有兴趣和专长的，可以申请转专业，按照学校《学生转专业管理办法》要求办理。贯通培养的学生原则上不得转专业。学生提出转专业申请后，原则上不得撤回。</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学校按规定对转专业结果进行公示。</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39．学生一般应当在被录取学校完成学业。因患病或者有特殊困难、特别需要，无法继续在学校学习或者不适应学校学习要求的，可以申请转学。有下列情形之一，不得转学：</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（1）入学未满一学期或者毕业前一年的；</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（2）高考成绩低于拟转入学校相关专业同一生源地相应年份录取成绩的；</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（3）由低学历层次转为高学历层次的；</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（4）以定向就业招生录取的；</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（5）无正当转学理由的。</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学生因学校培养条件改变等非本人原因需要转学的，学校应当出具证明，由所在地省级教育行政部门协调转学到同层次学校。</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40．学生转学由学生本人提出申请，说明理由，经所在学校和拟转入学校同意，由转入学校负责审核转学条件及相关证明，认为符合本校培养要求且学校有培养能力的，经学校校长办公会或者专题会议研究决定，可以转入。学校按规定对转学结果进行公示。</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跨省转学的，由转出地省级教育行政部门商转入地省级教育行政部门，按转学条件确认后办理转学手续。须转户口的由转入地省级教育行政部门将有关文件抄送转入学校所在地的公安机关。</w:t>
      </w: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十一、休学、复学、退学</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41．学生有下列情况之一者，应予休学：</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（1）因病经二级甲等以上医院诊断，须停课治疗、休养占一学期总学时三分之一以上者；</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（2）根据考勤，一学期请假、缺课超过该学期总学时三分之一者；</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（3）学生申请自主创业的；</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（4）因某种特殊原因，本人申请或学校认为应休学者。</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42．学生提出休学的，需按规定提交休学申请表和其他证明材料（因病休学的须提供医院诊断证明等材料；因自主创业申请休学的须提供创业前期准备材料和创业计划书等）报教务处审核批准。休学学生应当办理离校手续。学生休学期间具有学籍，但不享受在校生待遇，不得参加教育教学活动。因病休学学生的医疗费按国家和当地有关规定处理。</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休学一般以一年为期，原则上不得提前复学，学生休学期满需要续休的，应再次办理休学手续。学生在校期间累计休学不得超过两年；因自主创业申请休学的不得超过三年，最长学习年限不得超过七年(贯通培养学生不得超过五年)。休学期满不办理复学手续者，作自动退学处理。</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43．学生申请复学的，应于休学期满一个月前按规定提交复学申请表和其他证明材料（因病休学的须提供医院出具的健康状况证明）报教务处审核批准，经批准后可进入原专业下一年级学习。如审核批准不通过的可办理继续休学或退学手续，如因专业设置调整或身体状况无法适应原专业学习的可申请转专业或办理退学手续。</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44．学生应征参加中国人民解放军、中国人民武装警察部队，需按规定提交保留学籍申请表和其他证明材料报教务处审核批准，学校为其保留其学籍至退役后两年。保留学籍学生应当办理离校手续。学生保留学籍期间，与其实际所在部队等组织建立联系、确定管理关系。</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45．学生有下列情形之一，学校可作自动退学处理：</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（1）学业成绩未达到学校要求或者在学校规定学习年限内（含休学）未完成学业的；</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（2）休学期满，在学校规定期限内未提出复学申请或者申请复学经复查不合格的；</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（3）延长学业期满，未办理相关后续手续的；</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（4）经二级甲等以上医院诊断，患有疾病或者意外伤残无法继续在校学习的；</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（5）未经批准连续两周未参加学校规定的教学活动的；</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（6）超过学校规定期限未注册而又未履行暂缓注册手续的；</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学生本人申请退学的，由学校审核同意后，办理退学手续。</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46．符合自动退学条件的，由学生所在二级学院向学生本人或家长送达《自动退学告知书》；因家庭地址或联系方式变更导致无法送达的，可通过二级学院网站以公告方式送达，公告发布时间不得少于四周。</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对学生的退学申请或自动退学处理，由校长办公会议或者校长授权的专门会议研究决定。</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对退学的学生，由学校出具退学证明并送达本人，同时报上海市教育委员会备案。退学学生应按学校规定期限办理离校手续，档案、户口退回其户籍所在地。</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47．学生对自动退学有异议的，可以向学校学生申诉处理委员会提出书面申诉。</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48．学生在校期间死亡的，由学校出具学籍注销证明并送达学生家长。</w:t>
      </w: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十二、毕业与结业</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49．学生修满人才培养方案规定的必修与选修课程，取得毕业要求的总学分数，且至少取得一种与所学专业相关的职业资格证书或职业技能等级证书，准予毕业，发给毕业证书。</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若学生修满了人才培养方案所规定的必修与选修课程，取得了毕业要求的总学分数，但未取得与所学专业相关的职业资格证书或职业技能等级证书，作结业处理，发给结业证书。结业学生在最长学习年限内取得了与所学专业相关的职业资格证书或职业技能等级证书的，换发毕业证书。</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50．学生在进入第六学期（毕业教学环节）学习之前，第一～第五学期已修学分数不少于108学分（含108学分），可列入毕业生管理范围，进入毕业教学环节；否则，暂缓进入毕业教学环节，由学生本人提出延长学业申请，经教务处审核批准后作延长学业处理。</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学生在第六学期未能符合毕（结）业要求的，由学生本人提出延长学业申请，经教务处审核批准后作延长学业处理。</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贯通培养学生在进入第四学期（毕业教学环节）学习之前，第一～第三学期已修学分数不少于59学分（含59学分），可列入毕业生管理范围，进入毕业教学环节；否则，暂缓进入毕业教学环节，由学生本人提出延长学业申请，经教务处审核批准后作延长学业处理。</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贯通培养学生在第四学期未能符合毕（结）业要求的，由学生本人提出延长学业申请，经教务处审核批准后作延长学业处理。</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已满足毕（结）业要求的学生不得提出延长学业或休学申请。</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51．延长学业期限为自审批之日起一年，到期而未办理相关后续手续的，作自动退学处理。延长学业学生的管理由学生所在的二级学院负责安排。</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52．基本学制毕业时未修满毕业要求的总学分数，但已取得毕业要求的最低学分的92%（含92%）以上者，作结业处理，发给结业证书。</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结业学生可对原不及格课程申请复读，经考核成绩合格且取得了与所学专业相关的职业资格证书或职业技能等级证书者换发毕业证书。复读必须在最长学习年限内完成。</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对于退学学生，学校应该发给肄业证书或者写实性学习证明。</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53.学有余力的学生可在与当前所学课程时间不冲突的前提下提前修读人才培养方案中的后续课程，达到毕业要求（或结业要求）的，可以申请提前毕业（或结业）。</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学生可向所在二级学院提出提前修读课程申请，二级学院制定详细的后续课程安排计划后报教务处审核批准。</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54.对违反国家招生规定取得入学资格或者学籍的，学校应当取消其学籍，不得发给学历证书；已发的学历证书，学校应当依法予以撤销。对以作弊、剽窃、抄袭等学术不端行为或者其他不正当手段获得学历证书的，学校应当依法予以撤销。</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被撤销的学历证书已注册的，学校应当予以注销并报教育行政部门宣布无效。</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55.学历证书遗失或者损坏，经本人申请，学校核实后应当出具相应的学历证明书。学历证明书与原证书具有同等效力。</w:t>
      </w: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kinsoku/>
        <w:wordWrap/>
        <w:overflowPunct/>
        <w:topLinePunct w:val="0"/>
        <w:bidi w:val="0"/>
        <w:adjustRightInd w:val="0"/>
        <w:snapToGrid w:val="0"/>
        <w:spacing w:line="360" w:lineRule="auto"/>
        <w:ind w:firstLine="2800" w:firstLineChars="10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十三、附则</w:t>
      </w:r>
    </w:p>
    <w:p>
      <w:pPr>
        <w:keepNext w:val="0"/>
        <w:keepLines w:val="0"/>
        <w:pageBreakBefore w:val="0"/>
        <w:kinsoku/>
        <w:wordWrap/>
        <w:overflowPunct/>
        <w:topLinePunct w:val="0"/>
        <w:autoSpaceDE w:val="0"/>
        <w:autoSpaceDN w:val="0"/>
        <w:bidi w:val="0"/>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56．本规定自2019年9月1日起施行，由教务处负责解释。原《上海电子信息职业技术学院学生学籍管理规定》（沪电信职院〔2018〕167号）同时废止。</w:t>
      </w:r>
    </w:p>
    <w:p>
      <w:pPr>
        <w:pageBreakBefore w:val="0"/>
        <w:topLinePunct w:val="0"/>
        <w:bidi w:val="0"/>
        <w:outlineLvl w:val="9"/>
        <w:rPr>
          <w:rFonts w:hint="eastAsia"/>
        </w:rPr>
      </w:pPr>
    </w:p>
    <w:p>
      <w:pPr>
        <w:pageBreakBefore w:val="0"/>
        <w:topLinePunct w:val="0"/>
        <w:bidi w:val="0"/>
        <w:outlineLvl w:val="9"/>
        <w:rPr>
          <w:sz w:val="24"/>
        </w:rPr>
      </w:pPr>
      <w:bookmarkStart w:id="264" w:name="_Toc397722447"/>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color w:val="FF0000"/>
          <w:sz w:val="24"/>
        </w:rPr>
      </w:pPr>
    </w:p>
    <w:p>
      <w:pPr>
        <w:pageBreakBefore w:val="0"/>
        <w:topLinePunct w:val="0"/>
        <w:bidi w:val="0"/>
        <w:jc w:val="center"/>
        <w:outlineLvl w:val="9"/>
        <w:rPr>
          <w:sz w:val="24"/>
        </w:rPr>
      </w:pPr>
    </w:p>
    <w:p>
      <w:pPr>
        <w:pageBreakBefore w:val="0"/>
        <w:topLinePunct w:val="0"/>
        <w:bidi w:val="0"/>
        <w:spacing w:before="156" w:beforeLines="50"/>
        <w:ind w:left="-735" w:leftChars="-3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eastAsia="仿宋_GB2312"/>
          <w:color w:val="000000"/>
          <w:kern w:val="0"/>
          <w:sz w:val="32"/>
          <w:szCs w:val="28"/>
        </w:rPr>
        <w:t>201</w:t>
      </w:r>
      <w:r>
        <w:rPr>
          <w:rFonts w:hint="eastAsia" w:eastAsia="仿宋_GB2312"/>
          <w:color w:val="000000"/>
          <w:kern w:val="0"/>
          <w:sz w:val="32"/>
          <w:szCs w:val="28"/>
        </w:rPr>
        <w:t>9</w:t>
      </w:r>
      <w:r>
        <w:rPr>
          <w:rFonts w:hint="eastAsia" w:ascii="仿宋_GB2312" w:eastAsia="仿宋_GB2312"/>
          <w:color w:val="000000"/>
          <w:kern w:val="0"/>
          <w:sz w:val="32"/>
          <w:szCs w:val="28"/>
        </w:rPr>
        <w:t>〕</w:t>
      </w:r>
      <w:r>
        <w:rPr>
          <w:rFonts w:hint="eastAsia" w:ascii="仿宋_GB2312" w:eastAsia="仿宋_GB2312"/>
          <w:color w:val="000000"/>
          <w:kern w:val="0"/>
          <w:sz w:val="32"/>
          <w:szCs w:val="28"/>
          <w:lang w:val="en-US" w:eastAsia="zh-CN"/>
        </w:rPr>
        <w:t>146</w:t>
      </w:r>
      <w:r>
        <w:rPr>
          <w:rFonts w:hint="eastAsia" w:ascii="仿宋_GB2312" w:eastAsia="仿宋_GB2312"/>
          <w:color w:val="000000"/>
          <w:kern w:val="0"/>
          <w:sz w:val="32"/>
          <w:szCs w:val="28"/>
        </w:rPr>
        <w:t xml:space="preserve"> </w:t>
      </w:r>
      <w:r>
        <w:rPr>
          <w:rFonts w:eastAsia="仿宋_GB2312"/>
          <w:color w:val="000000"/>
          <w:kern w:val="0"/>
          <w:sz w:val="32"/>
          <w:szCs w:val="28"/>
        </w:rPr>
        <w:t>号</w:t>
      </w:r>
    </w:p>
    <w:p>
      <w:pPr>
        <w:pageBreakBefore w:val="0"/>
        <w:topLinePunct w:val="0"/>
        <w:bidi w:val="0"/>
        <w:outlineLvl w:val="9"/>
        <w:rPr>
          <w:rFonts w:eastAsia="仿宋_GB2312"/>
          <w:color w:val="FF0000"/>
          <w:sz w:val="36"/>
          <w:szCs w:val="36"/>
          <w:u w:val="thick"/>
        </w:rPr>
      </w:pPr>
      <w:r>
        <w:rPr>
          <w:rFonts w:eastAsia="仿宋_GB2312"/>
          <w:color w:val="FF0000"/>
          <w:sz w:val="36"/>
          <w:szCs w:val="36"/>
          <w:u w:val="thick"/>
        </w:rPr>
        <w:t xml:space="preserve">                                                </w:t>
      </w:r>
    </w:p>
    <w:p>
      <w:pPr>
        <w:pageBreakBefore w:val="0"/>
        <w:topLinePunct w:val="0"/>
        <w:bidi w:val="0"/>
        <w:outlineLvl w:val="9"/>
        <w:rPr>
          <w:rFonts w:ascii="华文中宋" w:hAnsi="华文中宋" w:eastAsia="华文中宋"/>
          <w:b/>
          <w:sz w:val="36"/>
          <w:szCs w:val="36"/>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0"/>
        <w:rPr>
          <w:rFonts w:hint="eastAsia" w:ascii="黑体" w:hAnsi="黑体" w:eastAsia="黑体" w:cs="黑体"/>
          <w:b/>
          <w:sz w:val="36"/>
          <w:szCs w:val="36"/>
        </w:rPr>
      </w:pPr>
      <w:bookmarkStart w:id="265" w:name="_Toc31341"/>
      <w:r>
        <w:rPr>
          <w:rFonts w:hint="eastAsia" w:ascii="黑体" w:hAnsi="黑体" w:eastAsia="黑体" w:cs="黑体"/>
          <w:b/>
          <w:sz w:val="36"/>
          <w:szCs w:val="36"/>
        </w:rPr>
        <w:t>关于印发《上海电子信息职业技术学院五年一贯制学生学籍管理规定》的通知</w:t>
      </w:r>
      <w:bookmarkEnd w:id="265"/>
    </w:p>
    <w:p>
      <w:pPr>
        <w:pageBreakBefore w:val="0"/>
        <w:topLinePunct w:val="0"/>
        <w:bidi w:val="0"/>
        <w:spacing w:line="52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52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现将《上海电子信息职业技术学院五年一贯制学生学籍管理规定》发给你们，请结合本部门工作实际，认真研究执行。</w:t>
      </w:r>
    </w:p>
    <w:p>
      <w:pPr>
        <w:pageBreakBefore w:val="0"/>
        <w:topLinePunct w:val="0"/>
        <w:bidi w:val="0"/>
        <w:spacing w:line="520" w:lineRule="exact"/>
        <w:ind w:firstLine="660"/>
        <w:jc w:val="center"/>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ind w:firstLine="66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附件：上海电子信息职业技术学院五年一贯制学生学籍管理规定</w:t>
      </w:r>
    </w:p>
    <w:p>
      <w:pPr>
        <w:pageBreakBefore w:val="0"/>
        <w:topLinePunct w:val="0"/>
        <w:bidi w:val="0"/>
        <w:spacing w:line="520" w:lineRule="exact"/>
        <w:ind w:firstLine="1260" w:firstLineChars="450"/>
        <w:jc w:val="lef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ind w:firstLine="660"/>
        <w:jc w:val="center"/>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ind w:firstLine="660"/>
        <w:jc w:val="center"/>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ind w:firstLine="66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上海电子信息职业技术学院 </w:t>
      </w:r>
    </w:p>
    <w:p>
      <w:pPr>
        <w:pageBreakBefore w:val="0"/>
        <w:topLinePunct w:val="0"/>
        <w:bidi w:val="0"/>
        <w:spacing w:line="520" w:lineRule="exact"/>
        <w:ind w:firstLine="66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2019 年 8月8日</w:t>
      </w:r>
    </w:p>
    <w:p>
      <w:pPr>
        <w:pageBreakBefore w:val="0"/>
        <w:topLinePunct w:val="0"/>
        <w:bidi w:val="0"/>
        <w:spacing w:after="312" w:afterLines="100" w:line="520" w:lineRule="exact"/>
        <w:jc w:val="center"/>
        <w:outlineLvl w:val="9"/>
      </w:pPr>
    </w:p>
    <w:p>
      <w:pPr>
        <w:pageBreakBefore w:val="0"/>
        <w:topLinePunct w:val="0"/>
        <w:bidi w:val="0"/>
        <w:spacing w:after="312" w:afterLines="100" w:line="520" w:lineRule="exact"/>
        <w:jc w:val="center"/>
        <w:outlineLvl w:val="9"/>
      </w:pPr>
    </w:p>
    <w:p>
      <w:pPr>
        <w:pageBreakBefore w:val="0"/>
        <w:topLinePunct w:val="0"/>
        <w:bidi w:val="0"/>
        <w:spacing w:after="312" w:afterLines="100" w:line="520" w:lineRule="exact"/>
        <w:jc w:val="both"/>
        <w:outlineLvl w:val="9"/>
      </w:pPr>
    </w:p>
    <w:p>
      <w:pPr>
        <w:pageBreakBefore w:val="0"/>
        <w:topLinePunct w:val="0"/>
        <w:bidi w:val="0"/>
        <w:spacing w:line="52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w:t>
      </w:r>
    </w:p>
    <w:bookmarkEnd w:id="264"/>
    <w:p>
      <w:pPr>
        <w:pageBreakBefore w:val="0"/>
        <w:topLinePunct w:val="0"/>
        <w:bidi w:val="0"/>
        <w:spacing w:line="360" w:lineRule="auto"/>
        <w:jc w:val="center"/>
        <w:outlineLvl w:val="9"/>
        <w:rPr>
          <w:rFonts w:hint="eastAsia" w:ascii="黑体" w:hAnsi="黑体" w:eastAsia="黑体" w:cs="黑体"/>
          <w:b/>
          <w:bCs/>
          <w:sz w:val="36"/>
          <w:szCs w:val="36"/>
          <w:lang w:val="en-US" w:eastAsia="zh-CN"/>
        </w:rPr>
      </w:pPr>
      <w:bookmarkStart w:id="266" w:name="_Toc521571814"/>
      <w:r>
        <w:rPr>
          <w:rFonts w:hint="eastAsia" w:ascii="黑体" w:hAnsi="黑体" w:eastAsia="黑体" w:cs="黑体"/>
          <w:b/>
          <w:bCs/>
          <w:sz w:val="36"/>
          <w:szCs w:val="36"/>
          <w:lang w:val="en-US" w:eastAsia="zh-CN"/>
        </w:rPr>
        <w:t>上海电子信息职业技术学院</w:t>
      </w:r>
    </w:p>
    <w:p>
      <w:pPr>
        <w:pageBreakBefore w:val="0"/>
        <w:topLinePunct w:val="0"/>
        <w:bidi w:val="0"/>
        <w:spacing w:line="360" w:lineRule="auto"/>
        <w:jc w:val="center"/>
        <w:outlineLvl w:val="9"/>
        <w:rPr>
          <w:rFonts w:hint="eastAsia" w:eastAsia="仿宋_GB2312"/>
          <w:b/>
          <w:bCs/>
          <w:kern w:val="0"/>
          <w:sz w:val="32"/>
          <w:szCs w:val="32"/>
        </w:rPr>
      </w:pPr>
      <w:r>
        <w:rPr>
          <w:rFonts w:hint="eastAsia" w:ascii="黑体" w:hAnsi="黑体" w:eastAsia="黑体" w:cs="黑体"/>
          <w:b/>
          <w:bCs/>
          <w:sz w:val="36"/>
          <w:szCs w:val="36"/>
          <w:lang w:val="en-US" w:eastAsia="zh-CN"/>
        </w:rPr>
        <w:t>五年一贯制学生学籍管理规定</w:t>
      </w:r>
      <w:bookmarkEnd w:id="266"/>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一、总则</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为了全面贯彻国家教育方针，维护学校正常的教育教学秩序，保障学生合法权益，培养社会主义现代化建设需要的高素质技术技能人才，积极推进素质教育，注重能力培养，充分调动和发挥学生自主学习的积极性，使学生在德、智、体、美、劳等方面得到全面发展。根据教育部颁布的《普通高等学校学生管理规定》（教育部令第41号）和《上海市中等职业学校学生学籍管理实施办法》（沪教委规〔201</w:t>
      </w:r>
      <w:r>
        <w:rPr>
          <w:rFonts w:hint="eastAsia" w:ascii="仿宋_GB2312" w:hAnsi="仿宋_GB2312" w:eastAsia="仿宋_GB2312" w:cs="仿宋_GB2312"/>
          <w:sz w:val="28"/>
          <w:szCs w:val="28"/>
          <w:highlight w:val="none"/>
          <w:lang w:val="en-US" w:eastAsia="zh-CN"/>
        </w:rPr>
        <w:t>8</w:t>
      </w:r>
      <w:r>
        <w:rPr>
          <w:rFonts w:hint="eastAsia" w:ascii="仿宋_GB2312" w:hAnsi="仿宋_GB2312" w:eastAsia="仿宋_GB2312" w:cs="仿宋_GB2312"/>
          <w:sz w:val="28"/>
          <w:szCs w:val="28"/>
          <w:highlight w:val="none"/>
        </w:rPr>
        <w:t>〕2号），特制订本规定。</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二、入学与注册</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新生的录取必须符合国家有关招生规定、并经上海市教育委员会审核批准。录取的新生必须持录取通知书、身份证等有效证件，在学校规定的报到时间里到校办理入学手续。因故不能按期入学的，应在学校规定的报到时间内向学校提出书面请假申请，请假时间一般不得超过两周。未按时请假或请假期限届满未报到的，除因不可抗力等正当事由以外，视为放弃入学资格。</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学校在报到时对新生入学资格进行初步审查，审查内容包括录取材料查验、身份查验、图像采集等。审查合格的办理入学手续，予以注册学籍；审查发现新生的录取通知书、考生信息等证明材料与本人实际情况不符，或者有其他违反国家招生考试规定情形的，取消入学资格。</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新生可以申请保留入学资格，保留入学资格期间不具有学籍。对患有疾病的新生，经二级甲等以上医院诊断不宜在学校学习的，可以申请保留入学资格一年。在保留入学资格期内经治疗康复，可以向学校申请入学，由二级甲等以上医院诊断，符合体检要求，经学校复查合格后，办理入学手续。逾期不办理入学手续且未有因不可抗力延迟等正当理由的，视为放弃入学资格。</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4．学校在新生报到入学三个月内按照国家招生规定进行复查，复查内容主要包括以下方面：</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（1）录取手续及程序等是否合乎国家招生规定；</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（2）所获得的录取资格是否真实、合乎相关规定；</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（3）本人及身份证明与录取通知、考生档案等是否一致；</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 身心健康状况是否符合报考专业或者专业类别体检要求，能否保证在校正常学习、生活；</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（5）艺术、体育等特殊类型录取学生的专业水平是否符合录取要求。</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复查中发现学生存在弄虚作假、徇私舞弊等情形的，确定为复查不合格，学校将取消该生学籍；情节严重的，移交有关部门调查处理。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复查中发现学生身心状况不适宜在校学习，经二级甲等以上医院诊断需要在家休养的，可按照第3条规定办理保留入学资格。</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每学期开学时，学生须按学校规定在开学三周内办理注册手续。不能如期注册者，应当履行暂缓注册手续。注册、暂缓注册按照学校《学生注册管理办法》要求办理。未按学校规定缴纳学费或者有其他不符合注册条件的，不予注册。</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家庭经济困难的学生可以申请助学贷款或者其他形式资助，办妥有关手续后办理注册。</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6．凡取得我校学籍的学生，在籍期间不得报考国内外其他普通高等院校。</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三、学籍档案</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7．新生入学后，学校为学生建立学籍档案，主要包括：报名录取档案材料、学籍卡、奖惩记载、学生成绩总表、毕业生登记表等。学生学籍档案由学校指定专人管理，按有关规定使用与转移。</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8．学生毕业、结业、退学或注销学籍后，学籍卡由学校归档、保存。</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9．学生在校期间个人身份信息修改的，需向学校提交由公安机关出具的相关身份信息变更证明等材料，经学校和上海市教育委员会审核后变更其有关信息。</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10.新生按入学时的录取专业确定学号；学号一经排定，不作更改。</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四、学制与学分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11．基本学制为五年。</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12．学生在校最长学习年限一般不得超过八年。</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13．专业人才培养方案规定修读的学分一般不得少于280学分,课程学分原则上为16课时1学分，纯实训类课程16-30课时1学分。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五、课程考核与成绩记载</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14．各专业课程主要由通识教育必修课、职业教育必修课（以下简称“必修”），通识教育选修课、职业拓展选修课（以下简称“选修”）和艺术教育限选课（以下简称“限选”）等构成。学生应修读所在专业开设的所有课程，并按要求参加考核，考核成绩载入学生成绩总表，归入学生本人学籍档案。</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15．课程考核分为考试和考查两种，课程考核方式由各二级学院根据课程特点加以确定，并在人才培养方案中注明。成绩考核包括学业和德育两个方面，其中德育方面主要指对学生的思想品德、组织纪律、行为规范等方面进行考察评定，一般建议考试课程平时成绩占40%，期末成绩占60%；考查课程平时成绩占60%，期末成绩占40%。</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16．成绩包括获取方式和分值两部分：获取方式指正考、补考、复读等；分值指具体分数值，以百分制记。不同的成绩分值对应不同的绩点（考核成绩分值60分，对应成绩绩点为1.0，以后每增加1分对应增加0.1个绩点），对应关系如下：</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p>
    <w:tbl>
      <w:tblPr>
        <w:tblStyle w:val="37"/>
        <w:tblW w:w="6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9"/>
        <w:gridCol w:w="3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199"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成绩分值</w:t>
            </w:r>
          </w:p>
        </w:tc>
        <w:tc>
          <w:tcPr>
            <w:tcW w:w="3201"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绩点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199"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≥90</w:t>
            </w:r>
          </w:p>
        </w:tc>
        <w:tc>
          <w:tcPr>
            <w:tcW w:w="3201"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199"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80-89</w:t>
            </w:r>
          </w:p>
        </w:tc>
        <w:tc>
          <w:tcPr>
            <w:tcW w:w="3201"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199"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70-79</w:t>
            </w:r>
          </w:p>
        </w:tc>
        <w:tc>
          <w:tcPr>
            <w:tcW w:w="3201"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199"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60-69</w:t>
            </w:r>
          </w:p>
        </w:tc>
        <w:tc>
          <w:tcPr>
            <w:tcW w:w="3201"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199"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&lt;60</w:t>
            </w:r>
          </w:p>
        </w:tc>
        <w:tc>
          <w:tcPr>
            <w:tcW w:w="3201"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0</w:t>
            </w:r>
          </w:p>
        </w:tc>
      </w:tr>
    </w:tbl>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一门课程的成绩记载包括成绩分值、学分、绩点和课程性质（必修、选修、限选）等。学生成绩总表中还应包括学生修读学分总数和平均绩点，其中平均绩点的计算方法为：</w:t>
      </w:r>
    </w:p>
    <w:p>
      <w:pPr>
        <w:pStyle w:val="5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pict>
          <v:shape id="Object 144" o:spid="_x0000_s1130" o:spt="75" type="#_x0000_t75" style="position:absolute;left:0pt;margin-left:105.2pt;margin-top:18.85pt;height:45pt;width:108.7pt;mso-wrap-distance-bottom:0pt;mso-wrap-distance-left:9pt;mso-wrap-distance-right:9pt;mso-wrap-distance-top:0pt;z-index:251756544;mso-width-relative:page;mso-height-relative:page;" o:ole="t" filled="f" o:preferrelative="f" stroked="f" coordsize="21600,21600">
            <v:path/>
            <v:fill on="f" focussize="0,0"/>
            <v:stroke on="f" joinstyle="miter"/>
            <v:imagedata r:id="rId13" o:title=""/>
            <o:lock v:ext="edit" aspectratio="f"/>
            <w10:wrap type="square"/>
          </v:shape>
          <o:OLEObject Type="Embed" ProgID="" ShapeID="Object 144" DrawAspect="Content" ObjectID="_1468075726" r:id="rId14">
            <o:LockedField>false</o:LockedField>
          </o:OLEObject>
        </w:pic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平均绩点=</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（其中：课程的学分绩点＝学分×绩点）</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17．学生体育成绩评定突出过程管理，主要根据考勤、课内教学、课外锻炼活动和体质健康等情况综合评定。</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18．学生参加创新创业、社会实践等活动以及发表论文、获得专利授权等与专业学习、学业要求相关的经历、成果，由二级学院审定，可以折算为创新创业教育学分，计入学业成绩。</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19．军事理论属于必修课，学生因身体疾病或某种生理缺陷，经二级甲等以上医院诊断不能正常参加军事技能的，可在军训前向所在二级学院提出缓训、免训或半训申请，并报武装部审核批准。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20．学生旷课累计达到某门课程教学时数三分之一者，不得参加该课程的考核，必须复读该课程。</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21．为保证考试顺利进行，考试期间原则上不准请假。因故不能参加考试的学生须在考试前申请缓考，一门课程学生只准申请缓考一次，原则上补考不得申请缓考。缓考不及格者，不再予以补考，应复读该门课程。</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22．凡缺考或考试作弊者，不准补考，学生必须复读该课程，并在学籍档案的相应位置注明“旷缺”或“作弊”字样。</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六、选课与免修</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23．按《学分制管理规定》的要求，学生实行选课学习。学生应按专业人才培养方案的安排修读各门课程，并在规定的学习年限内取得所学专业规定修读的所有学分。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24．学生在每学期选课前应详细阅读本专业的人才培养方案和课程简介，根据本人的学习能力慎重选课。</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25．已修读过并取得学分的课程不得再修。</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26．除人才培养方案规定的思想政治教育、安全教育、创业创新教育、体育、劳动、艺术和实践性教学等课程外，其他课程满足以下几种情况可以申请免修并取得折算成绩，或参加考试，以考试成绩记分：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（1）学生降级后，原已修读并取得学分的课程可以免修。</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持有高等教育自学考试单科合格证书或持有国家、上海市人力资源与社会保障部门颁发的职业资格证书或行企业职业技能等级证书的学生，可申请免修与教学标准要求相一致的课程。经审核批准后，给予相应学分，成绩以80分计，并在学籍档案中记录证书明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学生参加上海电子信息职业技术学院考点组织的高等学校英语应用能力考试，获取高等学校英语应用能力考试A级证书（艺术类专业学生获取B级证书），可免修或抵充考试所在学期的实用英语课程，并给予相应学分，成绩以80分计；学生参加上海电子信息职业技术学院考点组织的大学英语四级考试，成绩在425分(含425分)以上，可免修或抵充实用英语课程，并给予相应学分，成绩以80分计。</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（4）学生参加上海电子信息职业技术学院考点组织的上海市高校计算机等级考试，获得一级证书，可免修或抵充计算机应用基础课程，并给予相应学分，成绩以80分计。</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（5）学生参加上海一类、全国二类以上职业技能竞赛，取得三等奖以上成绩的，可免修参加竞赛所在学期的相应课程，取得相应的学分，具体成绩折算方法为：</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p>
    <w:tbl>
      <w:tblPr>
        <w:tblStyle w:val="37"/>
        <w:tblW w:w="8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1592"/>
        <w:gridCol w:w="2238"/>
        <w:gridCol w:w="2353"/>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801"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等第</w:t>
            </w:r>
          </w:p>
        </w:tc>
        <w:tc>
          <w:tcPr>
            <w:tcW w:w="1592"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全国二类一等奖及以上</w:t>
            </w:r>
          </w:p>
        </w:tc>
        <w:tc>
          <w:tcPr>
            <w:tcW w:w="2238"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全国二类二等奖/上海一类一等奖</w:t>
            </w:r>
          </w:p>
        </w:tc>
        <w:tc>
          <w:tcPr>
            <w:tcW w:w="2353"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全国二类三等奖/上海一类二等奖</w:t>
            </w:r>
          </w:p>
        </w:tc>
        <w:tc>
          <w:tcPr>
            <w:tcW w:w="1313"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上海一类</w:t>
            </w:r>
          </w:p>
          <w:p>
            <w:pPr>
              <w:pStyle w:val="5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801"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分数</w:t>
            </w:r>
          </w:p>
        </w:tc>
        <w:tc>
          <w:tcPr>
            <w:tcW w:w="1592"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95分</w:t>
            </w:r>
          </w:p>
        </w:tc>
        <w:tc>
          <w:tcPr>
            <w:tcW w:w="2238"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90分</w:t>
            </w:r>
          </w:p>
        </w:tc>
        <w:tc>
          <w:tcPr>
            <w:tcW w:w="2353"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85分</w:t>
            </w:r>
          </w:p>
        </w:tc>
        <w:tc>
          <w:tcPr>
            <w:tcW w:w="1313" w:type="dxa"/>
            <w:noWrap w:val="0"/>
            <w:vAlign w:val="center"/>
          </w:tcPr>
          <w:p>
            <w:pPr>
              <w:pStyle w:val="5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80分</w:t>
            </w:r>
          </w:p>
        </w:tc>
      </w:tr>
    </w:tbl>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如学生在参赛期间表现优异，各二级学院可适当上调分值。</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6）根据《退役士兵安置条例》（国务院令第608号）第28条规定，退役学生可以免修体育和军事理论，直接获得学分。体育以85分记，军事理论以95分记，如学生在服役期间有立功或嘉奖，各二级学院可适当上调分值。</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体育和军事理论课程免修办理流程为：退役学生在每学期开学1周内向所在二级学院提出相关课程免修申请；各二级学院在每学期开学三周内向体育和军事理论课程所在授课部门提供免修学生名单和成绩；授课部门负责通知有关任课教师按照免修办理并给予成绩。</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根据《教育部办公厅关于进一步做好高校学生参军入伍的通知》（教学厅[2015]3号）第10条规定，退役学生入伍经历可作为毕业实习经历。我校退役学生办理免听手续后，可以不用参加毕业顶岗实习，但必须撰写毕业顶岗实习报告，参加毕业顶岗实习答辩，答辩通过后方可获得学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七、学业警告与降级</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27．经考核未取得所修课程的学分累计达到或超过12学分者，二级学院应向学生或家长送达《学业警告通知单》，给予其学业警告。因家庭地址或联系方式变更导致无法送达的，可通过二级学院网站以公告方式送达，公告发布时间不得少于四周。</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28．学生受到学业警告后，应及时安排好不及格课程的复读；在无力复读的情况下可申请降级继续学习。经考核未取得所修课程的学分累计达到或超过32学分者，必须降级。降级学生按降级以后所在年级的收费标准缴费、注册。</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八、补考与复读</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29．学生考核不及格的课程，可参加补考，补考只有一次。艺术教育限选课、通识教育选修课一般不组织补考,学生应通过复读来完成规定的学分；复读可以选修同一门课程，也可以选修其他课程。</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补考及格的课程成绩以“60分”计，补考不及格的课程必须复读。</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30．缺交实训报告或在一学期内缺交一门课程的三分之一作业者不得参加该课程的考核，补足实训报告或作业后只能参加该门课程的补考。单列课程的大型作业、课程设计、实习、实训与毕业顶岗实习等实践性教学环节不设补考，考核不及格者必须复读。学生必须按时提交毕业顶岗实习报告并参加毕业顶岗实习答辩，因故不能按时参加答辩的，须在答辩前三天向所在二级学院提交暂缓答辩书面申请，报二级学院审核批准；无故未参加答辩的必须复读毕业顶岗实习，重新参加实习，重新撰写实习报告并参加答辩。</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31．学生应根据学校有关要求参加复读选课，选课时应避免复读课程与在读课程的时间冲突，如复读课程较多也可以选择降级学习。学生应按规定缴纳复读费用，办理复读注册手续。</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32．复读所选的课程，必修课、选修课不能相互替代。必修课程应复读人才培养方案规定的原课程；选修课程在限定选修的范围内可选择其他未修的课程代替，但复读所选课程的学分应不低于原所修课程的学分。在最长学习年限内，同一课程在考核未通过前可以复读多次。</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33．学生复读课程考核合格，在学生成绩总表中记载成绩并标注“复读”，考核不及格的可以参加补考。</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34．学生复读时因实习等原因造成无法跟班上课，应于上课前向任课教师提交《课程免听申请表》办理免听手续，经审核同意后免听该课程，但学生仍必须参加课程考核。</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九、考勤</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35．学生应按时参加课程学习和其他教育教学活动，并接受考勤。因故不能参加的，应当事先请假并获得批准，无故缺席者作旷课处理。其中，人才培养方案中规定的实践性教学环节，每缺勤一天按旷课6学时计。</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36．学生迟到、早退累计3次作旷课1学时处理。对旷课的学生，二级学院应及时予以批评教育，并按有关规定进行处理。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十、转专业与转学</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37．学生应在被录取专业完成学业，原则上不得转专业和转学。</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十一、休学、复学、退学</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38．学生有下列情况之一者，应予休学：</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（1）因病经二级甲等以上医院诊断，须停课治疗、休养占一学期总学时三分之一以上者；</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（2）根据考勤，一学期请假、缺课超过该学期总学时三分之一者；</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（3）学生申请自主创业的；</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（4）因某种特殊原因，本人申请或学校认为应休学者。</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39．学生提出休学的，需按规定提交休学申请表和其他证明材料（因病休学的须提供医院诊断证明等材料；因自主创业申请休学的须提供创业前期准备材料和创业计划书等）报教务处审核批准。休学学生应当办理离校手续。学生休学期间具有学籍，但不享受在校生待遇，不得参加教育教学活动。因病休学学生的医疗费按国家和当地有关规定处理。对休学的学生，由学校出具休学证明并送达本人，同时报上海市教育委员会备案。</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休学一般以一年为期，原则上不得提前复学，学生休学期满需要续休的，应再次办理休学手续。学生在校期间累计休学不得超过两年；因自主创业申请休学的不得超过三年，最长学习年限不得超过九年。休学期满不办理复学手续者，作自动退学处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40．学生申请复学的，应于休学期满一个月前按规定提交复学申请表和其他证明材料（因病休学的须提供医院出具的健康状况证明）报教务处审核批准，经批准后可进入原专业下一年级学习。如审核不通过的可办理继续休学或退学手续，如因专业设置调整或身体状况无法适应原专业学习的可申请转专业或办理退学手续。</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41．学生应征参加中国人民解放军、中国人民武装警察部队，需按规定提交保留学籍申请表和其他证明材料报教务处审核批准，学校为其保留其学籍至退役后两年。保留学籍学生应当办理离校手续。学生保留学籍期间，与其实际所在部队等组织建立联系、确定管理关系。</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42．学生有下列情形之一，学校可作自动退学处理：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（1）降级两次后经考核未取得所修课程的学分累计达到或超过32学分的；</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（2）在学校规定学习年限内（含休学）未完成学业的；</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（3）休学期满，在学校规定期限内未提出复学申请或者申请复学经复查不合格的；</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（4）延长学业期满，未办理相关后续手续的；</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（5）经二级甲等以上医院诊断，患有疾病或者意外伤残无法继续在校学习的；</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（6）未经批准连续两周未参加学校规定的教学活动的；</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（7）超过学校规定期限未注册而又未履行暂缓注册手续的；</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学生本人申请退学的，由学校审核同意后，办理退学手续。</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43．符合自动退学条件的，由学生所在二级学院向学生本人或家长送达《自动退学告知书》；因家庭地址或联系方式变更导致无法送达的，可通过二级学院网站以公告方式送达，公告发布时间不得少于四周。</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对学生的退学申请或自动退学处理，由校长办公会议或者校长授权的专门会议研究决定。</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对退学的学生，由学校出具退学证明并送达本人，同时报上海市教育委员会备案。退学学生应按学校规定期限办理离校手续，档案、户口退回其户籍所在地。</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44．学生对自动退学有异议的，可以向学校学生申诉处理委员会提出书面申诉。</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45．学生在校期间死亡的，由学校出具学籍注销证明并送达学生家长。</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十二、毕业与结业</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46．学生修满人才培养方案规定的必修与选修课程，取得毕业要求的总学分数，且至少取得一种与所学专业相关的职业资格证书或职业技能等级证书，准予毕业，发给毕业证书。</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若学生修满了人才培养方案所规定的必修与选修课程，取得了毕业要求的总学分数，但未取得与所学专业相关的职业资格证书或职业技能等级证书，作结业处理，发给结业证书。结业学生在最长学习年限内取得了与所学专业相关的职业资格证书或职业技能等级证书的，换发毕业证书。</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47．学生在进入第十学期学习之前，第一～第九学期已修学分数不少于226学分（含226学分）可列入毕业生管理范围，进入毕业教学环节；否则，暂缓进入毕业教学环节，由学生本人提出延长学业申请，经教务处审批后作延长学业处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学生在第十学期未能符合毕（结）业要求的，由学生本人提出延长学业申请，经教务处审核批准后作延长学业处理。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已满足毕（结）业要求的学生不得提出延长学业或休学申请。</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48．延长学业期限为自审核批准之日起一年，到期而未办理相关后续手续的，作自动退学处理。延长学业学生的管理由学生所在的二级学院负责安排。</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49．基本学制毕业时未修满毕业要求的总学分数，但已取得毕业要求的最低学分的92%（含92%）以上者，作结业处理，发给结业证书。</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结业学生可对原不及格课程申请复读，经考核成绩合格且取得了与所学专业相关的职业资格证书或职业技能等级证书者换发毕业证书。复读必须在最长学习年限内完成。</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对于退学学生，学校应该发给肄业证书或者写实性学习证明。</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50.学有余力的学生可在与当前所学课程时间不冲突的前提下提前修读人才培养方案中的后续课程，达到毕业要求（或结业要求）的，可以申请提前毕业（或结业）。</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学生可向所在二级学院提出提前修读课程申请，二级学院制定详细的后续课程安排计划后报教务处审核批准。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51.对违反国家招生规定取得入学资格或者学籍的，学校应当取消其学籍，不得发给学历证书；已发的学历证书，学校应当依法予以撤销。对以作弊、剽窃、抄袭等学术不端行为或者其他不正当手段获得学历证书的，学校应当依法予以撤销。</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被撤销的学历证书已注册的，学校应当予以注销并报教育行政部门宣布无效。</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52.学历证书遗失或者损坏，经本人申请，学校核实后应当出具相应的学历证明书。学历证明书与原证书具有同等效力。</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十三、附则</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53．本规定自2019年9月1日起施行，由教务处负责解释。</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p>
    <w:p>
      <w:pPr>
        <w:pageBreakBefore w:val="0"/>
        <w:topLinePunct w:val="0"/>
        <w:autoSpaceDE w:val="0"/>
        <w:autoSpaceDN w:val="0"/>
        <w:bidi w:val="0"/>
        <w:adjustRightInd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outlineLvl w:val="9"/>
        <w:rPr>
          <w:rFonts w:ascii="宋体" w:hAnsi="宋体"/>
          <w:kern w:val="0"/>
          <w:szCs w:val="21"/>
        </w:rPr>
      </w:pPr>
    </w:p>
    <w:p>
      <w:pPr>
        <w:pageBreakBefore w:val="0"/>
        <w:topLinePunct w:val="0"/>
        <w:bidi w:val="0"/>
        <w:jc w:val="center"/>
        <w:outlineLvl w:val="9"/>
        <w:rPr>
          <w:sz w:val="24"/>
        </w:rPr>
      </w:pPr>
      <w:bookmarkStart w:id="267" w:name="_Toc20844"/>
      <w:bookmarkStart w:id="268" w:name="_Toc16324"/>
      <w:bookmarkStart w:id="269" w:name="_Toc22721"/>
      <w:bookmarkStart w:id="270" w:name="_Toc775"/>
      <w:bookmarkStart w:id="271" w:name="_Toc15452"/>
      <w:bookmarkStart w:id="272" w:name="_Toc295991846"/>
      <w:bookmarkStart w:id="273" w:name="_Toc4311"/>
      <w:bookmarkStart w:id="274" w:name="_Toc2346"/>
      <w:r>
        <w:rPr>
          <w:rFonts w:ascii="仿宋" w:hAnsi="仿宋" w:eastAsia="仿宋" w:cs="仿宋"/>
          <w:b/>
          <w:color w:val="000000"/>
          <w:sz w:val="32"/>
          <w:szCs w:val="32"/>
        </w:rPr>
        <w:tab/>
      </w: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201</w:t>
      </w:r>
      <w:r>
        <w:rPr>
          <w:rFonts w:hint="eastAsia" w:ascii="仿宋_GB2312" w:eastAsia="仿宋_GB2312"/>
          <w:color w:val="000000"/>
          <w:kern w:val="0"/>
          <w:sz w:val="32"/>
          <w:szCs w:val="28"/>
        </w:rPr>
        <w:t>9〕188</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312" w:beforeLines="100"/>
        <w:ind w:firstLine="420"/>
        <w:jc w:val="center"/>
        <w:textAlignment w:val="auto"/>
        <w:outlineLvl w:val="0"/>
        <w:rPr>
          <w:rFonts w:hint="eastAsia" w:ascii="黑体" w:hAnsi="黑体" w:eastAsia="黑体" w:cs="黑体"/>
          <w:b/>
          <w:color w:val="000000"/>
          <w:sz w:val="36"/>
          <w:szCs w:val="36"/>
        </w:rPr>
      </w:pPr>
      <w:bookmarkStart w:id="275" w:name="_Toc14698"/>
      <w:r>
        <w:rPr>
          <w:rFonts w:hint="eastAsia" w:ascii="黑体" w:hAnsi="黑体" w:eastAsia="黑体" w:cs="黑体"/>
          <w:b/>
          <w:sz w:val="36"/>
          <w:szCs w:val="36"/>
        </w:rPr>
        <w:t>关于印</w:t>
      </w:r>
      <w:r>
        <w:rPr>
          <w:rFonts w:hint="eastAsia" w:ascii="黑体" w:hAnsi="黑体" w:eastAsia="黑体" w:cs="黑体"/>
          <w:b/>
          <w:kern w:val="0"/>
          <w:sz w:val="36"/>
          <w:szCs w:val="36"/>
        </w:rPr>
        <w:t>发《上海电子信息</w:t>
      </w:r>
      <w:r>
        <w:rPr>
          <w:rFonts w:hint="eastAsia" w:ascii="黑体" w:hAnsi="黑体" w:eastAsia="黑体" w:cs="黑体"/>
          <w:b/>
          <w:sz w:val="36"/>
          <w:szCs w:val="36"/>
        </w:rPr>
        <w:t>职业技术学院</w:t>
      </w:r>
      <w:r>
        <w:rPr>
          <w:rFonts w:hint="eastAsia" w:ascii="黑体" w:hAnsi="黑体" w:eastAsia="黑体" w:cs="黑体"/>
          <w:b/>
          <w:color w:val="000000"/>
          <w:sz w:val="36"/>
          <w:szCs w:val="36"/>
        </w:rPr>
        <w:t>教学档案管理规定（修订）》</w:t>
      </w:r>
      <w:r>
        <w:rPr>
          <w:rFonts w:hint="eastAsia" w:ascii="黑体" w:hAnsi="黑体" w:eastAsia="黑体" w:cs="黑体"/>
          <w:b/>
          <w:sz w:val="36"/>
          <w:szCs w:val="36"/>
        </w:rPr>
        <w:t>的通知</w:t>
      </w:r>
      <w:bookmarkEnd w:id="275"/>
    </w:p>
    <w:p>
      <w:pPr>
        <w:pageBreakBefore w:val="0"/>
        <w:topLinePunct w:val="0"/>
        <w:bidi w:val="0"/>
        <w:spacing w:line="500" w:lineRule="exact"/>
        <w:outlineLvl w:val="9"/>
        <w:rPr>
          <w:rFonts w:hint="eastAsia" w:ascii="仿宋_GB2312" w:eastAsia="仿宋_GB2312"/>
          <w:color w:val="000000"/>
          <w:kern w:val="0"/>
          <w:sz w:val="32"/>
          <w:szCs w:val="28"/>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各教学单位、职能部门：</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现将《上海电子信息职业技术学院教学档案管理规定（修订）》印发给你们，请结合本部门工作实际，认真研究执行。</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w:t>
      </w:r>
    </w:p>
    <w:p>
      <w:pPr>
        <w:pStyle w:val="52"/>
        <w:pageBreakBefore w:val="0"/>
        <w:topLinePunct w:val="0"/>
        <w:bidi w:val="0"/>
        <w:spacing w:line="360" w:lineRule="auto"/>
        <w:ind w:left="0" w:leftChars="0" w:firstLine="0" w:firstLineChars="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附件：上海电子信息职业技术学院教学档案管理规定</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w:t>
      </w:r>
    </w:p>
    <w:p>
      <w:pPr>
        <w:pStyle w:val="52"/>
        <w:pageBreakBefore w:val="0"/>
        <w:topLinePunct w:val="0"/>
        <w:bidi w:val="0"/>
        <w:spacing w:line="360" w:lineRule="auto"/>
        <w:ind w:firstLine="560" w:firstLineChars="200"/>
        <w:jc w:val="right"/>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上海电子信息职业技术学院</w:t>
      </w:r>
    </w:p>
    <w:p>
      <w:pPr>
        <w:pStyle w:val="52"/>
        <w:pageBreakBefore w:val="0"/>
        <w:topLinePunct w:val="0"/>
        <w:bidi w:val="0"/>
        <w:spacing w:line="360" w:lineRule="auto"/>
        <w:ind w:firstLine="560" w:firstLineChars="200"/>
        <w:jc w:val="right"/>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2019年10月30日</w:t>
      </w:r>
    </w:p>
    <w:p>
      <w:pPr>
        <w:pStyle w:val="34"/>
        <w:pageBreakBefore w:val="0"/>
        <w:topLinePunct w:val="0"/>
        <w:bidi w:val="0"/>
        <w:spacing w:before="0" w:beforeAutospacing="0" w:after="0" w:afterAutospacing="0"/>
        <w:jc w:val="both"/>
        <w:outlineLvl w:val="9"/>
        <w:rPr>
          <w:rFonts w:hint="eastAsia" w:ascii="仿宋" w:hAnsi="仿宋" w:eastAsia="仿宋" w:cs="仿宋"/>
          <w:b/>
          <w:sz w:val="32"/>
          <w:szCs w:val="32"/>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ascii="仿宋" w:hAnsi="仿宋" w:eastAsia="仿宋" w:cs="仿宋"/>
          <w:b/>
          <w:color w:val="000000"/>
          <w:sz w:val="32"/>
          <w:szCs w:val="32"/>
        </w:rPr>
        <w:tab/>
      </w: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教学档案管理规定</w:t>
      </w:r>
      <w:bookmarkEnd w:id="267"/>
      <w:bookmarkEnd w:id="268"/>
      <w:bookmarkEnd w:id="269"/>
      <w:bookmarkEnd w:id="270"/>
      <w:bookmarkEnd w:id="271"/>
      <w:bookmarkEnd w:id="272"/>
      <w:bookmarkEnd w:id="273"/>
      <w:bookmarkEnd w:id="274"/>
      <w:r>
        <w:rPr>
          <w:rFonts w:hint="eastAsia" w:ascii="黑体" w:hAnsi="黑体" w:eastAsia="黑体" w:cs="黑体"/>
          <w:b/>
          <w:bCs/>
          <w:sz w:val="36"/>
          <w:szCs w:val="36"/>
        </w:rPr>
        <w:t>（修订）</w:t>
      </w:r>
    </w:p>
    <w:p>
      <w:pPr>
        <w:pStyle w:val="34"/>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为加强学校教学档案管理工作，依据《高等学校档案管理办法》、《高等学校教学文件材料归档范围》《上海电子信息职业技术学院综合档案管理规章制度汇编》，特制定本规定。</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bookmarkStart w:id="276" w:name="_Toc295991847"/>
      <w:r>
        <w:rPr>
          <w:rFonts w:hint="eastAsia" w:ascii="仿宋_GB2312" w:hAnsi="仿宋_GB2312" w:eastAsia="仿宋_GB2312" w:cs="仿宋_GB2312"/>
          <w:color w:val="auto"/>
          <w:kern w:val="2"/>
          <w:sz w:val="28"/>
          <w:szCs w:val="28"/>
          <w:highlight w:val="none"/>
          <w:lang w:val="en-US" w:eastAsia="zh-CN" w:bidi="ar-SA"/>
        </w:rPr>
        <w:t>一、基本原则</w:t>
      </w:r>
      <w:bookmarkEnd w:id="276"/>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（一）教学档案是教学管理和教学活动过程中直接形成的，以文字、图表、录音、影像等形式存在，具有保存价值的教学文件材料总称。</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（二）反映教学管理、教学实践活动的全过程，必须遵循其自然形成规律，保持有机联系，符合教学管理和教学实践活动的成套性特点。</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（三）教学档案是教学管理的重要组成部分，纳入教学管理制度，作为考核教学管理水平的标准之一。</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bookmarkStart w:id="277" w:name="_Toc295991848"/>
      <w:r>
        <w:rPr>
          <w:rFonts w:hint="eastAsia" w:ascii="仿宋_GB2312" w:hAnsi="仿宋_GB2312" w:eastAsia="仿宋_GB2312" w:cs="仿宋_GB2312"/>
          <w:color w:val="auto"/>
          <w:kern w:val="2"/>
          <w:sz w:val="28"/>
          <w:szCs w:val="28"/>
          <w:highlight w:val="none"/>
          <w:lang w:val="en-US" w:eastAsia="zh-CN" w:bidi="ar-SA"/>
        </w:rPr>
        <w:t>二、管理体制</w:t>
      </w:r>
      <w:bookmarkEnd w:id="277"/>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（一）教学档案实行分级管理，学校综合档案馆、教务处、二级学院，均须按各自职责参与教学档案、教学资料的收集与管理工作。</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（二）教学档案、资料的形成、积累、收集和归档工作，列入相关部门的职责范围和有关人员的岗位职责。上级需要的档案、资料应及时报送。</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（三）各部门要有一名领导分管档案工作，并安排人员具体管理。</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（四）教学档案一般不外借，确因工作需要外借的，应办理借阅手续，并限期归还。</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bookmarkStart w:id="278" w:name="_Toc295991849"/>
      <w:r>
        <w:rPr>
          <w:rFonts w:hint="eastAsia" w:ascii="仿宋_GB2312" w:hAnsi="仿宋_GB2312" w:eastAsia="仿宋_GB2312" w:cs="仿宋_GB2312"/>
          <w:color w:val="auto"/>
          <w:kern w:val="2"/>
          <w:sz w:val="28"/>
          <w:szCs w:val="28"/>
          <w:highlight w:val="none"/>
          <w:lang w:val="en-US" w:eastAsia="zh-CN" w:bidi="ar-SA"/>
        </w:rPr>
        <w:t>三、归档范围及保管期限</w:t>
      </w:r>
      <w:bookmarkEnd w:id="278"/>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（一）归档的主要内容包括综合管理、专业、课程与实验室建设、学籍管理、课堂教学与实践、毕业生工作、教材、教学研究等方面。</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不归档的文件材料包括上级有关教学的普发的、不办的、未定稿的文件；重份的文件；无查考利用价值的事务性、临时性文件；非隶属单位抄送的不需办理、也无参考价值的文件；校内其他单位发来的文件，与校外单位交换来的材料。（以上不归档材料如认为有必要，也可自行作资料暂存。）</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（三）教学档案保管期限分为永久、30年、10年、短期。</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学生历年考试试卷、毕业实习报告（论文）等数量较大的文本原件由学生所在二级学院单独归置，保存期限原则上至学生毕业离校后1年。</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具体的教学档案归档范围和保存期限参见附件。</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bookmarkStart w:id="279" w:name="_Toc295991850"/>
      <w:r>
        <w:rPr>
          <w:rFonts w:hint="eastAsia" w:ascii="仿宋_GB2312" w:hAnsi="仿宋_GB2312" w:eastAsia="仿宋_GB2312" w:cs="仿宋_GB2312"/>
          <w:color w:val="auto"/>
          <w:kern w:val="2"/>
          <w:sz w:val="28"/>
          <w:szCs w:val="28"/>
          <w:highlight w:val="none"/>
          <w:lang w:val="en-US" w:eastAsia="zh-CN" w:bidi="ar-SA"/>
        </w:rPr>
        <w:t>四、整理组卷</w:t>
      </w:r>
      <w:bookmarkEnd w:id="279"/>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（一）根据教学文件材料的形成规律，保持其有机联系和便于利用查考的原则，对材料的内容、数量和载体形式等进行系统整理，组成卷式或盒式档案保管单位。</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（二）归档的教学文件材料必须格式统一，字迹清楚（不准有铅笔字和圆珠笔字），完整齐全，教学文件一般归档一份。</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（三）组卷时一律要用A4纸，文中密不可分的插图、照片应贴入文字材料内。相同内容的文件材料视情况组成一卷或多卷。每卷不得超过200页。</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卷内密不可分的文件按正件在前，附件在后；印章在前、定稿在后；批复在前，请示在后的顺序排列。</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（四）卷内材料一律拆掉金属物，对破损的材料应进行修补。需装订的卷应右边、下边整齐后左侧装订。</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按顺序编写页号，无论单面或双面只要有文字，均应一面编写一个页号，页号位置在非装订线一侧的下角。不装订的以件为单位，应在右上方加盖件号章，每件自编页号。</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（五）填写卷内目录及备考表。备考表包括本卷情况说明，应填写卷内文件完整、缺损、修改、补充、移出、销毁等情况；案卷立好后发生或发现的问题由有关的档案人员标注时间。</w:t>
      </w:r>
    </w:p>
    <w:p>
      <w:pPr>
        <w:keepNext w:val="0"/>
        <w:keepLines w:val="0"/>
        <w:pageBreakBefore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color w:val="auto"/>
          <w:kern w:val="2"/>
          <w:sz w:val="28"/>
          <w:szCs w:val="28"/>
          <w:highlight w:val="none"/>
          <w:lang w:val="en-US" w:eastAsia="zh-CN" w:bidi="ar-SA"/>
        </w:rPr>
      </w:pPr>
      <w:bookmarkStart w:id="280" w:name="_Toc295991851"/>
      <w:r>
        <w:rPr>
          <w:rFonts w:hint="eastAsia" w:ascii="仿宋_GB2312" w:hAnsi="仿宋_GB2312" w:eastAsia="仿宋_GB2312" w:cs="仿宋_GB2312"/>
          <w:color w:val="auto"/>
          <w:kern w:val="2"/>
          <w:sz w:val="28"/>
          <w:szCs w:val="28"/>
          <w:highlight w:val="none"/>
          <w:lang w:val="en-US" w:eastAsia="zh-CN" w:bidi="ar-SA"/>
        </w:rPr>
        <w:t>五、附 则</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本办法自颁布之日起正式实施，原《上海电子信息职业技术学院教学教学档案管理规定（修订）》（沪电信职院〔2018〕26号）废止），由上海电子信息职业技术学院教务处负责解释。</w:t>
      </w:r>
    </w:p>
    <w:bookmarkEnd w:id="280"/>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附件：教学档案归档范围</w:t>
      </w:r>
    </w:p>
    <w:p>
      <w:pPr>
        <w:pageBreakBefore w:val="0"/>
        <w:widowControl/>
        <w:topLinePunct w:val="0"/>
        <w:bidi w:val="0"/>
        <w:snapToGrid w:val="0"/>
        <w:spacing w:line="400" w:lineRule="exact"/>
        <w:outlineLvl w:val="9"/>
        <w:rPr>
          <w:rFonts w:hint="eastAsia" w:ascii="仿宋" w:hAnsi="仿宋" w:eastAsia="仿宋" w:cs="仿宋"/>
          <w:color w:val="000000"/>
          <w:kern w:val="0"/>
          <w:sz w:val="28"/>
          <w:szCs w:val="28"/>
        </w:rPr>
      </w:pPr>
      <w:r>
        <w:rPr>
          <w:rFonts w:hint="eastAsia" w:ascii="仿宋" w:hAnsi="仿宋" w:eastAsia="仿宋" w:cs="仿宋"/>
          <w:b/>
          <w:bCs/>
          <w:color w:val="000000"/>
          <w:kern w:val="0"/>
          <w:szCs w:val="21"/>
        </w:rPr>
        <w:br w:type="page"/>
      </w:r>
      <w:r>
        <w:rPr>
          <w:rFonts w:hint="eastAsia" w:ascii="仿宋" w:hAnsi="仿宋" w:eastAsia="仿宋" w:cs="仿宋"/>
          <w:color w:val="000000"/>
          <w:kern w:val="0"/>
          <w:sz w:val="28"/>
          <w:szCs w:val="28"/>
        </w:rPr>
        <w:t>附件</w:t>
      </w:r>
    </w:p>
    <w:p>
      <w:pPr>
        <w:pageBreakBefore w:val="0"/>
        <w:topLinePunct w:val="0"/>
        <w:bidi w:val="0"/>
        <w:spacing w:after="156" w:afterLines="50" w:line="300" w:lineRule="exact"/>
        <w:jc w:val="center"/>
        <w:outlineLvl w:val="9"/>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教学档案归档范围</w:t>
      </w:r>
    </w:p>
    <w:p>
      <w:pPr>
        <w:pageBreakBefore w:val="0"/>
        <w:topLinePunct w:val="0"/>
        <w:bidi w:val="0"/>
        <w:outlineLvl w:val="9"/>
        <w:rPr>
          <w:rFonts w:hint="eastAsia"/>
        </w:rPr>
      </w:pPr>
    </w:p>
    <w:tbl>
      <w:tblPr>
        <w:tblStyle w:val="37"/>
        <w:tblW w:w="0" w:type="auto"/>
        <w:tblInd w:w="0" w:type="dxa"/>
        <w:tblLayout w:type="fixed"/>
        <w:tblCellMar>
          <w:top w:w="15" w:type="dxa"/>
          <w:left w:w="15" w:type="dxa"/>
          <w:bottom w:w="15" w:type="dxa"/>
          <w:right w:w="15" w:type="dxa"/>
        </w:tblCellMar>
      </w:tblPr>
      <w:tblGrid>
        <w:gridCol w:w="724"/>
        <w:gridCol w:w="1134"/>
        <w:gridCol w:w="5103"/>
        <w:gridCol w:w="1297"/>
        <w:gridCol w:w="1050"/>
      </w:tblGrid>
      <w:tr>
        <w:tblPrEx>
          <w:tblCellMar>
            <w:top w:w="15" w:type="dxa"/>
            <w:left w:w="15" w:type="dxa"/>
            <w:bottom w:w="15" w:type="dxa"/>
            <w:right w:w="15" w:type="dxa"/>
          </w:tblCellMar>
        </w:tblPrEx>
        <w:trPr>
          <w:trHeight w:val="286" w:hRule="atLeast"/>
        </w:trPr>
        <w:tc>
          <w:tcPr>
            <w:tcW w:w="724" w:type="dxa"/>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序号</w:t>
            </w:r>
          </w:p>
        </w:tc>
        <w:tc>
          <w:tcPr>
            <w:tcW w:w="1134" w:type="dxa"/>
            <w:tcBorders>
              <w:top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归档部门</w:t>
            </w:r>
          </w:p>
        </w:tc>
        <w:tc>
          <w:tcPr>
            <w:tcW w:w="5103" w:type="dxa"/>
            <w:tcBorders>
              <w:top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类目名称/卷宗名称</w:t>
            </w:r>
          </w:p>
        </w:tc>
        <w:tc>
          <w:tcPr>
            <w:tcW w:w="1297" w:type="dxa"/>
            <w:tcBorders>
              <w:top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保管期限</w:t>
            </w:r>
          </w:p>
        </w:tc>
        <w:tc>
          <w:tcPr>
            <w:tcW w:w="1050" w:type="dxa"/>
            <w:tcBorders>
              <w:top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备注</w:t>
            </w: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XS12 学籍管理</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新生报到名册</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各专业新生报到材料与新生登记表</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学生学籍卡</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学生学籍异动材料（退学、注销）</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学生学籍异动材料（其它）</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学生成绩总表</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6</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学期在校学生名册</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7</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各专业分班名册、注册记录</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8</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学年电子注册材料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XS13 招生</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上级有关招生工作的文件材料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上级关于编报高校招生计划的通知和学校的上报材料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本校关于招生工作的规章制度</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生源情况统计</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年度招生调研报告、预测分析、招生建议</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6</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年度各专业招生计划</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7</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招生简章、专业学科介绍、报考指南</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8</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招生工作总结</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新生录取名册</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10</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招生考试校考科目的考试组织与安排的材料、考试大纲、试卷样张、复习提纲</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11</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招生考试校考科目与考试成绩</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XS14 毕业生</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学生毕（结）业证书签收单</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450"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毕业顶岗实习材料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毕业离校后1年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465"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毕业实习报告</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毕业离校后1年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优秀毕业实习报告</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495"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毕业电子注册材料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JX11 综合</w:t>
            </w: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有关教学方面的文件</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上级教育主管机关下达的有关教学工作的文件材料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495"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教学改革、培养目标、培养规格、学制等方面的指示、规定、办法</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495"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综合性教学文件材料：学校制定的各种教学制度、办法、规定，教学工作的各种统计表格。</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教学形成的各种管理制度、办法、规定等</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教学工作大事记</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本校有关教育事业发展规划、计划的报告、总结及上级批复</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6</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教务处的工作计划、总结、报告、年度统计报表</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7</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教学工作会议纪要（记录）及有关材料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495"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8</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二级学院（含教研室）的工作计划、总结、报告、请示及批复、会议记录</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教学简报</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10</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教学督导委员会相关材料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11</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二级教学督导成员汇总表</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12</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学生教学信息员相关资料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13</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语言文字工作相关计划、总结、制度、活动、评优材料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14</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普通话水平测试成绩</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15</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教学名师奖等教师获奖名单及申报材料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教学检查</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16</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教务处学期教学检查通知（方案）、二级学院自查报告及附件</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17</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二级学院日常教学工作及教学检查记载资料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18</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学校教师听课记录</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19</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二级学院教师听课记录</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20</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学期外聘督导人员名册、审批表与附件材料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21</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教师评学</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22</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学生评教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23</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学生座谈会相关资料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24</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教学质量测评结果</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 xml:space="preserve"> JX12 学科与实验室建设</w:t>
            </w: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专业建设</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1134" w:type="dxa"/>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上级及本校有关学科与实验室建设的文件材料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专业发展规划</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专业申报材料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专业教学指导委员会相关材料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495" w:hRule="atLeast"/>
        </w:trPr>
        <w:tc>
          <w:tcPr>
            <w:tcW w:w="724" w:type="dxa"/>
            <w:tcBorders>
              <w:left w:val="single" w:color="000000" w:sz="12" w:space="0"/>
              <w:bottom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人才培养方案及相关资料（含调研报告、论证材料、审批材料等）</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课程建设</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6</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课程标准</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7</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教学改革方案、总结等</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8</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各级教学成果奖获奖材料（含申报附件和获奖照片/光盘）</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495"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国家级、市级、院级精品课程的申报材料、录像光盘</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实验室建设</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10</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实验室规划及建设资料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11</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实训基地建设资料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 xml:space="preserve"> JX13 课堂教学与教学实践</w:t>
            </w: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日常教学管理</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实施性教学计划、教师任务安排、教学进程（实训）安排</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课程安排表</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学分制选课资料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课程复读资料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教师教学工作量统计</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6</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教师调课情况</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5年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课堂教学</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7</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课程学期进度表（授课计划）</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8</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一般教案</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优秀教案</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实践教学</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10</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实验（实训）课程标准（课程大纲）及指导书</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495"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11</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各专业实验（实训）计划与总结</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12</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学生实习资料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13</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学生技能鉴定材料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14</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实践创新基地申报与验收相关材料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495"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15</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马克思主义学院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思政类实践基地建设及学生实践材料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16</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学生参加各类竞赛材料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JX14 师资</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教师教学业务档案</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学期校外兼课教师名册、聘用计划、审批表与附件材料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 xml:space="preserve"> JX15 考试管理</w:t>
            </w: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国家级、上海市级统一考试</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国家级英语考试、上海市级计算机等级考试文件及成绩分析资料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国家级英语考试、上海市级计算机等级考试考生名册及成绩</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永久</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日常考试</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考试安排</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考试试卷质量分析</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考试情况记载</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6</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试卷样卷</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7</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试卷审批表</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480"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8</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学生考卷</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毕业离校后1年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试题库建设工作材料</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JX16 教材</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校本教材建设规划</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校本教材备案表及样书（电子稿件）</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教务处</w:t>
            </w:r>
          </w:p>
        </w:tc>
        <w:tc>
          <w:tcPr>
            <w:tcW w:w="5103" w:type="dxa"/>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校本教材备案年度汇总表、优秀校本教材</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教师正式出版的教材、校内流通的自编教材样书（含年度目录）</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学期各专业教材使用目录</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6</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学期教材征订单</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JX17 其它</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8584" w:type="dxa"/>
            <w:gridSpan w:val="4"/>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无法归入以上目录而又需要归档的，由业务负责部门根据实际情况归档</w:t>
            </w:r>
          </w:p>
        </w:tc>
      </w:tr>
      <w:tr>
        <w:tblPrEx>
          <w:tblCellMar>
            <w:top w:w="15" w:type="dxa"/>
            <w:left w:w="15" w:type="dxa"/>
            <w:bottom w:w="15" w:type="dxa"/>
            <w:right w:w="15" w:type="dxa"/>
          </w:tblCellMar>
        </w:tblPrEx>
        <w:trPr>
          <w:trHeight w:val="286" w:hRule="atLeast"/>
        </w:trPr>
        <w:tc>
          <w:tcPr>
            <w:tcW w:w="9308" w:type="dxa"/>
            <w:gridSpan w:val="5"/>
            <w:tcBorders>
              <w:top w:val="single" w:color="000000" w:sz="12" w:space="0"/>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SX 声像</w:t>
            </w:r>
          </w:p>
        </w:tc>
      </w:tr>
      <w:tr>
        <w:tblPrEx>
          <w:tblCellMar>
            <w:top w:w="15" w:type="dxa"/>
            <w:left w:w="15" w:type="dxa"/>
            <w:bottom w:w="15" w:type="dxa"/>
            <w:right w:w="15" w:type="dxa"/>
          </w:tblCellMar>
        </w:tblPrEx>
        <w:trPr>
          <w:trHeight w:val="286" w:hRule="atLeast"/>
        </w:trPr>
        <w:tc>
          <w:tcPr>
            <w:tcW w:w="724" w:type="dxa"/>
            <w:tcBorders>
              <w:left w:val="single" w:color="000000" w:sz="12" w:space="0"/>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1134"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二级学院</w:t>
            </w:r>
          </w:p>
        </w:tc>
        <w:tc>
          <w:tcPr>
            <w:tcW w:w="5103" w:type="dxa"/>
            <w:tcBorders>
              <w:bottom w:val="single" w:color="000000" w:sz="12" w:space="0"/>
              <w:right w:val="single" w:color="000000" w:sz="12"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毕业班集体照（附名单，名字与照片对应）</w:t>
            </w:r>
          </w:p>
        </w:tc>
        <w:tc>
          <w:tcPr>
            <w:tcW w:w="1297" w:type="dxa"/>
            <w:tcBorders>
              <w:bottom w:val="single" w:color="000000" w:sz="12" w:space="0"/>
              <w:right w:val="single" w:color="000000" w:sz="12"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20"/>
                <w:szCs w:val="20"/>
              </w:rPr>
            </w:pPr>
            <w:r>
              <w:rPr>
                <w:rFonts w:hint="eastAsia" w:ascii="宋体" w:hAnsi="宋体" w:cs="宋体"/>
                <w:color w:val="000000"/>
                <w:kern w:val="0"/>
                <w:sz w:val="20"/>
                <w:szCs w:val="20"/>
                <w:lang w:bidi="ar"/>
              </w:rPr>
              <w:t>30年</w:t>
            </w:r>
          </w:p>
        </w:tc>
        <w:tc>
          <w:tcPr>
            <w:tcW w:w="1050" w:type="dxa"/>
            <w:tcBorders>
              <w:bottom w:val="single" w:color="000000" w:sz="12" w:space="0"/>
              <w:right w:val="single" w:color="000000" w:sz="12" w:space="0"/>
            </w:tcBorders>
            <w:noWrap w:val="0"/>
            <w:vAlign w:val="center"/>
          </w:tcPr>
          <w:p>
            <w:pPr>
              <w:pageBreakBefore w:val="0"/>
              <w:topLinePunct w:val="0"/>
              <w:bidi w:val="0"/>
              <w:jc w:val="center"/>
              <w:outlineLvl w:val="9"/>
              <w:rPr>
                <w:rFonts w:hint="eastAsia" w:ascii="宋体" w:hAnsi="宋体" w:cs="宋体"/>
                <w:color w:val="000000"/>
                <w:sz w:val="20"/>
                <w:szCs w:val="20"/>
              </w:rPr>
            </w:pPr>
          </w:p>
        </w:tc>
      </w:tr>
    </w:tbl>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outlineLvl w:val="9"/>
        <w:rPr>
          <w:rFonts w:hint="eastAsia"/>
        </w:rPr>
      </w:pPr>
    </w:p>
    <w:p>
      <w:pPr>
        <w:pageBreakBefore w:val="0"/>
        <w:topLinePunct w:val="0"/>
        <w:bidi w:val="0"/>
        <w:spacing w:line="20" w:lineRule="exact"/>
        <w:outlineLvl w:val="9"/>
      </w:pPr>
    </w:p>
    <w:p>
      <w:pPr>
        <w:pageBreakBefore w:val="0"/>
        <w:topLinePunct w:val="0"/>
        <w:bidi w:val="0"/>
        <w:jc w:val="center"/>
        <w:outlineLvl w:val="9"/>
        <w:rPr>
          <w:rFonts w:ascii="仿宋" w:hAnsi="仿宋" w:eastAsia="仿宋" w:cs="仿宋"/>
          <w:b/>
          <w:bCs/>
          <w:sz w:val="36"/>
          <w:szCs w:val="36"/>
        </w:rPr>
      </w:pPr>
      <w:r>
        <w:br w:type="page"/>
      </w:r>
    </w:p>
    <w:p>
      <w:pPr>
        <w:pageBreakBefore w:val="0"/>
        <w:topLinePunct w:val="0"/>
        <w:bidi w:val="0"/>
        <w:jc w:val="center"/>
        <w:outlineLvl w:val="9"/>
        <w:rPr>
          <w:sz w:val="24"/>
          <w:szCs w:val="22"/>
        </w:rPr>
      </w:pPr>
    </w:p>
    <w:p>
      <w:pPr>
        <w:pageBreakBefore w:val="0"/>
        <w:topLinePunct w:val="0"/>
        <w:bidi w:val="0"/>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ind w:right="-57" w:rightChars="-27"/>
        <w:jc w:val="center"/>
        <w:outlineLvl w:val="9"/>
        <w:rPr>
          <w:rFonts w:ascii="华文中宋" w:hAnsi="华文中宋" w:eastAsia="华文中宋"/>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szCs w:val="22"/>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20" w:beforeLines="50"/>
        <w:jc w:val="center"/>
        <w:outlineLvl w:val="9"/>
        <w:rPr>
          <w:rFonts w:hint="eastAsia" w:ascii="仿宋_GB2312" w:eastAsia="仿宋_GB2312"/>
          <w:color w:val="000000"/>
          <w:kern w:val="0"/>
          <w:sz w:val="32"/>
          <w:szCs w:val="28"/>
        </w:rPr>
      </w:pPr>
      <w:r>
        <w:rPr>
          <w:rFonts w:hint="eastAsia" w:eastAsia="仿宋_GB2312"/>
          <w:color w:val="000000"/>
          <w:kern w:val="0"/>
          <w:sz w:val="32"/>
          <w:szCs w:val="28"/>
        </w:rPr>
        <w:t>沪电信职院</w:t>
      </w:r>
      <w:r>
        <w:rPr>
          <w:rFonts w:hint="eastAsia" w:ascii="仿宋_GB2312" w:eastAsia="仿宋_GB2312"/>
          <w:color w:val="000000"/>
          <w:kern w:val="0"/>
          <w:sz w:val="32"/>
          <w:szCs w:val="28"/>
        </w:rPr>
        <w:t xml:space="preserve">〔2019〕189号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pageBreakBefore w:val="0"/>
        <w:topLinePunct w:val="0"/>
        <w:bidi w:val="0"/>
        <w:jc w:val="center"/>
        <w:outlineLvl w:val="9"/>
        <w:rPr>
          <w:rFonts w:hint="eastAsia" w:ascii="华文中宋" w:hAnsi="华文中宋" w:eastAsia="华文中宋"/>
          <w:b/>
          <w:sz w:val="36"/>
          <w:szCs w:val="36"/>
        </w:r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
          <w:sz w:val="36"/>
          <w:szCs w:val="36"/>
        </w:rPr>
      </w:pPr>
      <w:bookmarkStart w:id="281" w:name="_Toc16426"/>
      <w:r>
        <w:rPr>
          <w:rFonts w:hint="eastAsia" w:ascii="黑体" w:hAnsi="黑体" w:eastAsia="黑体" w:cs="黑体"/>
          <w:b/>
          <w:sz w:val="36"/>
          <w:szCs w:val="36"/>
        </w:rPr>
        <w:t>关于印发《上海电子信息职业技术学院关于网络课程建设规范及管理办法（试行）》的通知</w:t>
      </w:r>
      <w:bookmarkEnd w:id="281"/>
    </w:p>
    <w:p>
      <w:pPr>
        <w:pageBreakBefore w:val="0"/>
        <w:topLinePunct w:val="0"/>
        <w:bidi w:val="0"/>
        <w:spacing w:before="240" w:beforeLines="100" w:line="50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w:t>
      </w:r>
    </w:p>
    <w:p>
      <w:pPr>
        <w:pageBreakBefore w:val="0"/>
        <w:topLinePunct w:val="0"/>
        <w:bidi w:val="0"/>
        <w:spacing w:line="56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现将《上海电子信息职业技术学院网络课程实施方案（试行）》印发给你们，请结合本部门工作实际，认真研究执行。</w:t>
      </w:r>
      <w:r>
        <w:rPr>
          <w:rFonts w:hint="eastAsia" w:ascii="仿宋_GB2312" w:hAnsi="仿宋_GB2312" w:eastAsia="仿宋_GB2312" w:cs="仿宋_GB2312"/>
          <w:kern w:val="2"/>
          <w:sz w:val="28"/>
          <w:szCs w:val="28"/>
          <w:highlight w:val="none"/>
          <w:lang w:val="en-US" w:eastAsia="zh-CN" w:bidi="ar-SA"/>
        </w:rPr>
        <w:tab/>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left="1618" w:leftChars="304" w:hanging="980" w:hangingChars="35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left="1618" w:leftChars="304" w:hanging="980" w:hangingChars="35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left="1618" w:leftChars="304" w:hanging="980" w:hangingChars="35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附件：上海电子信息职业技术学院关于网络课程建设规范及管理办法（试行）</w:t>
      </w:r>
    </w:p>
    <w:p>
      <w:pPr>
        <w:pageBreakBefore w:val="0"/>
        <w:topLinePunct w:val="0"/>
        <w:bidi w:val="0"/>
        <w:spacing w:line="5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right="480" w:firstLine="3220" w:firstLineChars="115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right="480"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60" w:lineRule="exact"/>
        <w:ind w:right="480" w:firstLine="4200" w:firstLineChars="15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2019年10月30日</w:t>
      </w:r>
    </w:p>
    <w:p>
      <w:pPr>
        <w:pageBreakBefore w:val="0"/>
        <w:topLinePunct w:val="0"/>
        <w:bidi w:val="0"/>
        <w:spacing w:line="500" w:lineRule="exact"/>
        <w:outlineLvl w:val="9"/>
        <w:rPr>
          <w:rFonts w:hint="eastAsia" w:ascii="仿宋_GB2312" w:eastAsia="仿宋_GB2312" w:cs="宋体"/>
          <w:color w:val="000000"/>
          <w:sz w:val="32"/>
          <w:szCs w:val="32"/>
        </w:rPr>
      </w:pP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仿宋" w:hAnsi="仿宋" w:eastAsia="仿宋" w:cs="仿宋"/>
          <w:b/>
          <w:sz w:val="32"/>
          <w:szCs w:val="32"/>
        </w:rPr>
      </w:pPr>
      <w:r>
        <w:rPr>
          <w:rFonts w:hint="eastAsia" w:ascii="黑体" w:hAnsi="黑体" w:eastAsia="黑体" w:cs="黑体"/>
          <w:b/>
          <w:bCs/>
          <w:sz w:val="36"/>
          <w:szCs w:val="36"/>
        </w:rPr>
        <w:t>网络课程实施方案（试行）</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网络课程是通过网络表现的教学内容及实施的教学活动的总和，是信息时代条件下课程新的表现形式。它包括按一定的教学目标、教学策略组织起来的教学内容和网络教学支撑环境。网络课程是现代教育技术应用的一个重要体现，也是教学现代化的一个典型标志。为让广大师生享受到更优质的教学资源，规范网络课程建设，结合我校实际情况，特制订本办法。</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总则</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网络课程是对传统课堂的一种补充方式，在充分利用软件工具、教学资源以及网络教学平台的基础上，达到改善教学质量，提高教学效率的教学目的。</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网络课程的作用。</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提供一个支持师生利用计算机网络进行教学活动的有效环境，</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包括备课、授课、自学、讨论、答疑、作业、测验与考试等。</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为课程教学提供丰富的数字化教学资源，支持师生通过计算机</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网络共享有关的课程资料，包括课程大纲、教材、讲稿、课件、作业、考题、参考资料、其他网络资源等。</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提高课程教学中的各种管理功能，如课程教师介绍、学生名册</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、授课与作业计划、考试与评分方法、课程通知、学生注册与登陆、测验与考试管理等。</w:t>
      </w:r>
      <w:r>
        <w:rPr>
          <w:rFonts w:hint="eastAsia" w:ascii="仿宋_GB2312" w:hAnsi="仿宋_GB2312" w:eastAsia="仿宋_GB2312" w:cs="仿宋_GB2312"/>
          <w:sz w:val="28"/>
          <w:szCs w:val="28"/>
          <w:highlight w:val="none"/>
        </w:rPr>
        <w:br w:type="textWrapping"/>
      </w:r>
      <w:r>
        <w:rPr>
          <w:rFonts w:hint="eastAsia" w:ascii="仿宋_GB2312" w:hAnsi="仿宋_GB2312" w:eastAsia="仿宋_GB2312" w:cs="仿宋_GB2312"/>
          <w:sz w:val="28"/>
          <w:szCs w:val="28"/>
          <w:highlight w:val="none"/>
        </w:rPr>
        <w:t xml:space="preserve">    第二章  网络课程的要求</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 网络课程建设的基本要求</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（一）网络平台</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网络课程建议使用高等教育出版社的智慧职教平台，任课教师上传资源进行网络教学，学生登录平台进行学习。</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（二）网络课程资源</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教师在网络平台上传网络课程实施方案、电子课件、教师上课的视频（和线下课时保持一致）等文件；有针对性的进行课程教学设计，同时将与课程相关的课外资料、相关网站链接、课程网页，形成一整套基本涵盖教学全过程的网上教学资源。</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（三）教学互动</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1.教师在建设网络资源的同时，要积极加强网络教学的应用，与学生在平台上开展课程的教学交流互动，并按照教学进度不断更新内容；</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2.要利用教学平台发布课程通知，布置和批阅作业，开展讨论、辅助答疑等；</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3.教师应要求学生经常登陆网络教学平台，充分利用平台进行辅助学习，教师及时掌握学生的网上学习状况。</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（四）二级学院职责</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所有的网络课程需和传统课程一样，教师必须提交教学进度表、授课计划、教学讲义等基本教学材料；二级学院严格按照网络课程方案设计，加强监督和检查。</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（五） 网络课程分班原则</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为便于管理，选修同一门网络课程的同学，优先按同专业组建网络教学班，班级人数40左右，因特殊情况，班级人数确实达不到40时，可以小于40。</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第四条  网络课程课时量</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（一）网络课程的课时量，与人才培养方案规定的课时保持一致；</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二）网络授课建议采用现场教学和网络教学相结合的形式，线下的现场教学工作量按照实际发生的课时量核算，线上的网络教学工作量按计划课时量的50%核算；网络课程资源齐全、师生网络互动充分，作业批改到位，网课质量评价优秀，授课老师本人申请并经核实后，最高按70%核算。</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（三）网络班级超过40人的，按照工作量规定的系数来进行统计，参见《上海电子信息职业技术学院教师教学工作量计算办法（修订）》；</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（四）教学备课、辅导答疑、批改作业、出卷阅卷、登录成绩等属教学环节过程的，不再另计报酬。</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第三章  网络课程专业审核与意识形态审核</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第六条  网络课程的专业审核流程：二级学院分管领导根据网络课程方案对网络课程资源的质量和数量、课程内容以及是否具备网络教学条件等方面进行审核；</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第七条  网络课程的意识形态审核：新时代高校网络意识形态安全教育背景下，要保证网络课程的意识形态，不断增强网络安全意识，网络课程的意识形态必须通过二级学院党总支组织的会议审核通过；</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第八条  网络课程审批流程的合法性：教务处根据二级学院在专业、意识形态方面的审核意见，来审批网络课程的合法性。</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第四章  附则</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第八条  本办法自颁布之日起正式实施，由上海电子信息职业技术学院教务处负责解释。</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附件1  网络课程审核流程图</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附件2  网络课程审批表</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附件3  网络课程方案</w:t>
      </w:r>
    </w:p>
    <w:p>
      <w:pPr>
        <w:pageBreakBefore w:val="0"/>
        <w:topLinePunct w:val="0"/>
        <w:bidi w:val="0"/>
        <w:spacing w:line="360" w:lineRule="auto"/>
        <w:outlineLvl w:val="9"/>
        <w:rPr>
          <w:rFonts w:hint="eastAsia" w:ascii="仿宋" w:hAnsi="仿宋" w:eastAsia="仿宋" w:cs="仿宋"/>
          <w:sz w:val="28"/>
          <w:szCs w:val="28"/>
        </w:rPr>
      </w:pPr>
    </w:p>
    <w:p>
      <w:pPr>
        <w:pageBreakBefore w:val="0"/>
        <w:topLinePunct w:val="0"/>
        <w:bidi w:val="0"/>
        <w:spacing w:line="360" w:lineRule="auto"/>
        <w:outlineLvl w:val="9"/>
        <w:rPr>
          <w:rFonts w:hint="eastAsia" w:ascii="仿宋" w:hAnsi="仿宋" w:eastAsia="仿宋" w:cs="仿宋"/>
          <w:sz w:val="28"/>
          <w:szCs w:val="28"/>
        </w:rPr>
      </w:pPr>
    </w:p>
    <w:p>
      <w:pPr>
        <w:pageBreakBefore w:val="0"/>
        <w:topLinePunct w:val="0"/>
        <w:bidi w:val="0"/>
        <w:spacing w:line="360" w:lineRule="auto"/>
        <w:outlineLvl w:val="9"/>
        <w:rPr>
          <w:rFonts w:hint="eastAsia" w:ascii="仿宋" w:hAnsi="仿宋" w:eastAsia="仿宋" w:cs="仿宋"/>
          <w:sz w:val="28"/>
          <w:szCs w:val="28"/>
        </w:rPr>
      </w:pPr>
    </w:p>
    <w:p>
      <w:pPr>
        <w:pageBreakBefore w:val="0"/>
        <w:topLinePunct w:val="0"/>
        <w:bidi w:val="0"/>
        <w:spacing w:line="360" w:lineRule="auto"/>
        <w:outlineLvl w:val="9"/>
        <w:rPr>
          <w:rFonts w:hint="eastAsia" w:ascii="仿宋" w:hAnsi="仿宋" w:eastAsia="仿宋" w:cs="仿宋"/>
          <w:sz w:val="28"/>
          <w:szCs w:val="28"/>
        </w:rPr>
      </w:pPr>
    </w:p>
    <w:p>
      <w:pPr>
        <w:pageBreakBefore w:val="0"/>
        <w:topLinePunct w:val="0"/>
        <w:bidi w:val="0"/>
        <w:spacing w:line="360" w:lineRule="auto"/>
        <w:outlineLvl w:val="9"/>
        <w:rPr>
          <w:rFonts w:hint="eastAsia" w:ascii="仿宋" w:hAnsi="仿宋" w:eastAsia="仿宋" w:cs="仿宋"/>
          <w:sz w:val="28"/>
          <w:szCs w:val="28"/>
        </w:rPr>
      </w:pPr>
    </w:p>
    <w:p>
      <w:pPr>
        <w:pageBreakBefore w:val="0"/>
        <w:topLinePunct w:val="0"/>
        <w:bidi w:val="0"/>
        <w:spacing w:line="360" w:lineRule="auto"/>
        <w:outlineLvl w:val="9"/>
        <w:rPr>
          <w:rFonts w:hint="eastAsia" w:ascii="仿宋" w:hAnsi="仿宋" w:eastAsia="仿宋" w:cs="仿宋"/>
          <w:sz w:val="28"/>
          <w:szCs w:val="28"/>
        </w:rPr>
      </w:pPr>
    </w:p>
    <w:p>
      <w:pPr>
        <w:pageBreakBefore w:val="0"/>
        <w:topLinePunct w:val="0"/>
        <w:bidi w:val="0"/>
        <w:spacing w:line="360" w:lineRule="auto"/>
        <w:outlineLvl w:val="9"/>
        <w:rPr>
          <w:rFonts w:hint="eastAsia" w:ascii="仿宋" w:hAnsi="仿宋" w:eastAsia="仿宋" w:cs="仿宋"/>
          <w:sz w:val="28"/>
          <w:szCs w:val="28"/>
        </w:rPr>
      </w:pPr>
    </w:p>
    <w:p>
      <w:pPr>
        <w:pageBreakBefore w:val="0"/>
        <w:topLinePunct w:val="0"/>
        <w:bidi w:val="0"/>
        <w:spacing w:line="360" w:lineRule="auto"/>
        <w:outlineLvl w:val="9"/>
        <w:rPr>
          <w:rFonts w:hint="eastAsia" w:ascii="仿宋" w:hAnsi="仿宋" w:eastAsia="仿宋" w:cs="仿宋"/>
          <w:sz w:val="28"/>
          <w:szCs w:val="28"/>
        </w:rPr>
      </w:pPr>
    </w:p>
    <w:p>
      <w:pPr>
        <w:pageBreakBefore w:val="0"/>
        <w:topLinePunct w:val="0"/>
        <w:bidi w:val="0"/>
        <w:spacing w:line="360" w:lineRule="auto"/>
        <w:outlineLvl w:val="9"/>
        <w:rPr>
          <w:rFonts w:hint="eastAsia" w:ascii="仿宋" w:hAnsi="仿宋" w:eastAsia="仿宋" w:cs="仿宋"/>
          <w:sz w:val="28"/>
          <w:szCs w:val="28"/>
        </w:rPr>
      </w:pPr>
    </w:p>
    <w:p>
      <w:pPr>
        <w:pageBreakBefore w:val="0"/>
        <w:topLinePunct w:val="0"/>
        <w:bidi w:val="0"/>
        <w:spacing w:line="360" w:lineRule="auto"/>
        <w:outlineLvl w:val="9"/>
        <w:rPr>
          <w:rFonts w:hint="eastAsia" w:ascii="仿宋" w:hAnsi="仿宋" w:eastAsia="仿宋" w:cs="仿宋"/>
          <w:sz w:val="28"/>
          <w:szCs w:val="28"/>
        </w:rPr>
      </w:pPr>
    </w:p>
    <w:p>
      <w:pPr>
        <w:pageBreakBefore w:val="0"/>
        <w:topLinePunct w:val="0"/>
        <w:bidi w:val="0"/>
        <w:spacing w:line="360" w:lineRule="auto"/>
        <w:outlineLvl w:val="9"/>
        <w:rPr>
          <w:rFonts w:hint="eastAsia" w:ascii="仿宋" w:hAnsi="仿宋" w:eastAsia="仿宋" w:cs="仿宋"/>
          <w:sz w:val="28"/>
          <w:szCs w:val="28"/>
        </w:rPr>
      </w:pPr>
    </w:p>
    <w:p>
      <w:pPr>
        <w:pageBreakBefore w:val="0"/>
        <w:topLinePunct w:val="0"/>
        <w:bidi w:val="0"/>
        <w:spacing w:line="360" w:lineRule="auto"/>
        <w:outlineLvl w:val="9"/>
        <w:rPr>
          <w:rFonts w:hint="eastAsia" w:ascii="仿宋" w:hAnsi="仿宋" w:eastAsia="仿宋" w:cs="仿宋"/>
          <w:sz w:val="28"/>
          <w:szCs w:val="28"/>
        </w:rPr>
      </w:pPr>
    </w:p>
    <w:p>
      <w:pPr>
        <w:pageBreakBefore w:val="0"/>
        <w:topLinePunct w:val="0"/>
        <w:bidi w:val="0"/>
        <w:spacing w:line="360" w:lineRule="auto"/>
        <w:outlineLvl w:val="9"/>
        <w:rPr>
          <w:rFonts w:hint="eastAsia" w:ascii="仿宋" w:hAnsi="仿宋" w:eastAsia="仿宋" w:cs="仿宋"/>
          <w:sz w:val="28"/>
          <w:szCs w:val="28"/>
        </w:rPr>
      </w:pPr>
    </w:p>
    <w:p>
      <w:pPr>
        <w:pageBreakBefore w:val="0"/>
        <w:topLinePunct w:val="0"/>
        <w:bidi w:val="0"/>
        <w:spacing w:line="360" w:lineRule="auto"/>
        <w:outlineLvl w:val="9"/>
        <w:rPr>
          <w:rFonts w:hint="eastAsia" w:ascii="仿宋" w:hAnsi="仿宋" w:eastAsia="仿宋" w:cs="仿宋"/>
          <w:sz w:val="28"/>
          <w:szCs w:val="28"/>
        </w:rPr>
      </w:pPr>
    </w:p>
    <w:p>
      <w:pPr>
        <w:pageBreakBefore w:val="0"/>
        <w:topLinePunct w:val="0"/>
        <w:bidi w:val="0"/>
        <w:spacing w:line="360" w:lineRule="auto"/>
        <w:outlineLvl w:val="9"/>
        <w:rPr>
          <w:rFonts w:hint="eastAsia" w:ascii="仿宋" w:hAnsi="仿宋" w:eastAsia="仿宋" w:cs="仿宋"/>
          <w:sz w:val="28"/>
          <w:szCs w:val="28"/>
        </w:rPr>
      </w:pPr>
      <w:r>
        <w:rPr>
          <w:rFonts w:hint="eastAsia" w:ascii="仿宋" w:hAnsi="仿宋" w:eastAsia="仿宋" w:cs="仿宋"/>
          <w:sz w:val="28"/>
          <w:szCs w:val="28"/>
        </w:rPr>
        <w:t>附件1  网络课程审核流程图</w:t>
      </w:r>
    </w:p>
    <w:p>
      <w:pPr>
        <w:pageBreakBefore w:val="0"/>
        <w:topLinePunct w:val="0"/>
        <w:bidi w:val="0"/>
        <w:spacing w:line="360" w:lineRule="auto"/>
        <w:ind w:firstLine="560" w:firstLineChars="200"/>
        <w:jc w:val="center"/>
        <w:outlineLvl w:val="9"/>
        <w:rPr>
          <w:rFonts w:hint="eastAsia" w:ascii="仿宋" w:hAnsi="仿宋" w:eastAsia="仿宋" w:cs="仿宋"/>
          <w:sz w:val="28"/>
          <w:szCs w:val="28"/>
        </w:rPr>
      </w:pPr>
    </w:p>
    <w:p>
      <w:pPr>
        <w:pageBreakBefore w:val="0"/>
        <w:topLinePunct w:val="0"/>
        <w:bidi w:val="0"/>
        <w:spacing w:line="360" w:lineRule="auto"/>
        <w:ind w:firstLine="560" w:firstLineChars="200"/>
        <w:jc w:val="center"/>
        <w:outlineLvl w:val="9"/>
        <w:rPr>
          <w:rFonts w:hint="eastAsia" w:ascii="仿宋" w:hAnsi="仿宋" w:eastAsia="仿宋" w:cs="仿宋"/>
          <w:sz w:val="28"/>
          <w:szCs w:val="28"/>
        </w:rPr>
      </w:pPr>
      <w:r>
        <w:rPr>
          <w:rFonts w:hint="eastAsia" w:ascii="仿宋" w:hAnsi="仿宋" w:eastAsia="仿宋" w:cs="仿宋"/>
          <w:sz w:val="28"/>
          <w:szCs w:val="28"/>
        </w:rPr>
        <w:t>网络课程审核流程图</w:t>
      </w:r>
    </w:p>
    <w:p>
      <w:pPr>
        <w:pageBreakBefore w:val="0"/>
        <w:topLinePunct w:val="0"/>
        <w:bidi w:val="0"/>
        <w:spacing w:line="360" w:lineRule="auto"/>
        <w:outlineLvl w:val="9"/>
        <w:rPr>
          <w:rFonts w:hint="eastAsia" w:ascii="仿宋" w:hAnsi="仿宋" w:eastAsia="仿宋" w:cs="仿宋"/>
          <w:sz w:val="28"/>
          <w:szCs w:val="28"/>
        </w:rPr>
      </w:pPr>
    </w:p>
    <w:p>
      <w:pPr>
        <w:pageBreakBefore w:val="0"/>
        <w:topLinePunct w:val="0"/>
        <w:bidi w:val="0"/>
        <w:spacing w:line="360" w:lineRule="auto"/>
        <w:ind w:firstLine="480" w:firstLineChars="200"/>
        <w:outlineLvl w:val="9"/>
        <w:rPr>
          <w:rFonts w:hint="eastAsia" w:ascii="仿宋" w:hAnsi="仿宋" w:eastAsia="仿宋" w:cs="仿宋"/>
          <w:sz w:val="28"/>
          <w:szCs w:val="28"/>
        </w:rPr>
      </w:pPr>
      <w:r>
        <w:rPr>
          <w:sz w:val="24"/>
        </w:rPr>
        <w:pict>
          <v:group id="组合 111" o:spid="_x0000_s1131" o:spt="203" style="position:absolute;left:0pt;margin-left:132.85pt;margin-top:5.15pt;height:482.7pt;width:182.15pt;z-index:251773952;mso-width-relative:page;mso-height-relative:page;" coordorigin="5132,87953" coordsize="3643,9654">
            <o:lock v:ext="edit" aspectratio="f"/>
            <v:shape id="_x0000_s1132" o:spid="_x0000_s1132" o:spt="116" type="#_x0000_t116" style="position:absolute;left:5902;top:96871;height:737;width:2307;" fillcolor="#FFFFFF" filled="t" stroked="t" coordsize="21600,21600">
              <v:path/>
              <v:fill on="t" focussize="0,0"/>
              <v:stroke/>
              <v:imagedata o:title=""/>
              <o:lock v:ext="edit" aspectratio="f"/>
              <v:textbox>
                <w:txbxContent>
                  <w:p>
                    <w:pPr>
                      <w:jc w:val="center"/>
                      <w:rPr>
                        <w:rFonts w:hint="eastAsia"/>
                      </w:rPr>
                    </w:pPr>
                    <w:r>
                      <w:rPr>
                        <w:rFonts w:hint="eastAsia"/>
                        <w:sz w:val="18"/>
                        <w:szCs w:val="18"/>
                      </w:rPr>
                      <w:t>开始网络教学</w:t>
                    </w:r>
                  </w:p>
                </w:txbxContent>
              </v:textbox>
            </v:shape>
            <v:shape id="_x0000_s1133" o:spid="_x0000_s1133" o:spt="109" type="#_x0000_t109" style="position:absolute;left:5922;top:90103;height:737;width:2307;" fillcolor="#FFFFFF" filled="t" stroked="t" coordsize="21600,21600">
              <v:path/>
              <v:fill on="t" focussize="0,0"/>
              <v:stroke/>
              <v:imagedata o:title=""/>
              <o:lock v:ext="edit" aspectratio="f"/>
              <v:textbox>
                <w:txbxContent>
                  <w:p>
                    <w:pPr>
                      <w:ind w:firstLine="180" w:firstLineChars="100"/>
                      <w:rPr>
                        <w:rFonts w:hint="eastAsia"/>
                        <w:sz w:val="18"/>
                        <w:szCs w:val="18"/>
                      </w:rPr>
                    </w:pPr>
                    <w:r>
                      <w:rPr>
                        <w:rFonts w:hint="eastAsia"/>
                        <w:sz w:val="18"/>
                        <w:szCs w:val="18"/>
                      </w:rPr>
                      <w:t>教师在网络课程平台上录入教学资源</w:t>
                    </w:r>
                  </w:p>
                </w:txbxContent>
              </v:textbox>
            </v:shape>
            <v:shape id="_x0000_s1134" o:spid="_x0000_s1134" o:spt="109" type="#_x0000_t109" style="position:absolute;left:5903;top:94593;height:737;width:2307;" fillcolor="#FFFFFF" filled="t" stroked="t" coordsize="21600,21600">
              <v:path/>
              <v:fill on="t" focussize="0,0"/>
              <v:stroke/>
              <v:imagedata o:title=""/>
              <o:lock v:ext="edit" aspectratio="f"/>
              <v:textbox>
                <w:txbxContent>
                  <w:p>
                    <w:pPr>
                      <w:jc w:val="center"/>
                      <w:rPr>
                        <w:rFonts w:hint="eastAsia"/>
                        <w:sz w:val="18"/>
                        <w:szCs w:val="18"/>
                      </w:rPr>
                    </w:pPr>
                    <w:r>
                      <w:rPr>
                        <w:rFonts w:hint="eastAsia"/>
                        <w:sz w:val="18"/>
                        <w:szCs w:val="18"/>
                      </w:rPr>
                      <w:t>教务处审批</w:t>
                    </w:r>
                  </w:p>
                </w:txbxContent>
              </v:textbox>
            </v:shape>
            <v:shape id="_x0000_s1135" o:spid="_x0000_s1135" o:spt="109" type="#_x0000_t109" style="position:absolute;left:5906;top:93472;height:737;width:2307;" fillcolor="#FFFFFF" filled="t" stroked="t" coordsize="21600,21600">
              <v:path/>
              <v:fill on="t" focussize="0,0"/>
              <v:stroke/>
              <v:imagedata o:title=""/>
              <o:lock v:ext="edit" aspectratio="f"/>
              <v:textbox>
                <w:txbxContent>
                  <w:p>
                    <w:pPr>
                      <w:jc w:val="center"/>
                      <w:rPr>
                        <w:rFonts w:hint="eastAsia"/>
                        <w:sz w:val="18"/>
                        <w:szCs w:val="18"/>
                      </w:rPr>
                    </w:pPr>
                    <w:r>
                      <w:rPr>
                        <w:rFonts w:hint="eastAsia"/>
                        <w:sz w:val="18"/>
                        <w:szCs w:val="18"/>
                      </w:rPr>
                      <w:t>二级学院提交网络课程审批表</w:t>
                    </w:r>
                  </w:p>
                </w:txbxContent>
              </v:textbox>
            </v:shape>
            <v:shape id="自选图形 56" o:spid="_x0000_s1136" o:spt="110" type="#_x0000_t110" style="position:absolute;left:6094;top:95692;height:819;width:1935;" fillcolor="#FFFFFF" filled="t" stroked="t" coordsize="21600,21600">
              <v:path/>
              <v:fill on="t" focussize="0,0"/>
              <v:stroke/>
              <v:imagedata o:title=""/>
              <o:lock v:ext="edit" aspectratio="f"/>
              <v:textbox>
                <w:txbxContent>
                  <w:p>
                    <w:pPr>
                      <w:jc w:val="center"/>
                      <w:rPr>
                        <w:sz w:val="18"/>
                        <w:szCs w:val="18"/>
                      </w:rPr>
                    </w:pPr>
                    <w:r>
                      <w:rPr>
                        <w:rFonts w:hint="eastAsia"/>
                        <w:sz w:val="18"/>
                        <w:szCs w:val="18"/>
                      </w:rPr>
                      <w:t>通过</w:t>
                    </w:r>
                  </w:p>
                </w:txbxContent>
              </v:textbox>
            </v:shape>
            <v:shape id="_x0000_s1137" o:spid="_x0000_s1137" o:spt="109" type="#_x0000_t109" style="position:absolute;left:5925;top:89096;height:736;width:2309;" fillcolor="#FFFFFF" filled="t" stroked="t" coordsize="21600,21600">
              <v:path/>
              <v:fill on="t" focussize="0,0"/>
              <v:stroke/>
              <v:imagedata o:title=""/>
              <o:lock v:ext="edit" aspectratio="f"/>
              <v:textbox>
                <w:txbxContent>
                  <w:p>
                    <w:pPr>
                      <w:jc w:val="center"/>
                      <w:rPr>
                        <w:rFonts w:hint="eastAsia"/>
                        <w:sz w:val="18"/>
                        <w:szCs w:val="18"/>
                      </w:rPr>
                    </w:pPr>
                    <w:r>
                      <w:rPr>
                        <w:rFonts w:hint="eastAsia"/>
                        <w:sz w:val="18"/>
                        <w:szCs w:val="18"/>
                      </w:rPr>
                      <w:t>二级学院提交网络课程计划和网络课程实施方案</w:t>
                    </w:r>
                  </w:p>
                </w:txbxContent>
              </v:textbox>
            </v:shape>
            <v:shape id="_x0000_s1138" o:spid="_x0000_s1138" o:spt="109" type="#_x0000_t109" style="position:absolute;left:5897;top:91210;height:738;width:2307;" fillcolor="#FFFFFF" filled="t" stroked="t" coordsize="21600,21600">
              <v:path/>
              <v:fill on="t" focussize="0,0"/>
              <v:stroke/>
              <v:imagedata o:title=""/>
              <o:lock v:ext="edit" aspectratio="f"/>
              <v:textbox>
                <w:txbxContent>
                  <w:p>
                    <w:pPr>
                      <w:jc w:val="center"/>
                      <w:rPr>
                        <w:rFonts w:hint="eastAsia"/>
                        <w:sz w:val="18"/>
                        <w:szCs w:val="18"/>
                      </w:rPr>
                    </w:pPr>
                    <w:r>
                      <w:rPr>
                        <w:rFonts w:hint="eastAsia"/>
                        <w:sz w:val="18"/>
                        <w:szCs w:val="18"/>
                      </w:rPr>
                      <w:t>二级学院课程内容、质量、意识形态审核</w:t>
                    </w:r>
                  </w:p>
                </w:txbxContent>
              </v:textbox>
            </v:shape>
            <v:shape id="_x0000_s1139" o:spid="_x0000_s1139" o:spt="32" type="#_x0000_t32" style="position:absolute;left:5132;top:90457;height:0;width:737;" filled="f" stroked="t" coordsize="21600,21600">
              <v:path arrowok="t"/>
              <v:fill on="f" focussize="0,0"/>
              <v:stroke endarrow="block"/>
              <v:imagedata o:title=""/>
              <o:lock v:ext="edit" aspectratio="f"/>
            </v:shape>
            <v:shape id="_x0000_s1140" o:spid="_x0000_s1140" o:spt="109" type="#_x0000_t109" style="position:absolute;left:5931;top:87953;height:737;width:2308;" fillcolor="#FFFFFF" filled="t" stroked="t" coordsize="21600,21600">
              <v:path/>
              <v:fill on="t" focussize="0,0"/>
              <v:stroke/>
              <v:imagedata o:title=""/>
              <o:lock v:ext="edit" aspectratio="f"/>
              <v:textbox>
                <w:txbxContent>
                  <w:p>
                    <w:pPr>
                      <w:jc w:val="center"/>
                      <w:rPr>
                        <w:sz w:val="18"/>
                        <w:szCs w:val="18"/>
                      </w:rPr>
                    </w:pPr>
                    <w:r>
                      <w:rPr>
                        <w:rFonts w:hint="eastAsia"/>
                        <w:sz w:val="18"/>
                        <w:szCs w:val="18"/>
                      </w:rPr>
                      <w:t>教务处发布</w:t>
                    </w:r>
                  </w:p>
                  <w:p>
                    <w:pPr>
                      <w:jc w:val="center"/>
                      <w:rPr>
                        <w:sz w:val="18"/>
                        <w:szCs w:val="18"/>
                      </w:rPr>
                    </w:pPr>
                    <w:r>
                      <w:rPr>
                        <w:rFonts w:hint="eastAsia"/>
                        <w:sz w:val="18"/>
                        <w:szCs w:val="18"/>
                      </w:rPr>
                      <w:t>网络课程实通知</w:t>
                    </w:r>
                  </w:p>
                </w:txbxContent>
              </v:textbox>
            </v:shape>
            <v:shape id="_x0000_s1141" o:spid="_x0000_s1141" o:spt="32" type="#_x0000_t32" style="position:absolute;left:7091;top:88710;height:340;width:0;" filled="f" stroked="t" coordsize="21600,21600">
              <v:path arrowok="t"/>
              <v:fill on="f" focussize="0,0"/>
              <v:stroke endarrow="block"/>
              <v:imagedata o:title=""/>
              <o:lock v:ext="edit" aspectratio="f"/>
            </v:shape>
            <v:shape id="自选图形 56" o:spid="_x0000_s1142" o:spt="110" type="#_x0000_t110" style="position:absolute;left:6117;top:92305;height:819;width:1935;" fillcolor="#FFFFFF" filled="t" stroked="t" coordsize="21600,21600">
              <v:path/>
              <v:fill on="t" focussize="0,0"/>
              <v:stroke/>
              <v:imagedata o:title=""/>
              <o:lock v:ext="edit" aspectratio="f"/>
              <v:textbox>
                <w:txbxContent>
                  <w:p>
                    <w:pPr>
                      <w:jc w:val="center"/>
                      <w:rPr>
                        <w:sz w:val="18"/>
                        <w:szCs w:val="18"/>
                      </w:rPr>
                    </w:pPr>
                    <w:r>
                      <w:rPr>
                        <w:rFonts w:hint="eastAsia"/>
                        <w:sz w:val="18"/>
                        <w:szCs w:val="18"/>
                      </w:rPr>
                      <w:t>通过</w:t>
                    </w:r>
                  </w:p>
                </w:txbxContent>
              </v:textbox>
            </v:shape>
            <v:shape id="_x0000_s1143" o:spid="_x0000_s1143" o:spt="32" type="#_x0000_t32" style="position:absolute;left:8775;top:93879;flip:y;height:2211;width:1;" filled="f" stroked="t" coordsize="21600,21600">
              <v:path arrowok="t"/>
              <v:fill on="f" focussize="0,0"/>
              <v:stroke/>
              <v:imagedata o:title=""/>
              <o:lock v:ext="edit" aspectratio="f"/>
            </v:shape>
          </v:group>
        </w:pict>
      </w:r>
    </w:p>
    <w:p>
      <w:pPr>
        <w:pageBreakBefore w:val="0"/>
        <w:topLinePunct w:val="0"/>
        <w:bidi w:val="0"/>
        <w:spacing w:line="360" w:lineRule="auto"/>
        <w:jc w:val="left"/>
        <w:outlineLvl w:val="9"/>
        <w:rPr>
          <w:rFonts w:hint="eastAsia" w:ascii="仿宋" w:hAnsi="仿宋" w:eastAsia="仿宋" w:cs="仿宋"/>
          <w:sz w:val="28"/>
          <w:szCs w:val="28"/>
        </w:rPr>
      </w:pPr>
      <w:r>
        <w:rPr>
          <w:sz w:val="24"/>
        </w:rPr>
        <w:pict>
          <v:shape id="自选图形 58" o:spid="_x0000_s1144" o:spt="32" type="#_x0000_t32" style="position:absolute;left:0pt;flip:y;margin-left:134.3pt;margin-top:102.65pt;height:113.4pt;width:0.05pt;z-index:251764736;mso-width-relative:page;mso-height-relative:page;" filled="f" stroked="t" coordsize="21600,21600">
            <v:path arrowok="t"/>
            <v:fill on="f" focussize="0,0"/>
            <v:stroke/>
            <v:imagedata o:title=""/>
            <o:lock v:ext="edit" aspectratio="f"/>
          </v:shape>
        </w:pict>
      </w:r>
      <w:r>
        <w:rPr>
          <w:rFonts w:ascii="宋体" w:hAnsi="宋体"/>
          <w:b/>
          <w:sz w:val="24"/>
        </w:rPr>
        <w:pict>
          <v:rect id="矩形 63" o:spid="_x0000_s1145" o:spt="1" style="position:absolute;left:0pt;margin-left:237.1pt;margin-top:405.45pt;height:19.5pt;width:18.75pt;z-index:251772928;mso-width-relative:page;mso-height-relative:page;" filled="f" stroked="f" coordsize="21600,21600">
            <v:path/>
            <v:fill on="f" focussize="0,0"/>
            <v:stroke on="f"/>
            <v:imagedata o:title=""/>
            <o:lock v:ext="edit" aspectratio="f"/>
            <v:textbox>
              <w:txbxContent>
                <w:p>
                  <w:r>
                    <w:rPr>
                      <w:rFonts w:hint="eastAsia"/>
                    </w:rPr>
                    <w:t>Y</w:t>
                  </w:r>
                </w:p>
              </w:txbxContent>
            </v:textbox>
          </v:rect>
        </w:pict>
      </w:r>
      <w:r>
        <w:rPr>
          <w:rFonts w:ascii="宋体" w:hAnsi="宋体"/>
          <w:b/>
          <w:sz w:val="24"/>
        </w:rPr>
        <w:pict>
          <v:rect id="_x0000_s1146" o:spid="_x0000_s1146" o:spt="1" style="position:absolute;left:0pt;margin-left:282.5pt;margin-top:363.65pt;height:19.5pt;width:18.75pt;z-index:251771904;mso-width-relative:page;mso-height-relative:page;" filled="f" stroked="f" coordsize="21600,21600">
            <v:path/>
            <v:fill on="f" focussize="0,0"/>
            <v:stroke on="f"/>
            <v:imagedata o:title=""/>
            <o:lock v:ext="edit" aspectratio="f"/>
            <v:textbox>
              <w:txbxContent>
                <w:p>
                  <w:pPr>
                    <w:rPr>
                      <w:rFonts w:hint="eastAsia"/>
                    </w:rPr>
                  </w:pPr>
                  <w:r>
                    <w:rPr>
                      <w:rFonts w:hint="eastAsia"/>
                    </w:rPr>
                    <w:t>N</w:t>
                  </w:r>
                </w:p>
              </w:txbxContent>
            </v:textbox>
          </v:rect>
        </w:pict>
      </w:r>
      <w:r>
        <w:rPr>
          <w:sz w:val="24"/>
        </w:rPr>
        <w:pict>
          <v:shape id="自选图形 34" o:spid="_x0000_s1147" o:spt="32" type="#_x0000_t32" style="position:absolute;left:0pt;margin-left:286.45pt;margin-top:274.6pt;height:0pt;width:28.35pt;rotation:11796480f;z-index:251770880;mso-width-relative:page;mso-height-relative:page;" filled="f" stroked="t" coordsize="21600,21600">
            <v:path arrowok="t"/>
            <v:fill on="f" focussize="0,0"/>
            <v:stroke endarrow="block"/>
            <v:imagedata o:title=""/>
            <o:lock v:ext="edit" aspectratio="f"/>
          </v:shape>
        </w:pict>
      </w:r>
      <w:r>
        <w:rPr>
          <w:sz w:val="24"/>
        </w:rPr>
        <w:pict>
          <v:shape id="自选图形 59" o:spid="_x0000_s1148" o:spt="32" type="#_x0000_t32" style="position:absolute;left:0pt;margin-left:277.45pt;margin-top:385.1pt;height:0pt;width:36.85pt;z-index:251769856;mso-width-relative:page;mso-height-relative:page;" filled="f" stroked="t" coordsize="21600,21600">
            <v:path arrowok="t"/>
            <v:fill on="f" focussize="0,0"/>
            <v:stroke endarrow="block"/>
            <v:imagedata o:title=""/>
            <o:lock v:ext="edit" aspectratio="f"/>
          </v:shape>
        </w:pict>
      </w:r>
      <w:r>
        <w:rPr>
          <w:rFonts w:ascii="宋体" w:hAnsi="宋体"/>
          <w:b/>
          <w:sz w:val="24"/>
        </w:rPr>
        <w:pict>
          <v:rect id="_x0000_s1149" o:spid="_x0000_s1149" o:spt="1" style="position:absolute;left:0pt;margin-left:209.35pt;margin-top:233.7pt;height:19.5pt;width:18.75pt;z-index:251768832;mso-width-relative:page;mso-height-relative:page;" filled="f" stroked="f" coordsize="21600,21600">
            <v:path/>
            <v:fill on="f" focussize="0,0"/>
            <v:stroke on="f"/>
            <v:imagedata o:title=""/>
            <o:lock v:ext="edit" aspectratio="f"/>
            <v:textbox>
              <w:txbxContent>
                <w:p>
                  <w:r>
                    <w:rPr>
                      <w:rFonts w:hint="eastAsia"/>
                    </w:rPr>
                    <w:t>Y</w:t>
                  </w:r>
                </w:p>
              </w:txbxContent>
            </v:textbox>
          </v:rect>
        </w:pict>
      </w:r>
      <w:r>
        <w:rPr>
          <w:rFonts w:ascii="宋体" w:hAnsi="宋体"/>
          <w:b/>
          <w:sz w:val="24"/>
        </w:rPr>
        <w:pict>
          <v:rect id="_x0000_s1150" o:spid="_x0000_s1150" o:spt="1" style="position:absolute;left:0pt;margin-left:147.35pt;margin-top:192.3pt;height:19.5pt;width:18.75pt;z-index:251767808;mso-width-relative:page;mso-height-relative:page;" filled="f" stroked="f" coordsize="21600,21600">
            <v:path/>
            <v:fill on="f" focussize="0,0"/>
            <v:stroke on="f"/>
            <v:imagedata o:title=""/>
            <o:lock v:ext="edit" aspectratio="f"/>
            <v:textbox>
              <w:txbxContent>
                <w:p>
                  <w:pPr>
                    <w:rPr>
                      <w:rFonts w:hint="eastAsia"/>
                    </w:rPr>
                  </w:pPr>
                  <w:r>
                    <w:rPr>
                      <w:rFonts w:hint="eastAsia"/>
                    </w:rPr>
                    <w:t>N</w:t>
                  </w:r>
                </w:p>
              </w:txbxContent>
            </v:textbox>
          </v:rect>
        </w:pict>
      </w:r>
      <w:r>
        <w:rPr>
          <w:sz w:val="24"/>
        </w:rPr>
        <w:pict>
          <v:shape id="_x0000_s1151" o:spid="_x0000_s1151" o:spt="32" type="#_x0000_t32" style="position:absolute;left:0pt;margin-left:229.3pt;margin-top:405.9pt;height:17pt;width:0pt;z-index:251766784;mso-width-relative:page;mso-height-relative:page;" filled="f" stroked="t" coordsize="21600,21600">
            <v:path arrowok="t"/>
            <v:fill on="f" focussize="0,0"/>
            <v:stroke endarrow="block"/>
            <v:imagedata o:title=""/>
            <o:lock v:ext="edit" aspectratio="f"/>
          </v:shape>
        </w:pict>
      </w:r>
      <w:r>
        <w:rPr>
          <w:sz w:val="24"/>
        </w:rPr>
        <w:pict>
          <v:shape id="_x0000_s1152" o:spid="_x0000_s1152" o:spt="32" type="#_x0000_t32" style="position:absolute;left:0pt;margin-left:229.25pt;margin-top:347.05pt;height:17pt;width:0pt;z-index:251759616;mso-width-relative:page;mso-height-relative:page;" filled="f" stroked="t" coordsize="21600,21600">
            <v:path arrowok="t"/>
            <v:fill on="f" focussize="0,0"/>
            <v:stroke endarrow="block"/>
            <v:imagedata o:title=""/>
            <o:lock v:ext="edit" aspectratio="f"/>
          </v:shape>
        </w:pict>
      </w:r>
      <w:r>
        <w:rPr>
          <w:sz w:val="24"/>
        </w:rPr>
        <w:pict>
          <v:shape id="_x0000_s1153" o:spid="_x0000_s1153" o:spt="32" type="#_x0000_t32" style="position:absolute;left:0pt;margin-left:133.85pt;margin-top:216.35pt;height:0pt;width:48.2pt;rotation:11796480f;z-index:251765760;mso-width-relative:page;mso-height-relative:page;" filled="f" stroked="t" coordsize="21600,21600">
            <v:path arrowok="t"/>
            <v:fill on="f" focussize="0,0"/>
            <v:stroke endarrow="block"/>
            <v:imagedata o:title=""/>
            <o:lock v:ext="edit" aspectratio="f"/>
          </v:shape>
        </w:pict>
      </w:r>
      <w:r>
        <w:rPr>
          <w:sz w:val="24"/>
        </w:rPr>
        <w:pict>
          <v:shape id="自选图形 67" o:spid="_x0000_s1154" o:spt="32" type="#_x0000_t32" style="position:absolute;left:0pt;margin-left:229.2pt;margin-top:291.35pt;height:18.6pt;width:0pt;z-index:251758592;mso-width-relative:page;mso-height-relative:page;" filled="f" stroked="t" coordsize="21600,21600">
            <v:path arrowok="t"/>
            <v:fill on="f" focussize="0,0"/>
            <v:stroke endarrow="block"/>
            <v:imagedata o:title=""/>
            <o:lock v:ext="edit" aspectratio="f"/>
          </v:shape>
        </w:pict>
      </w:r>
      <w:r>
        <w:rPr>
          <w:sz w:val="24"/>
        </w:rPr>
        <w:pict>
          <v:shape id="自选图形 66" o:spid="_x0000_s1155" o:spt="32" type="#_x0000_t32" style="position:absolute;left:0pt;margin-left:229.5pt;margin-top:236pt;height:17pt;width:0.35pt;z-index:251757568;mso-width-relative:page;mso-height-relative:page;" filled="f" stroked="t" coordsize="21600,21600">
            <v:path arrowok="t"/>
            <v:fill on="f" focussize="0,0"/>
            <v:stroke endarrow="block"/>
            <v:imagedata o:title=""/>
            <o:lock v:ext="edit" aspectratio="f"/>
          </v:shape>
        </w:pict>
      </w:r>
      <w:r>
        <w:rPr>
          <w:sz w:val="24"/>
        </w:rPr>
        <w:pict>
          <v:shape id="_x0000_s1156" o:spid="_x0000_s1156" o:spt="32" type="#_x0000_t32" style="position:absolute;left:0pt;margin-left:229.15pt;margin-top:177.5pt;height:17pt;width:0pt;z-index:251761664;mso-width-relative:page;mso-height-relative:page;" filled="f" stroked="t" coordsize="21600,21600">
            <v:path arrowok="t"/>
            <v:fill on="f" focussize="0,0"/>
            <v:stroke endarrow="block"/>
            <v:imagedata o:title=""/>
            <o:lock v:ext="edit" aspectratio="f"/>
          </v:shape>
        </w:pict>
      </w:r>
      <w:r>
        <w:rPr>
          <w:sz w:val="24"/>
        </w:rPr>
        <w:pict>
          <v:shape id="_x0000_s1157" o:spid="_x0000_s1157" o:spt="32" type="#_x0000_t32" style="position:absolute;left:0pt;margin-left:227.85pt;margin-top:68.2pt;height:17pt;width:0pt;z-index:251763712;mso-width-relative:page;mso-height-relative:page;" filled="f" stroked="t" coordsize="21600,21600">
            <v:path arrowok="t"/>
            <v:fill on="f" focussize="0,0"/>
            <v:stroke endarrow="block"/>
            <v:imagedata o:title=""/>
            <o:lock v:ext="edit" aspectratio="f"/>
          </v:shape>
        </w:pict>
      </w:r>
      <w:r>
        <w:rPr>
          <w:sz w:val="24"/>
        </w:rPr>
        <w:pict>
          <v:shape id="自选图形 65" o:spid="_x0000_s1158" o:spt="32" type="#_x0000_t32" style="position:absolute;left:0pt;margin-left:227.85pt;margin-top:123.15pt;height:17.1pt;width:0.05pt;z-index:251760640;mso-width-relative:page;mso-height-relative:page;" filled="f" stroked="t" coordsize="21600,21600">
            <v:path arrowok="t"/>
            <v:fill on="f" focussize="0,0"/>
            <v:stroke endarrow="block"/>
            <v:imagedata o:title=""/>
            <o:lock v:ext="edit" aspectratio="f"/>
          </v:shape>
        </w:pict>
      </w:r>
      <w:r>
        <w:rPr>
          <w:sz w:val="24"/>
        </w:rPr>
        <w:pict>
          <v:shape id="自选图形 53" o:spid="_x0000_s1159" o:spt="32" type="#_x0000_t32" style="position:absolute;left:0pt;margin-left:232.55pt;margin-top:152.6pt;height:15.75pt;width:0.35pt;z-index:251762688;mso-width-relative:page;mso-height-relative:page;" filled="f" stroked="t" coordsize="21600,21600">
            <v:path arrowok="t"/>
            <v:fill on="f" focussize="0,0"/>
            <v:stroke endarrow="block"/>
            <v:imagedata o:title=""/>
            <o:lock v:ext="edit" aspectratio="f"/>
          </v:shape>
        </w:pict>
      </w:r>
      <w:r>
        <w:rPr>
          <w:rFonts w:hint="eastAsia" w:ascii="仿宋" w:hAnsi="仿宋" w:eastAsia="仿宋" w:cs="仿宋"/>
          <w:sz w:val="28"/>
          <w:szCs w:val="28"/>
        </w:rPr>
        <w:br w:type="page"/>
      </w:r>
      <w:r>
        <w:rPr>
          <w:rFonts w:hint="eastAsia" w:ascii="仿宋" w:hAnsi="仿宋" w:eastAsia="仿宋" w:cs="仿宋"/>
          <w:sz w:val="28"/>
          <w:szCs w:val="28"/>
        </w:rPr>
        <w:t xml:space="preserve">  附件2  网络课程审批表</w:t>
      </w:r>
    </w:p>
    <w:p>
      <w:pPr>
        <w:pageBreakBefore w:val="0"/>
        <w:widowControl/>
        <w:topLinePunct w:val="0"/>
        <w:bidi w:val="0"/>
        <w:spacing w:line="400" w:lineRule="exact"/>
        <w:jc w:val="center"/>
        <w:outlineLvl w:val="9"/>
        <w:rPr>
          <w:rFonts w:hint="eastAsia" w:ascii="仿宋" w:hAnsi="仿宋" w:eastAsia="仿宋" w:cs="仿宋"/>
          <w:sz w:val="28"/>
          <w:szCs w:val="28"/>
        </w:rPr>
      </w:pPr>
    </w:p>
    <w:p>
      <w:pPr>
        <w:pageBreakBefore w:val="0"/>
        <w:topLinePunct w:val="0"/>
        <w:bidi w:val="0"/>
        <w:spacing w:line="360" w:lineRule="auto"/>
        <w:jc w:val="center"/>
        <w:outlineLvl w:val="9"/>
        <w:rPr>
          <w:rFonts w:hint="eastAsia" w:ascii="仿宋" w:hAnsi="仿宋" w:eastAsia="仿宋" w:cs="仿宋"/>
          <w:sz w:val="28"/>
          <w:szCs w:val="28"/>
        </w:rPr>
      </w:pPr>
      <w:r>
        <w:rPr>
          <w:rFonts w:hint="eastAsia" w:ascii="仿宋" w:hAnsi="仿宋" w:eastAsia="仿宋" w:cs="仿宋"/>
          <w:sz w:val="28"/>
          <w:szCs w:val="28"/>
        </w:rPr>
        <w:t xml:space="preserve">                     网络课程审批表          </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学年第</w:t>
      </w:r>
      <w:r>
        <w:rPr>
          <w:rFonts w:hint="eastAsia" w:ascii="仿宋" w:hAnsi="仿宋" w:eastAsia="仿宋" w:cs="仿宋"/>
          <w:kern w:val="0"/>
          <w:sz w:val="28"/>
          <w:szCs w:val="28"/>
          <w:u w:val="single"/>
        </w:rPr>
        <w:t xml:space="preserve">  </w:t>
      </w:r>
      <w:r>
        <w:rPr>
          <w:rFonts w:hint="eastAsia" w:ascii="仿宋" w:hAnsi="仿宋" w:eastAsia="仿宋" w:cs="仿宋"/>
          <w:kern w:val="0"/>
          <w:sz w:val="28"/>
          <w:szCs w:val="28"/>
        </w:rPr>
        <w:t>学期</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395"/>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gridSpan w:val="2"/>
            <w:noWrap w:val="0"/>
            <w:vAlign w:val="top"/>
          </w:tcPr>
          <w:p>
            <w:pPr>
              <w:pageBreakBefore w:val="0"/>
              <w:widowControl/>
              <w:topLinePunct w:val="0"/>
              <w:bidi w:val="0"/>
              <w:spacing w:line="360" w:lineRule="exact"/>
              <w:outlineLvl w:val="9"/>
              <w:rPr>
                <w:rFonts w:hint="eastAsia" w:ascii="仿宋" w:hAnsi="仿宋" w:eastAsia="仿宋" w:cs="仿宋"/>
                <w:kern w:val="0"/>
                <w:sz w:val="28"/>
                <w:szCs w:val="28"/>
                <w:u w:val="single"/>
              </w:rPr>
            </w:pPr>
            <w:r>
              <w:rPr>
                <w:rFonts w:hint="eastAsia" w:ascii="仿宋" w:hAnsi="仿宋" w:eastAsia="仿宋" w:cs="仿宋"/>
                <w:kern w:val="0"/>
                <w:sz w:val="28"/>
                <w:szCs w:val="28"/>
              </w:rPr>
              <w:t>二级学院</w:t>
            </w:r>
            <w:r>
              <w:rPr>
                <w:rFonts w:ascii="仿宋" w:hAnsi="仿宋" w:eastAsia="仿宋" w:cs="仿宋"/>
                <w:kern w:val="0"/>
                <w:sz w:val="28"/>
                <w:szCs w:val="28"/>
              </w:rPr>
              <w:t>：</w:t>
            </w:r>
          </w:p>
        </w:tc>
        <w:tc>
          <w:tcPr>
            <w:tcW w:w="3452" w:type="dxa"/>
            <w:noWrap w:val="0"/>
            <w:vAlign w:val="top"/>
          </w:tcPr>
          <w:p>
            <w:pPr>
              <w:pageBreakBefore w:val="0"/>
              <w:widowControl/>
              <w:topLinePunct w:val="0"/>
              <w:bidi w:val="0"/>
              <w:spacing w:line="360" w:lineRule="exact"/>
              <w:outlineLvl w:val="9"/>
              <w:rPr>
                <w:rFonts w:hint="eastAsia" w:ascii="仿宋" w:hAnsi="仿宋" w:eastAsia="仿宋" w:cs="仿宋"/>
                <w:kern w:val="0"/>
                <w:sz w:val="28"/>
                <w:szCs w:val="28"/>
              </w:rPr>
            </w:pPr>
            <w:r>
              <w:rPr>
                <w:rFonts w:hint="eastAsia" w:ascii="仿宋" w:hAnsi="仿宋" w:eastAsia="仿宋" w:cs="仿宋"/>
                <w:kern w:val="0"/>
                <w:sz w:val="28"/>
                <w:szCs w:val="28"/>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70" w:type="dxa"/>
            <w:gridSpan w:val="2"/>
            <w:noWrap w:val="0"/>
            <w:vAlign w:val="top"/>
          </w:tcPr>
          <w:p>
            <w:pPr>
              <w:pageBreakBefore w:val="0"/>
              <w:widowControl/>
              <w:topLinePunct w:val="0"/>
              <w:bidi w:val="0"/>
              <w:spacing w:line="360" w:lineRule="exact"/>
              <w:outlineLvl w:val="9"/>
              <w:rPr>
                <w:rFonts w:hint="eastAsia" w:ascii="仿宋" w:hAnsi="仿宋" w:eastAsia="仿宋" w:cs="仿宋"/>
                <w:kern w:val="0"/>
                <w:sz w:val="28"/>
                <w:szCs w:val="28"/>
              </w:rPr>
            </w:pPr>
            <w:r>
              <w:rPr>
                <w:rFonts w:hint="eastAsia" w:ascii="仿宋" w:hAnsi="仿宋" w:eastAsia="仿宋" w:cs="仿宋"/>
                <w:kern w:val="0"/>
                <w:sz w:val="28"/>
                <w:szCs w:val="28"/>
              </w:rPr>
              <w:t>课程名称：</w:t>
            </w:r>
          </w:p>
        </w:tc>
        <w:tc>
          <w:tcPr>
            <w:tcW w:w="3452" w:type="dxa"/>
            <w:noWrap w:val="0"/>
            <w:vAlign w:val="top"/>
          </w:tcPr>
          <w:p>
            <w:pPr>
              <w:pageBreakBefore w:val="0"/>
              <w:widowControl/>
              <w:topLinePunct w:val="0"/>
              <w:bidi w:val="0"/>
              <w:spacing w:line="360" w:lineRule="exact"/>
              <w:outlineLvl w:val="9"/>
              <w:rPr>
                <w:rFonts w:hint="eastAsia" w:ascii="仿宋" w:hAnsi="仿宋" w:eastAsia="仿宋" w:cs="仿宋"/>
                <w:kern w:val="0"/>
                <w:sz w:val="28"/>
                <w:szCs w:val="28"/>
                <w:u w:val="single"/>
              </w:rPr>
            </w:pPr>
            <w:r>
              <w:rPr>
                <w:rFonts w:hint="eastAsia" w:ascii="仿宋" w:hAnsi="仿宋" w:eastAsia="仿宋" w:cs="仿宋"/>
                <w:kern w:val="0"/>
                <w:sz w:val="28"/>
                <w:szCs w:val="28"/>
              </w:rPr>
              <w:t>任课教师：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pageBreakBefore w:val="0"/>
              <w:widowControl/>
              <w:topLinePunct w:val="0"/>
              <w:bidi w:val="0"/>
              <w:spacing w:line="360" w:lineRule="exact"/>
              <w:outlineLvl w:val="9"/>
              <w:rPr>
                <w:rFonts w:ascii="仿宋" w:hAnsi="仿宋" w:eastAsia="仿宋" w:cs="仿宋"/>
                <w:kern w:val="0"/>
                <w:sz w:val="28"/>
                <w:szCs w:val="28"/>
                <w:u w:val="single"/>
              </w:rPr>
            </w:pPr>
          </w:p>
          <w:p>
            <w:pPr>
              <w:pageBreakBefore w:val="0"/>
              <w:widowControl/>
              <w:topLinePunct w:val="0"/>
              <w:bidi w:val="0"/>
              <w:spacing w:line="360" w:lineRule="exact"/>
              <w:outlineLvl w:val="9"/>
              <w:rPr>
                <w:rFonts w:hint="eastAsia" w:ascii="仿宋" w:hAnsi="仿宋" w:eastAsia="仿宋" w:cs="仿宋"/>
                <w:kern w:val="0"/>
                <w:sz w:val="28"/>
                <w:szCs w:val="28"/>
              </w:rPr>
            </w:pPr>
            <w:r>
              <w:rPr>
                <w:rFonts w:hint="eastAsia" w:ascii="仿宋" w:hAnsi="仿宋" w:eastAsia="仿宋" w:cs="仿宋"/>
                <w:kern w:val="0"/>
                <w:sz w:val="28"/>
                <w:szCs w:val="28"/>
              </w:rPr>
              <w:t>网络课程</w:t>
            </w:r>
          </w:p>
          <w:p>
            <w:pPr>
              <w:pageBreakBefore w:val="0"/>
              <w:widowControl/>
              <w:topLinePunct w:val="0"/>
              <w:bidi w:val="0"/>
              <w:spacing w:line="360" w:lineRule="exact"/>
              <w:outlineLvl w:val="9"/>
              <w:rPr>
                <w:rFonts w:hint="eastAsia" w:ascii="仿宋" w:hAnsi="仿宋" w:eastAsia="仿宋" w:cs="仿宋"/>
                <w:kern w:val="0"/>
                <w:sz w:val="28"/>
                <w:szCs w:val="28"/>
              </w:rPr>
            </w:pPr>
            <w:r>
              <w:rPr>
                <w:rFonts w:hint="eastAsia" w:ascii="仿宋" w:hAnsi="仿宋" w:eastAsia="仿宋" w:cs="仿宋"/>
                <w:kern w:val="0"/>
                <w:sz w:val="28"/>
                <w:szCs w:val="28"/>
              </w:rPr>
              <w:t>申</w:t>
            </w:r>
          </w:p>
          <w:p>
            <w:pPr>
              <w:pageBreakBefore w:val="0"/>
              <w:widowControl/>
              <w:topLinePunct w:val="0"/>
              <w:bidi w:val="0"/>
              <w:spacing w:line="360" w:lineRule="exact"/>
              <w:outlineLvl w:val="9"/>
              <w:rPr>
                <w:rFonts w:ascii="仿宋" w:hAnsi="仿宋" w:eastAsia="仿宋" w:cs="仿宋"/>
                <w:kern w:val="0"/>
                <w:sz w:val="28"/>
                <w:szCs w:val="28"/>
              </w:rPr>
            </w:pPr>
            <w:r>
              <w:rPr>
                <w:rFonts w:hint="eastAsia" w:ascii="仿宋" w:hAnsi="仿宋" w:eastAsia="仿宋" w:cs="仿宋"/>
                <w:kern w:val="0"/>
                <w:sz w:val="28"/>
                <w:szCs w:val="28"/>
              </w:rPr>
              <w:t>请</w:t>
            </w:r>
          </w:p>
          <w:p>
            <w:pPr>
              <w:pageBreakBefore w:val="0"/>
              <w:widowControl/>
              <w:topLinePunct w:val="0"/>
              <w:bidi w:val="0"/>
              <w:spacing w:line="360" w:lineRule="exact"/>
              <w:outlineLvl w:val="9"/>
              <w:rPr>
                <w:rFonts w:hint="eastAsia" w:ascii="仿宋" w:hAnsi="仿宋" w:eastAsia="仿宋" w:cs="仿宋"/>
                <w:kern w:val="0"/>
                <w:sz w:val="28"/>
                <w:szCs w:val="28"/>
                <w:u w:val="single"/>
              </w:rPr>
            </w:pPr>
          </w:p>
        </w:tc>
        <w:tc>
          <w:tcPr>
            <w:tcW w:w="7847" w:type="dxa"/>
            <w:gridSpan w:val="2"/>
            <w:noWrap w:val="0"/>
            <w:vAlign w:val="top"/>
          </w:tcPr>
          <w:p>
            <w:pPr>
              <w:pageBreakBefore w:val="0"/>
              <w:widowControl/>
              <w:topLinePunct w:val="0"/>
              <w:bidi w:val="0"/>
              <w:spacing w:line="360" w:lineRule="exact"/>
              <w:outlineLvl w:val="9"/>
              <w:rPr>
                <w:rFonts w:hint="eastAsia" w:ascii="仿宋" w:hAnsi="仿宋" w:eastAsia="仿宋" w:cs="仿宋"/>
                <w:kern w:val="0"/>
                <w:sz w:val="28"/>
                <w:szCs w:val="28"/>
                <w:u w:val="single"/>
              </w:rPr>
            </w:pPr>
            <w:r>
              <w:rPr>
                <w:rFonts w:hint="eastAsia" w:ascii="仿宋" w:hAnsi="仿宋" w:eastAsia="仿宋" w:cs="仿宋"/>
                <w:kern w:val="0"/>
                <w:sz w:val="28"/>
                <w:szCs w:val="28"/>
                <w:u w:val="single"/>
              </w:rPr>
              <w:t>（请另外附上网络课程方案，格式见附件3）</w:t>
            </w:r>
          </w:p>
          <w:p>
            <w:pPr>
              <w:pageBreakBefore w:val="0"/>
              <w:widowControl/>
              <w:topLinePunct w:val="0"/>
              <w:bidi w:val="0"/>
              <w:spacing w:line="360" w:lineRule="exact"/>
              <w:outlineLvl w:val="9"/>
              <w:rPr>
                <w:rFonts w:ascii="仿宋" w:hAnsi="仿宋" w:eastAsia="仿宋" w:cs="仿宋"/>
                <w:kern w:val="0"/>
                <w:sz w:val="28"/>
                <w:szCs w:val="28"/>
                <w:u w:val="single"/>
              </w:rPr>
            </w:pPr>
          </w:p>
          <w:p>
            <w:pPr>
              <w:pageBreakBefore w:val="0"/>
              <w:widowControl/>
              <w:topLinePunct w:val="0"/>
              <w:bidi w:val="0"/>
              <w:spacing w:line="360" w:lineRule="exact"/>
              <w:outlineLvl w:val="9"/>
              <w:rPr>
                <w:rFonts w:ascii="仿宋" w:hAnsi="仿宋" w:eastAsia="仿宋" w:cs="仿宋"/>
                <w:kern w:val="0"/>
                <w:sz w:val="28"/>
                <w:szCs w:val="28"/>
                <w:u w:val="single"/>
              </w:rPr>
            </w:pPr>
          </w:p>
          <w:p>
            <w:pPr>
              <w:pageBreakBefore w:val="0"/>
              <w:widowControl/>
              <w:topLinePunct w:val="0"/>
              <w:bidi w:val="0"/>
              <w:spacing w:line="360" w:lineRule="exact"/>
              <w:outlineLvl w:val="9"/>
              <w:rPr>
                <w:rFonts w:ascii="仿宋" w:hAnsi="仿宋" w:eastAsia="仿宋" w:cs="仿宋"/>
                <w:kern w:val="0"/>
                <w:sz w:val="28"/>
                <w:szCs w:val="28"/>
                <w:u w:val="single"/>
              </w:rPr>
            </w:pPr>
          </w:p>
          <w:p>
            <w:pPr>
              <w:pageBreakBefore w:val="0"/>
              <w:widowControl/>
              <w:topLinePunct w:val="0"/>
              <w:bidi w:val="0"/>
              <w:spacing w:line="360" w:lineRule="exact"/>
              <w:ind w:firstLine="4060" w:firstLineChars="1450"/>
              <w:outlineLvl w:val="9"/>
              <w:rPr>
                <w:rFonts w:ascii="仿宋" w:hAnsi="仿宋" w:eastAsia="仿宋" w:cs="仿宋"/>
                <w:kern w:val="0"/>
                <w:sz w:val="28"/>
                <w:szCs w:val="28"/>
              </w:rPr>
            </w:pPr>
            <w:r>
              <w:rPr>
                <w:rFonts w:hint="eastAsia" w:ascii="仿宋" w:hAnsi="仿宋" w:eastAsia="仿宋" w:cs="仿宋"/>
                <w:kern w:val="0"/>
                <w:sz w:val="28"/>
                <w:szCs w:val="28"/>
              </w:rPr>
              <w:t>申请人：</w:t>
            </w:r>
            <w:r>
              <w:rPr>
                <w:rFonts w:ascii="仿宋" w:hAnsi="仿宋" w:eastAsia="仿宋" w:cs="仿宋"/>
                <w:kern w:val="0"/>
                <w:sz w:val="28"/>
                <w:szCs w:val="28"/>
              </w:rPr>
              <w:t xml:space="preserve"> </w:t>
            </w:r>
          </w:p>
          <w:p>
            <w:pPr>
              <w:pageBreakBefore w:val="0"/>
              <w:widowControl/>
              <w:topLinePunct w:val="0"/>
              <w:bidi w:val="0"/>
              <w:spacing w:line="360" w:lineRule="exact"/>
              <w:ind w:firstLine="4060" w:firstLineChars="1450"/>
              <w:outlineLvl w:val="9"/>
              <w:rPr>
                <w:rFonts w:hint="eastAsia" w:ascii="仿宋" w:hAnsi="仿宋" w:eastAsia="仿宋" w:cs="仿宋"/>
                <w:kern w:val="0"/>
                <w:sz w:val="28"/>
                <w:szCs w:val="28"/>
                <w:u w:val="single"/>
              </w:rPr>
            </w:pPr>
            <w:r>
              <w:rPr>
                <w:rFonts w:hint="eastAsia" w:ascii="仿宋" w:hAnsi="仿宋" w:eastAsia="仿宋" w:cs="仿宋"/>
                <w:kern w:val="0"/>
                <w:sz w:val="28"/>
                <w:szCs w:val="28"/>
              </w:rPr>
              <w:t>时间</w:t>
            </w:r>
            <w:r>
              <w:rPr>
                <w:rFonts w:ascii="仿宋" w:hAnsi="仿宋" w:eastAsia="仿宋" w:cs="仿宋"/>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pageBreakBefore w:val="0"/>
              <w:widowControl/>
              <w:topLinePunct w:val="0"/>
              <w:bidi w:val="0"/>
              <w:spacing w:line="360" w:lineRule="exact"/>
              <w:outlineLvl w:val="9"/>
              <w:rPr>
                <w:rFonts w:ascii="仿宋" w:hAnsi="仿宋" w:eastAsia="仿宋" w:cs="仿宋"/>
                <w:kern w:val="0"/>
                <w:sz w:val="28"/>
                <w:szCs w:val="28"/>
              </w:rPr>
            </w:pPr>
          </w:p>
          <w:p>
            <w:pPr>
              <w:pageBreakBefore w:val="0"/>
              <w:widowControl/>
              <w:topLinePunct w:val="0"/>
              <w:bidi w:val="0"/>
              <w:spacing w:line="360" w:lineRule="exact"/>
              <w:outlineLvl w:val="9"/>
              <w:rPr>
                <w:rFonts w:hint="eastAsia" w:ascii="仿宋" w:hAnsi="仿宋" w:eastAsia="仿宋" w:cs="仿宋"/>
                <w:kern w:val="0"/>
                <w:sz w:val="28"/>
                <w:szCs w:val="28"/>
              </w:rPr>
            </w:pPr>
            <w:r>
              <w:rPr>
                <w:rFonts w:hint="eastAsia" w:ascii="仿宋" w:hAnsi="仿宋" w:eastAsia="仿宋" w:cs="仿宋"/>
                <w:kern w:val="0"/>
                <w:sz w:val="28"/>
                <w:szCs w:val="28"/>
              </w:rPr>
              <w:t>二级学</w:t>
            </w:r>
            <w:r>
              <w:rPr>
                <w:rFonts w:ascii="仿宋" w:hAnsi="仿宋" w:eastAsia="仿宋" w:cs="仿宋"/>
                <w:kern w:val="0"/>
                <w:sz w:val="28"/>
                <w:szCs w:val="28"/>
              </w:rPr>
              <w:t>院</w:t>
            </w:r>
            <w:r>
              <w:rPr>
                <w:rFonts w:hint="eastAsia" w:ascii="仿宋" w:hAnsi="仿宋" w:eastAsia="仿宋" w:cs="仿宋"/>
                <w:kern w:val="0"/>
                <w:sz w:val="28"/>
                <w:szCs w:val="28"/>
              </w:rPr>
              <w:t>审核</w:t>
            </w:r>
          </w:p>
          <w:p>
            <w:pPr>
              <w:pageBreakBefore w:val="0"/>
              <w:widowControl/>
              <w:topLinePunct w:val="0"/>
              <w:bidi w:val="0"/>
              <w:spacing w:line="360" w:lineRule="exact"/>
              <w:outlineLvl w:val="9"/>
              <w:rPr>
                <w:rFonts w:hint="eastAsia" w:ascii="仿宋" w:hAnsi="仿宋" w:eastAsia="仿宋" w:cs="仿宋"/>
                <w:kern w:val="0"/>
                <w:sz w:val="28"/>
                <w:szCs w:val="28"/>
              </w:rPr>
            </w:pPr>
          </w:p>
        </w:tc>
        <w:tc>
          <w:tcPr>
            <w:tcW w:w="7847" w:type="dxa"/>
            <w:gridSpan w:val="2"/>
            <w:noWrap w:val="0"/>
            <w:vAlign w:val="top"/>
          </w:tcPr>
          <w:p>
            <w:pPr>
              <w:pageBreakBefore w:val="0"/>
              <w:widowControl/>
              <w:topLinePunct w:val="0"/>
              <w:bidi w:val="0"/>
              <w:spacing w:line="360" w:lineRule="exact"/>
              <w:outlineLvl w:val="9"/>
              <w:rPr>
                <w:rFonts w:ascii="仿宋" w:hAnsi="仿宋" w:eastAsia="仿宋" w:cs="仿宋"/>
                <w:kern w:val="0"/>
                <w:sz w:val="28"/>
                <w:szCs w:val="28"/>
              </w:rPr>
            </w:pPr>
            <w:r>
              <w:rPr>
                <w:rFonts w:hint="eastAsia" w:ascii="仿宋" w:hAnsi="仿宋" w:eastAsia="仿宋" w:cs="仿宋"/>
                <w:kern w:val="0"/>
                <w:sz w:val="28"/>
                <w:szCs w:val="28"/>
              </w:rPr>
              <w:t>（二级</w:t>
            </w:r>
            <w:r>
              <w:rPr>
                <w:rFonts w:ascii="仿宋" w:hAnsi="仿宋" w:eastAsia="仿宋" w:cs="仿宋"/>
                <w:kern w:val="0"/>
                <w:sz w:val="28"/>
                <w:szCs w:val="28"/>
              </w:rPr>
              <w:t>学院分管领导</w:t>
            </w:r>
            <w:r>
              <w:rPr>
                <w:rFonts w:hint="eastAsia" w:ascii="仿宋" w:hAnsi="仿宋" w:eastAsia="仿宋" w:cs="仿宋"/>
                <w:kern w:val="0"/>
                <w:sz w:val="28"/>
                <w:szCs w:val="28"/>
              </w:rPr>
              <w:t>根据网络课程方案对网络课程的</w:t>
            </w:r>
            <w:r>
              <w:rPr>
                <w:rFonts w:ascii="仿宋" w:hAnsi="仿宋" w:eastAsia="仿宋" w:cs="仿宋"/>
                <w:kern w:val="0"/>
                <w:sz w:val="28"/>
                <w:szCs w:val="28"/>
              </w:rPr>
              <w:t>质量、内容方面进行审核）</w:t>
            </w:r>
          </w:p>
          <w:p>
            <w:pPr>
              <w:pageBreakBefore w:val="0"/>
              <w:widowControl/>
              <w:topLinePunct w:val="0"/>
              <w:bidi w:val="0"/>
              <w:spacing w:line="360" w:lineRule="exact"/>
              <w:outlineLvl w:val="9"/>
              <w:rPr>
                <w:rFonts w:ascii="仿宋" w:hAnsi="仿宋" w:eastAsia="仿宋" w:cs="仿宋"/>
                <w:kern w:val="0"/>
                <w:sz w:val="28"/>
                <w:szCs w:val="28"/>
              </w:rPr>
            </w:pPr>
          </w:p>
          <w:p>
            <w:pPr>
              <w:pageBreakBefore w:val="0"/>
              <w:widowControl/>
              <w:topLinePunct w:val="0"/>
              <w:bidi w:val="0"/>
              <w:spacing w:line="360" w:lineRule="exact"/>
              <w:outlineLvl w:val="9"/>
              <w:rPr>
                <w:rFonts w:ascii="仿宋" w:hAnsi="仿宋" w:eastAsia="仿宋" w:cs="仿宋"/>
                <w:kern w:val="0"/>
                <w:sz w:val="28"/>
                <w:szCs w:val="28"/>
              </w:rPr>
            </w:pPr>
          </w:p>
          <w:p>
            <w:pPr>
              <w:pageBreakBefore w:val="0"/>
              <w:widowControl/>
              <w:topLinePunct w:val="0"/>
              <w:bidi w:val="0"/>
              <w:spacing w:line="360" w:lineRule="exact"/>
              <w:outlineLvl w:val="9"/>
              <w:rPr>
                <w:rFonts w:ascii="仿宋" w:hAnsi="仿宋" w:eastAsia="仿宋" w:cs="仿宋"/>
                <w:kern w:val="0"/>
                <w:sz w:val="28"/>
                <w:szCs w:val="28"/>
              </w:rPr>
            </w:pPr>
          </w:p>
          <w:p>
            <w:pPr>
              <w:pageBreakBefore w:val="0"/>
              <w:widowControl/>
              <w:topLinePunct w:val="0"/>
              <w:bidi w:val="0"/>
              <w:spacing w:line="360" w:lineRule="exact"/>
              <w:ind w:firstLine="4200" w:firstLineChars="1500"/>
              <w:outlineLvl w:val="9"/>
              <w:rPr>
                <w:rFonts w:ascii="仿宋" w:hAnsi="仿宋" w:eastAsia="仿宋" w:cs="仿宋"/>
                <w:kern w:val="0"/>
                <w:sz w:val="28"/>
                <w:szCs w:val="28"/>
              </w:rPr>
            </w:pPr>
            <w:r>
              <w:rPr>
                <w:rFonts w:hint="eastAsia" w:ascii="仿宋" w:hAnsi="仿宋" w:eastAsia="仿宋" w:cs="仿宋"/>
                <w:kern w:val="0"/>
                <w:sz w:val="28"/>
                <w:szCs w:val="28"/>
              </w:rPr>
              <w:t>二级学院领导</w:t>
            </w:r>
            <w:r>
              <w:rPr>
                <w:rFonts w:ascii="仿宋" w:hAnsi="仿宋" w:eastAsia="仿宋" w:cs="仿宋"/>
                <w:kern w:val="0"/>
                <w:sz w:val="28"/>
                <w:szCs w:val="28"/>
              </w:rPr>
              <w:t>：</w:t>
            </w:r>
            <w:r>
              <w:rPr>
                <w:rFonts w:hint="eastAsia" w:ascii="仿宋" w:hAnsi="仿宋" w:eastAsia="仿宋" w:cs="仿宋"/>
                <w:kern w:val="0"/>
                <w:sz w:val="28"/>
                <w:szCs w:val="28"/>
              </w:rPr>
              <w:t>(签字</w:t>
            </w:r>
            <w:r>
              <w:rPr>
                <w:rFonts w:ascii="仿宋" w:hAnsi="仿宋" w:eastAsia="仿宋" w:cs="仿宋"/>
                <w:kern w:val="0"/>
                <w:sz w:val="28"/>
                <w:szCs w:val="28"/>
              </w:rPr>
              <w:t>盖章</w:t>
            </w:r>
            <w:r>
              <w:rPr>
                <w:rFonts w:hint="eastAsia" w:ascii="仿宋" w:hAnsi="仿宋" w:eastAsia="仿宋" w:cs="仿宋"/>
                <w:kern w:val="0"/>
                <w:sz w:val="28"/>
                <w:szCs w:val="28"/>
              </w:rPr>
              <w:t>)</w:t>
            </w:r>
            <w:r>
              <w:rPr>
                <w:rFonts w:ascii="仿宋" w:hAnsi="仿宋" w:eastAsia="仿宋" w:cs="仿宋"/>
                <w:kern w:val="0"/>
                <w:sz w:val="28"/>
                <w:szCs w:val="28"/>
              </w:rPr>
              <w:t xml:space="preserve"> </w:t>
            </w:r>
          </w:p>
          <w:p>
            <w:pPr>
              <w:pageBreakBefore w:val="0"/>
              <w:widowControl/>
              <w:topLinePunct w:val="0"/>
              <w:bidi w:val="0"/>
              <w:spacing w:line="360" w:lineRule="exact"/>
              <w:ind w:firstLine="4200" w:firstLineChars="1500"/>
              <w:outlineLvl w:val="9"/>
              <w:rPr>
                <w:rFonts w:hint="eastAsia" w:ascii="仿宋" w:hAnsi="仿宋" w:eastAsia="仿宋" w:cs="仿宋"/>
                <w:kern w:val="0"/>
                <w:sz w:val="28"/>
                <w:szCs w:val="28"/>
              </w:rPr>
            </w:pPr>
            <w:r>
              <w:rPr>
                <w:rFonts w:hint="eastAsia" w:ascii="仿宋" w:hAnsi="仿宋" w:eastAsia="仿宋" w:cs="仿宋"/>
                <w:kern w:val="0"/>
                <w:sz w:val="28"/>
                <w:szCs w:val="28"/>
              </w:rPr>
              <w:t>时间</w:t>
            </w:r>
            <w:r>
              <w:rPr>
                <w:rFonts w:ascii="仿宋" w:hAnsi="仿宋" w:eastAsia="仿宋" w:cs="仿宋"/>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pageBreakBefore w:val="0"/>
              <w:widowControl/>
              <w:topLinePunct w:val="0"/>
              <w:bidi w:val="0"/>
              <w:spacing w:line="360" w:lineRule="exact"/>
              <w:outlineLvl w:val="9"/>
              <w:rPr>
                <w:rFonts w:ascii="仿宋" w:hAnsi="仿宋" w:eastAsia="仿宋" w:cs="仿宋"/>
                <w:kern w:val="0"/>
                <w:sz w:val="28"/>
                <w:szCs w:val="28"/>
              </w:rPr>
            </w:pPr>
          </w:p>
          <w:p>
            <w:pPr>
              <w:pageBreakBefore w:val="0"/>
              <w:widowControl/>
              <w:topLinePunct w:val="0"/>
              <w:bidi w:val="0"/>
              <w:spacing w:line="360" w:lineRule="exact"/>
              <w:outlineLvl w:val="9"/>
              <w:rPr>
                <w:rFonts w:hint="eastAsia" w:ascii="仿宋" w:hAnsi="仿宋" w:eastAsia="仿宋" w:cs="仿宋"/>
                <w:kern w:val="0"/>
                <w:sz w:val="28"/>
                <w:szCs w:val="28"/>
              </w:rPr>
            </w:pPr>
            <w:r>
              <w:rPr>
                <w:rFonts w:ascii="仿宋" w:hAnsi="仿宋" w:eastAsia="仿宋" w:cs="仿宋"/>
                <w:kern w:val="0"/>
                <w:sz w:val="28"/>
                <w:szCs w:val="28"/>
              </w:rPr>
              <w:t>党总支</w:t>
            </w:r>
            <w:r>
              <w:rPr>
                <w:rFonts w:hint="eastAsia" w:ascii="仿宋" w:hAnsi="仿宋" w:eastAsia="仿宋" w:cs="仿宋"/>
                <w:kern w:val="0"/>
                <w:sz w:val="28"/>
                <w:szCs w:val="28"/>
              </w:rPr>
              <w:t>审核</w:t>
            </w:r>
          </w:p>
        </w:tc>
        <w:tc>
          <w:tcPr>
            <w:tcW w:w="7847" w:type="dxa"/>
            <w:gridSpan w:val="2"/>
            <w:noWrap w:val="0"/>
            <w:vAlign w:val="top"/>
          </w:tcPr>
          <w:p>
            <w:pPr>
              <w:pageBreakBefore w:val="0"/>
              <w:widowControl/>
              <w:topLinePunct w:val="0"/>
              <w:bidi w:val="0"/>
              <w:spacing w:line="360" w:lineRule="exact"/>
              <w:outlineLvl w:val="9"/>
              <w:rPr>
                <w:rFonts w:ascii="仿宋" w:hAnsi="仿宋" w:eastAsia="仿宋" w:cs="仿宋"/>
                <w:kern w:val="0"/>
                <w:sz w:val="28"/>
                <w:szCs w:val="28"/>
              </w:rPr>
            </w:pPr>
            <w:r>
              <w:rPr>
                <w:rFonts w:hint="eastAsia" w:ascii="仿宋" w:hAnsi="仿宋" w:eastAsia="仿宋" w:cs="仿宋"/>
                <w:kern w:val="0"/>
                <w:sz w:val="28"/>
                <w:szCs w:val="28"/>
              </w:rPr>
              <w:t>（二级</w:t>
            </w:r>
            <w:r>
              <w:rPr>
                <w:rFonts w:ascii="仿宋" w:hAnsi="仿宋" w:eastAsia="仿宋" w:cs="仿宋"/>
                <w:kern w:val="0"/>
                <w:sz w:val="28"/>
                <w:szCs w:val="28"/>
              </w:rPr>
              <w:t>学院</w:t>
            </w:r>
            <w:r>
              <w:rPr>
                <w:rFonts w:hint="eastAsia" w:ascii="仿宋" w:hAnsi="仿宋" w:eastAsia="仿宋" w:cs="仿宋"/>
                <w:kern w:val="0"/>
                <w:sz w:val="28"/>
                <w:szCs w:val="28"/>
              </w:rPr>
              <w:t>党总支组织</w:t>
            </w:r>
            <w:r>
              <w:rPr>
                <w:rFonts w:ascii="仿宋" w:hAnsi="仿宋" w:eastAsia="仿宋" w:cs="仿宋"/>
                <w:kern w:val="0"/>
                <w:sz w:val="28"/>
                <w:szCs w:val="28"/>
              </w:rPr>
              <w:t>会议从意识</w:t>
            </w:r>
            <w:r>
              <w:rPr>
                <w:rFonts w:hint="eastAsia" w:ascii="仿宋" w:hAnsi="仿宋" w:eastAsia="仿宋" w:cs="仿宋"/>
                <w:kern w:val="0"/>
                <w:sz w:val="28"/>
                <w:szCs w:val="28"/>
              </w:rPr>
              <w:t>形态</w:t>
            </w:r>
            <w:r>
              <w:rPr>
                <w:rFonts w:ascii="仿宋" w:hAnsi="仿宋" w:eastAsia="仿宋" w:cs="仿宋"/>
                <w:kern w:val="0"/>
                <w:sz w:val="28"/>
                <w:szCs w:val="28"/>
              </w:rPr>
              <w:t>方面对教材进行讨论审核</w:t>
            </w:r>
            <w:r>
              <w:rPr>
                <w:rFonts w:hint="eastAsia" w:ascii="仿宋" w:hAnsi="仿宋" w:eastAsia="仿宋" w:cs="仿宋"/>
                <w:kern w:val="0"/>
                <w:sz w:val="28"/>
                <w:szCs w:val="28"/>
              </w:rPr>
              <w:t>，党总支书记</w:t>
            </w:r>
            <w:r>
              <w:rPr>
                <w:rFonts w:ascii="仿宋" w:hAnsi="仿宋" w:eastAsia="仿宋" w:cs="仿宋"/>
                <w:kern w:val="0"/>
                <w:sz w:val="28"/>
                <w:szCs w:val="28"/>
              </w:rPr>
              <w:t>签署意见）</w:t>
            </w:r>
          </w:p>
          <w:p>
            <w:pPr>
              <w:pageBreakBefore w:val="0"/>
              <w:widowControl/>
              <w:topLinePunct w:val="0"/>
              <w:bidi w:val="0"/>
              <w:spacing w:line="360" w:lineRule="exact"/>
              <w:outlineLvl w:val="9"/>
              <w:rPr>
                <w:rFonts w:ascii="仿宋" w:hAnsi="仿宋" w:eastAsia="仿宋" w:cs="仿宋"/>
                <w:kern w:val="0"/>
                <w:sz w:val="28"/>
                <w:szCs w:val="28"/>
              </w:rPr>
            </w:pPr>
          </w:p>
          <w:p>
            <w:pPr>
              <w:pageBreakBefore w:val="0"/>
              <w:widowControl/>
              <w:topLinePunct w:val="0"/>
              <w:bidi w:val="0"/>
              <w:spacing w:line="360" w:lineRule="exact"/>
              <w:outlineLvl w:val="9"/>
              <w:rPr>
                <w:rFonts w:hint="eastAsia" w:ascii="仿宋" w:hAnsi="仿宋" w:eastAsia="仿宋" w:cs="仿宋"/>
                <w:kern w:val="0"/>
                <w:sz w:val="28"/>
                <w:szCs w:val="28"/>
              </w:rPr>
            </w:pPr>
          </w:p>
          <w:p>
            <w:pPr>
              <w:pageBreakBefore w:val="0"/>
              <w:widowControl/>
              <w:topLinePunct w:val="0"/>
              <w:bidi w:val="0"/>
              <w:spacing w:line="360" w:lineRule="exact"/>
              <w:jc w:val="right"/>
              <w:outlineLvl w:val="9"/>
              <w:rPr>
                <w:rFonts w:ascii="仿宋" w:hAnsi="仿宋" w:eastAsia="仿宋" w:cs="仿宋"/>
                <w:kern w:val="0"/>
                <w:sz w:val="28"/>
                <w:szCs w:val="28"/>
              </w:rPr>
            </w:pPr>
            <w:r>
              <w:rPr>
                <w:rFonts w:hint="eastAsia" w:ascii="仿宋" w:hAnsi="仿宋" w:eastAsia="仿宋" w:cs="仿宋"/>
                <w:kern w:val="0"/>
                <w:sz w:val="28"/>
                <w:szCs w:val="28"/>
              </w:rPr>
              <w:t>党总支</w:t>
            </w:r>
            <w:r>
              <w:rPr>
                <w:rFonts w:ascii="仿宋" w:hAnsi="仿宋" w:eastAsia="仿宋" w:cs="仿宋"/>
                <w:kern w:val="0"/>
                <w:sz w:val="28"/>
                <w:szCs w:val="28"/>
              </w:rPr>
              <w:t>书记：</w:t>
            </w:r>
            <w:r>
              <w:rPr>
                <w:rFonts w:hint="eastAsia" w:ascii="仿宋" w:hAnsi="仿宋" w:eastAsia="仿宋" w:cs="仿宋"/>
                <w:kern w:val="0"/>
                <w:sz w:val="28"/>
                <w:szCs w:val="28"/>
              </w:rPr>
              <w:t>（签字</w:t>
            </w:r>
            <w:r>
              <w:rPr>
                <w:rFonts w:ascii="仿宋" w:hAnsi="仿宋" w:eastAsia="仿宋" w:cs="仿宋"/>
                <w:kern w:val="0"/>
                <w:sz w:val="28"/>
                <w:szCs w:val="28"/>
              </w:rPr>
              <w:t>盖章</w:t>
            </w:r>
            <w:r>
              <w:rPr>
                <w:rFonts w:hint="eastAsia" w:ascii="仿宋" w:hAnsi="仿宋" w:eastAsia="仿宋" w:cs="仿宋"/>
                <w:kern w:val="0"/>
                <w:sz w:val="28"/>
                <w:szCs w:val="28"/>
              </w:rPr>
              <w:t>）</w:t>
            </w:r>
          </w:p>
          <w:p>
            <w:pPr>
              <w:pageBreakBefore w:val="0"/>
              <w:widowControl/>
              <w:topLinePunct w:val="0"/>
              <w:bidi w:val="0"/>
              <w:spacing w:line="360" w:lineRule="exact"/>
              <w:ind w:right="640" w:firstLine="4340" w:firstLineChars="1550"/>
              <w:outlineLvl w:val="9"/>
              <w:rPr>
                <w:rFonts w:hint="eastAsia" w:ascii="仿宋" w:hAnsi="仿宋" w:eastAsia="仿宋" w:cs="仿宋"/>
                <w:kern w:val="0"/>
                <w:sz w:val="28"/>
                <w:szCs w:val="28"/>
              </w:rPr>
            </w:pPr>
            <w:r>
              <w:rPr>
                <w:rFonts w:hint="eastAsia" w:ascii="仿宋" w:hAnsi="仿宋" w:eastAsia="仿宋" w:cs="仿宋"/>
                <w:kern w:val="0"/>
                <w:sz w:val="28"/>
                <w:szCs w:val="28"/>
              </w:rPr>
              <w:t>时间</w:t>
            </w:r>
            <w:r>
              <w:rPr>
                <w:rFonts w:ascii="仿宋" w:hAnsi="仿宋" w:eastAsia="仿宋" w:cs="仿宋"/>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top"/>
          </w:tcPr>
          <w:p>
            <w:pPr>
              <w:pageBreakBefore w:val="0"/>
              <w:widowControl/>
              <w:topLinePunct w:val="0"/>
              <w:bidi w:val="0"/>
              <w:spacing w:line="360" w:lineRule="exact"/>
              <w:outlineLvl w:val="9"/>
              <w:rPr>
                <w:rFonts w:ascii="仿宋" w:hAnsi="仿宋" w:eastAsia="仿宋" w:cs="仿宋"/>
                <w:kern w:val="0"/>
                <w:sz w:val="28"/>
                <w:szCs w:val="28"/>
              </w:rPr>
            </w:pPr>
          </w:p>
          <w:p>
            <w:pPr>
              <w:pageBreakBefore w:val="0"/>
              <w:widowControl/>
              <w:topLinePunct w:val="0"/>
              <w:bidi w:val="0"/>
              <w:spacing w:line="360" w:lineRule="exact"/>
              <w:outlineLvl w:val="9"/>
              <w:rPr>
                <w:rFonts w:hint="eastAsia" w:ascii="仿宋" w:hAnsi="仿宋" w:eastAsia="仿宋" w:cs="仿宋"/>
                <w:kern w:val="0"/>
                <w:sz w:val="28"/>
                <w:szCs w:val="28"/>
              </w:rPr>
            </w:pPr>
          </w:p>
          <w:p>
            <w:pPr>
              <w:pageBreakBefore w:val="0"/>
              <w:widowControl/>
              <w:topLinePunct w:val="0"/>
              <w:bidi w:val="0"/>
              <w:spacing w:line="360" w:lineRule="exact"/>
              <w:outlineLvl w:val="9"/>
              <w:rPr>
                <w:rFonts w:hint="eastAsia" w:ascii="仿宋" w:hAnsi="仿宋" w:eastAsia="仿宋" w:cs="仿宋"/>
                <w:kern w:val="0"/>
                <w:sz w:val="28"/>
                <w:szCs w:val="28"/>
              </w:rPr>
            </w:pPr>
            <w:r>
              <w:rPr>
                <w:rFonts w:hint="eastAsia" w:ascii="仿宋" w:hAnsi="仿宋" w:eastAsia="仿宋" w:cs="仿宋"/>
                <w:kern w:val="0"/>
                <w:sz w:val="28"/>
                <w:szCs w:val="28"/>
              </w:rPr>
              <w:t>教务处审批</w:t>
            </w:r>
          </w:p>
        </w:tc>
        <w:tc>
          <w:tcPr>
            <w:tcW w:w="7847" w:type="dxa"/>
            <w:gridSpan w:val="2"/>
            <w:noWrap w:val="0"/>
            <w:vAlign w:val="top"/>
          </w:tcPr>
          <w:p>
            <w:pPr>
              <w:pageBreakBefore w:val="0"/>
              <w:widowControl/>
              <w:topLinePunct w:val="0"/>
              <w:bidi w:val="0"/>
              <w:spacing w:line="360" w:lineRule="exact"/>
              <w:outlineLvl w:val="9"/>
              <w:rPr>
                <w:rFonts w:ascii="仿宋" w:hAnsi="仿宋" w:eastAsia="仿宋" w:cs="仿宋"/>
                <w:kern w:val="0"/>
                <w:sz w:val="28"/>
                <w:szCs w:val="28"/>
              </w:rPr>
            </w:pPr>
            <w:r>
              <w:rPr>
                <w:rFonts w:hint="eastAsia" w:ascii="仿宋" w:hAnsi="仿宋" w:eastAsia="仿宋" w:cs="仿宋"/>
                <w:kern w:val="0"/>
                <w:sz w:val="28"/>
                <w:szCs w:val="28"/>
              </w:rPr>
              <w:t>教务处</w:t>
            </w:r>
            <w:r>
              <w:rPr>
                <w:rFonts w:ascii="仿宋" w:hAnsi="仿宋" w:eastAsia="仿宋" w:cs="仿宋"/>
                <w:kern w:val="0"/>
                <w:sz w:val="28"/>
                <w:szCs w:val="28"/>
              </w:rPr>
              <w:t>签署意见</w:t>
            </w:r>
          </w:p>
          <w:p>
            <w:pPr>
              <w:pageBreakBefore w:val="0"/>
              <w:widowControl/>
              <w:topLinePunct w:val="0"/>
              <w:bidi w:val="0"/>
              <w:spacing w:line="360" w:lineRule="exact"/>
              <w:jc w:val="right"/>
              <w:outlineLvl w:val="9"/>
              <w:rPr>
                <w:rFonts w:ascii="仿宋" w:hAnsi="仿宋" w:eastAsia="仿宋" w:cs="仿宋"/>
                <w:kern w:val="0"/>
                <w:sz w:val="28"/>
                <w:szCs w:val="28"/>
              </w:rPr>
            </w:pPr>
          </w:p>
          <w:p>
            <w:pPr>
              <w:pageBreakBefore w:val="0"/>
              <w:widowControl/>
              <w:topLinePunct w:val="0"/>
              <w:bidi w:val="0"/>
              <w:spacing w:line="360" w:lineRule="exact"/>
              <w:jc w:val="right"/>
              <w:outlineLvl w:val="9"/>
              <w:rPr>
                <w:rFonts w:ascii="仿宋" w:hAnsi="仿宋" w:eastAsia="仿宋" w:cs="仿宋"/>
                <w:kern w:val="0"/>
                <w:sz w:val="28"/>
                <w:szCs w:val="28"/>
              </w:rPr>
            </w:pPr>
          </w:p>
          <w:p>
            <w:pPr>
              <w:pageBreakBefore w:val="0"/>
              <w:widowControl/>
              <w:topLinePunct w:val="0"/>
              <w:bidi w:val="0"/>
              <w:spacing w:line="360" w:lineRule="exact"/>
              <w:jc w:val="right"/>
              <w:outlineLvl w:val="9"/>
              <w:rPr>
                <w:rFonts w:ascii="仿宋" w:hAnsi="仿宋" w:eastAsia="仿宋" w:cs="仿宋"/>
                <w:kern w:val="0"/>
                <w:sz w:val="28"/>
                <w:szCs w:val="28"/>
              </w:rPr>
            </w:pPr>
          </w:p>
          <w:p>
            <w:pPr>
              <w:pageBreakBefore w:val="0"/>
              <w:widowControl/>
              <w:topLinePunct w:val="0"/>
              <w:bidi w:val="0"/>
              <w:spacing w:line="360" w:lineRule="exact"/>
              <w:jc w:val="right"/>
              <w:outlineLvl w:val="9"/>
              <w:rPr>
                <w:rFonts w:hint="eastAsia" w:ascii="仿宋" w:hAnsi="仿宋" w:eastAsia="仿宋" w:cs="仿宋"/>
                <w:kern w:val="0"/>
                <w:sz w:val="28"/>
                <w:szCs w:val="28"/>
              </w:rPr>
            </w:pPr>
          </w:p>
          <w:p>
            <w:pPr>
              <w:pageBreakBefore w:val="0"/>
              <w:widowControl/>
              <w:topLinePunct w:val="0"/>
              <w:bidi w:val="0"/>
              <w:spacing w:line="360" w:lineRule="exact"/>
              <w:jc w:val="center"/>
              <w:outlineLvl w:val="9"/>
              <w:rPr>
                <w:rFonts w:ascii="仿宋" w:hAnsi="仿宋" w:eastAsia="仿宋" w:cs="仿宋"/>
                <w:kern w:val="0"/>
                <w:sz w:val="28"/>
                <w:szCs w:val="28"/>
              </w:rPr>
            </w:pPr>
            <w:r>
              <w:rPr>
                <w:rFonts w:hint="eastAsia" w:ascii="仿宋" w:hAnsi="仿宋" w:eastAsia="仿宋" w:cs="仿宋"/>
                <w:kern w:val="0"/>
                <w:sz w:val="28"/>
                <w:szCs w:val="28"/>
              </w:rPr>
              <w:t xml:space="preserve">                            部门</w:t>
            </w:r>
            <w:r>
              <w:rPr>
                <w:rFonts w:ascii="仿宋" w:hAnsi="仿宋" w:eastAsia="仿宋" w:cs="仿宋"/>
                <w:kern w:val="0"/>
                <w:sz w:val="28"/>
                <w:szCs w:val="28"/>
              </w:rPr>
              <w:t>领导：</w:t>
            </w:r>
            <w:r>
              <w:rPr>
                <w:rFonts w:hint="eastAsia" w:ascii="仿宋" w:hAnsi="仿宋" w:eastAsia="仿宋" w:cs="仿宋"/>
                <w:kern w:val="0"/>
                <w:sz w:val="28"/>
                <w:szCs w:val="28"/>
              </w:rPr>
              <w:t>（签字</w:t>
            </w:r>
            <w:r>
              <w:rPr>
                <w:rFonts w:ascii="仿宋" w:hAnsi="仿宋" w:eastAsia="仿宋" w:cs="仿宋"/>
                <w:kern w:val="0"/>
                <w:sz w:val="28"/>
                <w:szCs w:val="28"/>
              </w:rPr>
              <w:t>盖章</w:t>
            </w:r>
            <w:r>
              <w:rPr>
                <w:rFonts w:hint="eastAsia" w:ascii="仿宋" w:hAnsi="仿宋" w:eastAsia="仿宋" w:cs="仿宋"/>
                <w:kern w:val="0"/>
                <w:sz w:val="28"/>
                <w:szCs w:val="28"/>
              </w:rPr>
              <w:t>）</w:t>
            </w:r>
          </w:p>
          <w:p>
            <w:pPr>
              <w:pageBreakBefore w:val="0"/>
              <w:widowControl/>
              <w:topLinePunct w:val="0"/>
              <w:bidi w:val="0"/>
              <w:spacing w:line="360" w:lineRule="exact"/>
              <w:ind w:firstLine="4340" w:firstLineChars="1550"/>
              <w:outlineLvl w:val="9"/>
              <w:rPr>
                <w:rFonts w:hint="eastAsia" w:ascii="仿宋" w:hAnsi="仿宋" w:eastAsia="仿宋" w:cs="仿宋"/>
                <w:kern w:val="0"/>
                <w:sz w:val="28"/>
                <w:szCs w:val="28"/>
              </w:rPr>
            </w:pPr>
            <w:r>
              <w:rPr>
                <w:rFonts w:hint="eastAsia" w:ascii="仿宋" w:hAnsi="仿宋" w:eastAsia="仿宋" w:cs="仿宋"/>
                <w:kern w:val="0"/>
                <w:sz w:val="28"/>
                <w:szCs w:val="28"/>
              </w:rPr>
              <w:t>时间</w:t>
            </w:r>
            <w:r>
              <w:rPr>
                <w:rFonts w:ascii="仿宋" w:hAnsi="仿宋" w:eastAsia="仿宋" w:cs="仿宋"/>
                <w:kern w:val="0"/>
                <w:sz w:val="28"/>
                <w:szCs w:val="28"/>
              </w:rPr>
              <w:t>：</w:t>
            </w:r>
          </w:p>
        </w:tc>
      </w:tr>
    </w:tbl>
    <w:p>
      <w:pPr>
        <w:pageBreakBefore w:val="0"/>
        <w:topLinePunct w:val="0"/>
        <w:bidi w:val="0"/>
        <w:spacing w:line="360" w:lineRule="auto"/>
        <w:outlineLvl w:val="9"/>
        <w:rPr>
          <w:rFonts w:hint="eastAsia" w:ascii="仿宋" w:hAnsi="仿宋" w:eastAsia="仿宋" w:cs="仿宋"/>
          <w:sz w:val="28"/>
          <w:szCs w:val="28"/>
        </w:rPr>
      </w:pPr>
    </w:p>
    <w:p>
      <w:pPr>
        <w:pStyle w:val="34"/>
        <w:pageBreakBefore w:val="0"/>
        <w:topLinePunct w:val="0"/>
        <w:bidi w:val="0"/>
        <w:spacing w:beforeAutospacing="0" w:afterAutospacing="0" w:line="360" w:lineRule="auto"/>
        <w:outlineLvl w:val="9"/>
        <w:rPr>
          <w:rFonts w:ascii="仿宋" w:hAnsi="仿宋" w:eastAsia="仿宋" w:cs="仿宋"/>
          <w:sz w:val="28"/>
          <w:szCs w:val="28"/>
        </w:rPr>
      </w:pPr>
      <w:r>
        <w:rPr>
          <w:rFonts w:hint="eastAsia" w:ascii="仿宋" w:hAnsi="仿宋" w:eastAsia="仿宋" w:cs="仿宋"/>
          <w:sz w:val="28"/>
          <w:szCs w:val="28"/>
        </w:rPr>
        <w:t>附件3  网络课程方案</w:t>
      </w:r>
    </w:p>
    <w:p>
      <w:pPr>
        <w:pageBreakBefore w:val="0"/>
        <w:topLinePunct w:val="0"/>
        <w:bidi w:val="0"/>
        <w:outlineLvl w:val="9"/>
        <w:rPr>
          <w:rFonts w:hint="eastAsia" w:ascii="华文仿宋" w:hAnsi="华文仿宋" w:eastAsia="华文仿宋"/>
          <w:sz w:val="30"/>
          <w:szCs w:val="30"/>
        </w:rPr>
      </w:pPr>
    </w:p>
    <w:p>
      <w:pPr>
        <w:pStyle w:val="52"/>
        <w:pageBreakBefore w:val="0"/>
        <w:topLinePunct w:val="0"/>
        <w:bidi w:val="0"/>
        <w:spacing w:line="360" w:lineRule="auto"/>
        <w:ind w:left="360" w:hanging="360" w:firstLineChars="0"/>
        <w:jc w:val="center"/>
        <w:outlineLvl w:val="9"/>
        <w:rPr>
          <w:rFonts w:hint="eastAsia" w:ascii="Times New Roman" w:hAnsi="Times New Roman"/>
          <w:b/>
          <w:bCs/>
          <w:sz w:val="28"/>
          <w:szCs w:val="28"/>
        </w:rPr>
      </w:pPr>
      <w:r>
        <w:rPr>
          <w:rFonts w:hint="eastAsia" w:ascii="Times New Roman" w:hAnsi="Times New Roman"/>
          <w:b/>
          <w:bCs/>
          <w:sz w:val="28"/>
          <w:szCs w:val="28"/>
        </w:rPr>
        <w:t>《       》课程实施方案</w:t>
      </w:r>
    </w:p>
    <w:p>
      <w:pPr>
        <w:pStyle w:val="52"/>
        <w:pageBreakBefore w:val="0"/>
        <w:topLinePunct w:val="0"/>
        <w:bidi w:val="0"/>
        <w:spacing w:line="360" w:lineRule="auto"/>
        <w:ind w:left="360" w:hanging="360" w:firstLineChars="0"/>
        <w:outlineLvl w:val="9"/>
        <w:rPr>
          <w:rFonts w:ascii="Times New Roman" w:hAnsi="Times New Roman"/>
          <w:sz w:val="24"/>
        </w:rPr>
      </w:pPr>
    </w:p>
    <w:p>
      <w:pPr>
        <w:pStyle w:val="52"/>
        <w:pageBreakBefore w:val="0"/>
        <w:topLinePunct w:val="0"/>
        <w:bidi w:val="0"/>
        <w:spacing w:line="360" w:lineRule="auto"/>
        <w:ind w:left="360" w:hanging="360" w:firstLineChars="0"/>
        <w:outlineLvl w:val="9"/>
        <w:rPr>
          <w:rFonts w:ascii="Times New Roman" w:hAnsi="Times New Roman"/>
          <w:sz w:val="24"/>
        </w:rPr>
      </w:pPr>
      <w:r>
        <w:rPr>
          <w:rFonts w:ascii="Times New Roman" w:hAnsi="Times New Roman"/>
          <w:sz w:val="24"/>
        </w:rPr>
        <w:t xml:space="preserve">1. </w:t>
      </w:r>
      <w:r>
        <w:rPr>
          <w:rFonts w:hint="eastAsia" w:ascii="Times New Roman" w:hAnsi="Times New Roman"/>
          <w:sz w:val="24"/>
        </w:rPr>
        <w:t>基本情况</w:t>
      </w:r>
    </w:p>
    <w:tbl>
      <w:tblPr>
        <w:tblStyle w:val="37"/>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5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noWrap w:val="0"/>
            <w:vAlign w:val="top"/>
          </w:tcPr>
          <w:p>
            <w:pPr>
              <w:pStyle w:val="52"/>
              <w:pageBreakBefore w:val="0"/>
              <w:topLinePunct w:val="0"/>
              <w:bidi w:val="0"/>
              <w:spacing w:line="360" w:lineRule="auto"/>
              <w:ind w:firstLine="0" w:firstLineChars="0"/>
              <w:outlineLvl w:val="9"/>
              <w:rPr>
                <w:rFonts w:hint="eastAsia" w:ascii="Times New Roman" w:hAnsi="Times New Roman"/>
                <w:szCs w:val="21"/>
              </w:rPr>
            </w:pPr>
            <w:r>
              <w:rPr>
                <w:rFonts w:hint="eastAsia" w:ascii="Times New Roman" w:hAnsi="Times New Roman"/>
                <w:szCs w:val="21"/>
              </w:rPr>
              <w:t>专业</w:t>
            </w:r>
          </w:p>
        </w:tc>
        <w:tc>
          <w:tcPr>
            <w:tcW w:w="589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noWrap w:val="0"/>
            <w:vAlign w:val="top"/>
          </w:tcPr>
          <w:p>
            <w:pPr>
              <w:pStyle w:val="52"/>
              <w:pageBreakBefore w:val="0"/>
              <w:topLinePunct w:val="0"/>
              <w:bidi w:val="0"/>
              <w:spacing w:line="360" w:lineRule="auto"/>
              <w:ind w:firstLine="0" w:firstLineChars="0"/>
              <w:outlineLvl w:val="9"/>
              <w:rPr>
                <w:rFonts w:hint="eastAsia" w:ascii="Times New Roman" w:hAnsi="Times New Roman"/>
                <w:szCs w:val="21"/>
              </w:rPr>
            </w:pPr>
            <w:r>
              <w:rPr>
                <w:rFonts w:hint="eastAsia" w:ascii="Times New Roman" w:hAnsi="Times New Roman"/>
                <w:szCs w:val="21"/>
              </w:rPr>
              <w:t>课程名称</w:t>
            </w:r>
          </w:p>
        </w:tc>
        <w:tc>
          <w:tcPr>
            <w:tcW w:w="589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noWrap w:val="0"/>
            <w:vAlign w:val="top"/>
          </w:tcPr>
          <w:p>
            <w:pPr>
              <w:pStyle w:val="52"/>
              <w:pageBreakBefore w:val="0"/>
              <w:topLinePunct w:val="0"/>
              <w:bidi w:val="0"/>
              <w:spacing w:line="360" w:lineRule="auto"/>
              <w:ind w:firstLine="0" w:firstLineChars="0"/>
              <w:outlineLvl w:val="9"/>
              <w:rPr>
                <w:rFonts w:hint="eastAsia" w:ascii="Times New Roman" w:hAnsi="Times New Roman"/>
                <w:szCs w:val="21"/>
              </w:rPr>
            </w:pPr>
            <w:r>
              <w:rPr>
                <w:rFonts w:hint="eastAsia" w:ascii="Times New Roman" w:hAnsi="Times New Roman"/>
                <w:szCs w:val="21"/>
              </w:rPr>
              <w:t>教学对象</w:t>
            </w:r>
          </w:p>
        </w:tc>
        <w:tc>
          <w:tcPr>
            <w:tcW w:w="589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r>
              <w:rPr>
                <w:rFonts w:hint="eastAsia" w:ascii="Times New Roman" w:hAnsi="Times New Roman"/>
                <w:szCs w:val="21"/>
              </w:rPr>
              <w:t>附学生名单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r>
              <w:rPr>
                <w:rFonts w:ascii="Times New Roman" w:hAnsi="Times New Roman"/>
                <w:szCs w:val="21"/>
              </w:rPr>
              <w:t>学时数</w:t>
            </w:r>
          </w:p>
        </w:tc>
        <w:tc>
          <w:tcPr>
            <w:tcW w:w="589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r>
              <w:rPr>
                <w:rFonts w:hint="eastAsia" w:ascii="Times New Roman" w:hAnsi="Times New Roman"/>
                <w:szCs w:val="21"/>
              </w:rPr>
              <w:t>任课教师</w:t>
            </w:r>
          </w:p>
        </w:tc>
        <w:tc>
          <w:tcPr>
            <w:tcW w:w="589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45"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c>
          <w:tcPr>
            <w:tcW w:w="589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r>
              <w:rPr>
                <w:rFonts w:ascii="Times New Roman" w:hAnsi="Times New Roman"/>
                <w:szCs w:val="21"/>
              </w:rPr>
              <w:t>学生人数</w:t>
            </w:r>
          </w:p>
        </w:tc>
        <w:tc>
          <w:tcPr>
            <w:tcW w:w="589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r>
              <w:rPr>
                <w:rFonts w:ascii="Times New Roman" w:hAnsi="Times New Roman"/>
                <w:szCs w:val="21"/>
              </w:rPr>
              <w:t>推荐书目</w:t>
            </w:r>
          </w:p>
        </w:tc>
        <w:tc>
          <w:tcPr>
            <w:tcW w:w="589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r>
              <w:rPr>
                <w:rFonts w:ascii="Times New Roman" w:hAnsi="Times New Roman"/>
                <w:szCs w:val="21"/>
              </w:rPr>
              <w:t>网络教学平台</w:t>
            </w:r>
          </w:p>
        </w:tc>
        <w:tc>
          <w:tcPr>
            <w:tcW w:w="589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r>
              <w:fldChar w:fldCharType="begin"/>
            </w:r>
            <w:r>
              <w:instrText xml:space="preserve"> HYPERLINK "http://www.icve.com.cn" </w:instrText>
            </w:r>
            <w:r>
              <w:fldChar w:fldCharType="separate"/>
            </w:r>
            <w:r>
              <w:rPr>
                <w:rStyle w:val="44"/>
                <w:rFonts w:ascii="Times New Roman" w:hAnsi="Times New Roman"/>
                <w:color w:val="auto"/>
                <w:szCs w:val="21"/>
              </w:rPr>
              <w:t>www.icve.com.cn</w:t>
            </w:r>
            <w:r>
              <w:rPr>
                <w:rFonts w:ascii="Times New Roman" w:hAnsi="Times New Roman"/>
                <w:szCs w:val="21"/>
              </w:rPr>
              <w:fldChar w:fldCharType="end"/>
            </w:r>
            <w:r>
              <w:rPr>
                <w:rFonts w:ascii="Times New Roman" w:hAnsi="Times New Roman"/>
                <w:szCs w:val="21"/>
              </w:rPr>
              <w:t>（智慧职教）</w:t>
            </w:r>
          </w:p>
        </w:tc>
      </w:tr>
    </w:tbl>
    <w:p>
      <w:pPr>
        <w:pageBreakBefore w:val="0"/>
        <w:topLinePunct w:val="0"/>
        <w:bidi w:val="0"/>
        <w:spacing w:line="360" w:lineRule="auto"/>
        <w:outlineLvl w:val="9"/>
        <w:rPr>
          <w:rFonts w:ascii="Times New Roman" w:hAnsi="Times New Roman"/>
          <w:sz w:val="24"/>
        </w:rPr>
      </w:pPr>
    </w:p>
    <w:p>
      <w:pPr>
        <w:pStyle w:val="52"/>
        <w:pageBreakBefore w:val="0"/>
        <w:topLinePunct w:val="0"/>
        <w:bidi w:val="0"/>
        <w:spacing w:line="360" w:lineRule="auto"/>
        <w:ind w:left="360" w:hanging="360" w:firstLineChars="0"/>
        <w:outlineLvl w:val="9"/>
        <w:rPr>
          <w:rFonts w:ascii="Times New Roman" w:hAnsi="Times New Roman"/>
          <w:sz w:val="24"/>
        </w:rPr>
      </w:pPr>
      <w:r>
        <w:rPr>
          <w:rFonts w:hint="eastAsia" w:ascii="Times New Roman" w:hAnsi="Times New Roman"/>
          <w:sz w:val="24"/>
        </w:rPr>
        <w:t>2</w:t>
      </w:r>
      <w:r>
        <w:rPr>
          <w:rFonts w:ascii="Times New Roman" w:hAnsi="Times New Roman"/>
          <w:sz w:val="24"/>
        </w:rPr>
        <w:t xml:space="preserve">. </w:t>
      </w:r>
      <w:r>
        <w:rPr>
          <w:rFonts w:hint="eastAsia" w:ascii="Times New Roman" w:hAnsi="Times New Roman"/>
          <w:sz w:val="24"/>
        </w:rPr>
        <w:t>教学安排</w:t>
      </w:r>
    </w:p>
    <w:tbl>
      <w:tblPr>
        <w:tblStyle w:val="37"/>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655"/>
        <w:gridCol w:w="1682"/>
        <w:gridCol w:w="2521"/>
        <w:gridCol w:w="2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59" w:type="dxa"/>
            <w:noWrap w:val="0"/>
            <w:vAlign w:val="top"/>
          </w:tcPr>
          <w:p>
            <w:pPr>
              <w:pStyle w:val="52"/>
              <w:pageBreakBefore w:val="0"/>
              <w:topLinePunct w:val="0"/>
              <w:bidi w:val="0"/>
              <w:spacing w:line="360" w:lineRule="auto"/>
              <w:ind w:firstLine="0" w:firstLineChars="0"/>
              <w:jc w:val="center"/>
              <w:outlineLvl w:val="9"/>
              <w:rPr>
                <w:rFonts w:ascii="Times New Roman" w:hAnsi="Times New Roman"/>
                <w:szCs w:val="21"/>
              </w:rPr>
            </w:pPr>
            <w:r>
              <w:rPr>
                <w:rFonts w:hint="eastAsia" w:ascii="Times New Roman" w:hAnsi="Times New Roman"/>
                <w:szCs w:val="21"/>
              </w:rPr>
              <w:t>序号</w:t>
            </w:r>
          </w:p>
        </w:tc>
        <w:tc>
          <w:tcPr>
            <w:tcW w:w="1655" w:type="dxa"/>
            <w:noWrap w:val="0"/>
            <w:vAlign w:val="top"/>
          </w:tcPr>
          <w:p>
            <w:pPr>
              <w:pStyle w:val="52"/>
              <w:pageBreakBefore w:val="0"/>
              <w:topLinePunct w:val="0"/>
              <w:bidi w:val="0"/>
              <w:spacing w:line="360" w:lineRule="auto"/>
              <w:ind w:firstLine="0" w:firstLineChars="0"/>
              <w:jc w:val="center"/>
              <w:outlineLvl w:val="9"/>
              <w:rPr>
                <w:rFonts w:ascii="Times New Roman" w:hAnsi="Times New Roman"/>
                <w:szCs w:val="21"/>
              </w:rPr>
            </w:pPr>
            <w:r>
              <w:rPr>
                <w:rFonts w:hint="eastAsia" w:ascii="Times New Roman" w:hAnsi="Times New Roman"/>
                <w:szCs w:val="21"/>
              </w:rPr>
              <w:t>教学内容</w:t>
            </w:r>
          </w:p>
        </w:tc>
        <w:tc>
          <w:tcPr>
            <w:tcW w:w="1682" w:type="dxa"/>
            <w:noWrap w:val="0"/>
            <w:vAlign w:val="top"/>
          </w:tcPr>
          <w:p>
            <w:pPr>
              <w:pStyle w:val="52"/>
              <w:pageBreakBefore w:val="0"/>
              <w:topLinePunct w:val="0"/>
              <w:bidi w:val="0"/>
              <w:spacing w:line="360" w:lineRule="auto"/>
              <w:ind w:firstLine="0" w:firstLineChars="0"/>
              <w:jc w:val="center"/>
              <w:outlineLvl w:val="9"/>
              <w:rPr>
                <w:rFonts w:ascii="Times New Roman" w:hAnsi="Times New Roman"/>
                <w:szCs w:val="21"/>
              </w:rPr>
            </w:pPr>
            <w:r>
              <w:rPr>
                <w:rFonts w:hint="eastAsia" w:ascii="Times New Roman" w:hAnsi="Times New Roman"/>
                <w:szCs w:val="21"/>
              </w:rPr>
              <w:t>课时</w:t>
            </w:r>
          </w:p>
        </w:tc>
        <w:tc>
          <w:tcPr>
            <w:tcW w:w="2521" w:type="dxa"/>
            <w:noWrap w:val="0"/>
            <w:vAlign w:val="top"/>
          </w:tcPr>
          <w:p>
            <w:pPr>
              <w:pStyle w:val="52"/>
              <w:pageBreakBefore w:val="0"/>
              <w:topLinePunct w:val="0"/>
              <w:bidi w:val="0"/>
              <w:spacing w:line="360" w:lineRule="auto"/>
              <w:ind w:firstLine="0" w:firstLineChars="0"/>
              <w:jc w:val="center"/>
              <w:outlineLvl w:val="9"/>
              <w:rPr>
                <w:rFonts w:ascii="Times New Roman" w:hAnsi="Times New Roman"/>
                <w:szCs w:val="21"/>
              </w:rPr>
            </w:pPr>
            <w:r>
              <w:rPr>
                <w:rFonts w:hint="eastAsia" w:ascii="Times New Roman" w:hAnsi="Times New Roman"/>
                <w:szCs w:val="21"/>
              </w:rPr>
              <w:t>网上资源</w:t>
            </w:r>
          </w:p>
        </w:tc>
        <w:tc>
          <w:tcPr>
            <w:tcW w:w="2521" w:type="dxa"/>
            <w:noWrap w:val="0"/>
            <w:vAlign w:val="top"/>
          </w:tcPr>
          <w:p>
            <w:pPr>
              <w:pStyle w:val="52"/>
              <w:pageBreakBefore w:val="0"/>
              <w:topLinePunct w:val="0"/>
              <w:bidi w:val="0"/>
              <w:spacing w:line="360" w:lineRule="auto"/>
              <w:ind w:firstLine="0" w:firstLineChars="0"/>
              <w:jc w:val="center"/>
              <w:outlineLvl w:val="9"/>
              <w:rPr>
                <w:rFonts w:ascii="Times New Roman" w:hAnsi="Times New Roman"/>
                <w:szCs w:val="21"/>
              </w:rPr>
            </w:pPr>
            <w:r>
              <w:rPr>
                <w:rFonts w:hint="eastAsia" w:ascii="Times New Roman" w:hAnsi="Times New Roman"/>
                <w:szCs w:val="21"/>
              </w:rPr>
              <w:t>布置作业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59" w:type="dxa"/>
            <w:noWrap w:val="0"/>
            <w:vAlign w:val="top"/>
          </w:tcPr>
          <w:p>
            <w:pPr>
              <w:pStyle w:val="52"/>
              <w:pageBreakBefore w:val="0"/>
              <w:topLinePunct w:val="0"/>
              <w:bidi w:val="0"/>
              <w:spacing w:line="360" w:lineRule="auto"/>
              <w:ind w:firstLine="0" w:firstLineChars="0"/>
              <w:jc w:val="center"/>
              <w:outlineLvl w:val="9"/>
              <w:rPr>
                <w:rFonts w:ascii="Times New Roman" w:hAnsi="Times New Roman"/>
                <w:szCs w:val="21"/>
              </w:rPr>
            </w:pPr>
          </w:p>
        </w:tc>
        <w:tc>
          <w:tcPr>
            <w:tcW w:w="1655"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c>
          <w:tcPr>
            <w:tcW w:w="1682" w:type="dxa"/>
            <w:noWrap w:val="0"/>
            <w:vAlign w:val="center"/>
          </w:tcPr>
          <w:p>
            <w:pPr>
              <w:pStyle w:val="52"/>
              <w:pageBreakBefore w:val="0"/>
              <w:topLinePunct w:val="0"/>
              <w:bidi w:val="0"/>
              <w:spacing w:line="360" w:lineRule="auto"/>
              <w:ind w:firstLine="0" w:firstLineChars="0"/>
              <w:outlineLvl w:val="9"/>
              <w:rPr>
                <w:rFonts w:ascii="Times New Roman" w:hAnsi="Times New Roman"/>
                <w:szCs w:val="21"/>
              </w:rPr>
            </w:pPr>
          </w:p>
        </w:tc>
        <w:tc>
          <w:tcPr>
            <w:tcW w:w="2521" w:type="dxa"/>
            <w:noWrap w:val="0"/>
            <w:vAlign w:val="center"/>
          </w:tcPr>
          <w:p>
            <w:pPr>
              <w:pStyle w:val="52"/>
              <w:pageBreakBefore w:val="0"/>
              <w:topLinePunct w:val="0"/>
              <w:bidi w:val="0"/>
              <w:spacing w:line="360" w:lineRule="auto"/>
              <w:ind w:firstLine="0" w:firstLineChars="0"/>
              <w:outlineLvl w:val="9"/>
              <w:rPr>
                <w:rFonts w:ascii="Times New Roman" w:hAnsi="Times New Roman"/>
                <w:szCs w:val="21"/>
              </w:rPr>
            </w:pPr>
          </w:p>
        </w:tc>
        <w:tc>
          <w:tcPr>
            <w:tcW w:w="2521" w:type="dxa"/>
            <w:noWrap w:val="0"/>
            <w:vAlign w:val="center"/>
          </w:tcPr>
          <w:p>
            <w:pPr>
              <w:pStyle w:val="52"/>
              <w:pageBreakBefore w:val="0"/>
              <w:topLinePunct w:val="0"/>
              <w:bidi w:val="0"/>
              <w:spacing w:line="360" w:lineRule="auto"/>
              <w:ind w:firstLine="0" w:firstLineChars="0"/>
              <w:outlineLvl w:val="9"/>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59" w:type="dxa"/>
            <w:noWrap w:val="0"/>
            <w:vAlign w:val="top"/>
          </w:tcPr>
          <w:p>
            <w:pPr>
              <w:pStyle w:val="52"/>
              <w:pageBreakBefore w:val="0"/>
              <w:topLinePunct w:val="0"/>
              <w:bidi w:val="0"/>
              <w:spacing w:line="360" w:lineRule="auto"/>
              <w:ind w:firstLine="0" w:firstLineChars="0"/>
              <w:jc w:val="center"/>
              <w:outlineLvl w:val="9"/>
              <w:rPr>
                <w:rFonts w:ascii="Times New Roman" w:hAnsi="Times New Roman"/>
                <w:szCs w:val="21"/>
              </w:rPr>
            </w:pPr>
          </w:p>
        </w:tc>
        <w:tc>
          <w:tcPr>
            <w:tcW w:w="1655"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c>
          <w:tcPr>
            <w:tcW w:w="1682"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c>
          <w:tcPr>
            <w:tcW w:w="252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c>
          <w:tcPr>
            <w:tcW w:w="252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59" w:type="dxa"/>
            <w:noWrap w:val="0"/>
            <w:vAlign w:val="top"/>
          </w:tcPr>
          <w:p>
            <w:pPr>
              <w:pStyle w:val="52"/>
              <w:pageBreakBefore w:val="0"/>
              <w:topLinePunct w:val="0"/>
              <w:bidi w:val="0"/>
              <w:spacing w:line="360" w:lineRule="auto"/>
              <w:ind w:firstLine="0" w:firstLineChars="0"/>
              <w:jc w:val="center"/>
              <w:outlineLvl w:val="9"/>
              <w:rPr>
                <w:rFonts w:ascii="Times New Roman" w:hAnsi="Times New Roman"/>
                <w:szCs w:val="21"/>
              </w:rPr>
            </w:pPr>
          </w:p>
        </w:tc>
        <w:tc>
          <w:tcPr>
            <w:tcW w:w="1655"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c>
          <w:tcPr>
            <w:tcW w:w="1682"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c>
          <w:tcPr>
            <w:tcW w:w="252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c>
          <w:tcPr>
            <w:tcW w:w="252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59" w:type="dxa"/>
            <w:noWrap w:val="0"/>
            <w:vAlign w:val="top"/>
          </w:tcPr>
          <w:p>
            <w:pPr>
              <w:pStyle w:val="52"/>
              <w:pageBreakBefore w:val="0"/>
              <w:topLinePunct w:val="0"/>
              <w:bidi w:val="0"/>
              <w:spacing w:line="360" w:lineRule="auto"/>
              <w:ind w:firstLine="0" w:firstLineChars="0"/>
              <w:jc w:val="center"/>
              <w:outlineLvl w:val="9"/>
              <w:rPr>
                <w:rFonts w:ascii="Times New Roman" w:hAnsi="Times New Roman"/>
                <w:szCs w:val="21"/>
              </w:rPr>
            </w:pPr>
          </w:p>
        </w:tc>
        <w:tc>
          <w:tcPr>
            <w:tcW w:w="1655"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c>
          <w:tcPr>
            <w:tcW w:w="1682"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c>
          <w:tcPr>
            <w:tcW w:w="252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c>
          <w:tcPr>
            <w:tcW w:w="252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59" w:type="dxa"/>
            <w:noWrap w:val="0"/>
            <w:vAlign w:val="top"/>
          </w:tcPr>
          <w:p>
            <w:pPr>
              <w:pStyle w:val="52"/>
              <w:pageBreakBefore w:val="0"/>
              <w:topLinePunct w:val="0"/>
              <w:bidi w:val="0"/>
              <w:spacing w:line="360" w:lineRule="auto"/>
              <w:ind w:firstLine="0" w:firstLineChars="0"/>
              <w:jc w:val="center"/>
              <w:outlineLvl w:val="9"/>
              <w:rPr>
                <w:rFonts w:ascii="Times New Roman" w:hAnsi="Times New Roman"/>
                <w:szCs w:val="21"/>
              </w:rPr>
            </w:pPr>
          </w:p>
        </w:tc>
        <w:tc>
          <w:tcPr>
            <w:tcW w:w="1655"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c>
          <w:tcPr>
            <w:tcW w:w="1682"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c>
          <w:tcPr>
            <w:tcW w:w="252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c>
          <w:tcPr>
            <w:tcW w:w="2521" w:type="dxa"/>
            <w:noWrap w:val="0"/>
            <w:vAlign w:val="top"/>
          </w:tcPr>
          <w:p>
            <w:pPr>
              <w:pStyle w:val="52"/>
              <w:pageBreakBefore w:val="0"/>
              <w:topLinePunct w:val="0"/>
              <w:bidi w:val="0"/>
              <w:spacing w:line="360" w:lineRule="auto"/>
              <w:ind w:firstLine="0" w:firstLineChars="0"/>
              <w:outlineLvl w:val="9"/>
              <w:rPr>
                <w:rFonts w:ascii="Times New Roman" w:hAnsi="Times New Roman"/>
                <w:szCs w:val="21"/>
              </w:rPr>
            </w:pPr>
          </w:p>
        </w:tc>
      </w:tr>
    </w:tbl>
    <w:p>
      <w:pPr>
        <w:pageBreakBefore w:val="0"/>
        <w:topLinePunct w:val="0"/>
        <w:bidi w:val="0"/>
        <w:spacing w:line="360" w:lineRule="auto"/>
        <w:outlineLvl w:val="9"/>
        <w:rPr>
          <w:rFonts w:ascii="Times New Roman" w:hAnsi="Times New Roman"/>
          <w:sz w:val="24"/>
        </w:rPr>
      </w:pPr>
    </w:p>
    <w:p>
      <w:pPr>
        <w:pStyle w:val="52"/>
        <w:pageBreakBefore w:val="0"/>
        <w:numPr>
          <w:ilvl w:val="0"/>
          <w:numId w:val="9"/>
        </w:numPr>
        <w:topLinePunct w:val="0"/>
        <w:bidi w:val="0"/>
        <w:spacing w:line="360" w:lineRule="auto"/>
        <w:ind w:left="360" w:hanging="360" w:firstLineChars="0"/>
        <w:outlineLvl w:val="9"/>
        <w:rPr>
          <w:rFonts w:hint="eastAsia" w:ascii="Times New Roman" w:hAnsi="Times New Roman"/>
          <w:sz w:val="24"/>
        </w:rPr>
      </w:pPr>
      <w:r>
        <w:rPr>
          <w:rFonts w:hint="eastAsia" w:ascii="Times New Roman" w:hAnsi="Times New Roman"/>
          <w:sz w:val="24"/>
        </w:rPr>
        <w:t>具体实施</w:t>
      </w:r>
    </w:p>
    <w:p>
      <w:pPr>
        <w:pStyle w:val="52"/>
        <w:pageBreakBefore w:val="0"/>
        <w:topLinePunct w:val="0"/>
        <w:bidi w:val="0"/>
        <w:spacing w:line="360" w:lineRule="auto"/>
        <w:ind w:left="360" w:hanging="360" w:firstLineChars="0"/>
        <w:outlineLvl w:val="9"/>
        <w:rPr>
          <w:rFonts w:ascii="Times New Roman" w:hAnsi="Times New Roman"/>
          <w:sz w:val="24"/>
        </w:rPr>
      </w:pPr>
      <w:r>
        <w:rPr>
          <w:rFonts w:hint="eastAsia" w:ascii="Times New Roman" w:hAnsi="Times New Roman"/>
          <w:sz w:val="24"/>
        </w:rPr>
        <w:t>线下：上课时间、地点、内容；考试时间</w:t>
      </w:r>
    </w:p>
    <w:p>
      <w:pPr>
        <w:pStyle w:val="52"/>
        <w:pageBreakBefore w:val="0"/>
        <w:topLinePunct w:val="0"/>
        <w:bidi w:val="0"/>
        <w:spacing w:line="360" w:lineRule="auto"/>
        <w:ind w:left="0" w:leftChars="0" w:firstLine="0" w:firstLineChars="0"/>
        <w:outlineLvl w:val="9"/>
        <w:rPr>
          <w:rFonts w:ascii="Times New Roman" w:hAnsi="Times New Roman"/>
          <w:sz w:val="24"/>
        </w:rPr>
      </w:pPr>
      <w:r>
        <w:rPr>
          <w:rFonts w:hint="eastAsia" w:ascii="Times New Roman" w:hAnsi="Times New Roman"/>
          <w:sz w:val="24"/>
        </w:rPr>
        <w:t>线上：学习时间，课时数</w:t>
      </w:r>
    </w:p>
    <w:p>
      <w:pPr>
        <w:pStyle w:val="52"/>
        <w:pageBreakBefore w:val="0"/>
        <w:topLinePunct w:val="0"/>
        <w:bidi w:val="0"/>
        <w:spacing w:line="360" w:lineRule="auto"/>
        <w:ind w:left="360" w:hanging="360" w:firstLineChars="0"/>
        <w:outlineLvl w:val="9"/>
        <w:rPr>
          <w:rFonts w:hint="eastAsia" w:ascii="Times New Roman" w:hAnsi="Times New Roman"/>
          <w:sz w:val="24"/>
        </w:rPr>
      </w:pPr>
      <w:r>
        <w:rPr>
          <w:rFonts w:hint="eastAsia" w:ascii="Times New Roman" w:hAnsi="Times New Roman"/>
          <w:sz w:val="24"/>
        </w:rPr>
        <w:t>4</w:t>
      </w:r>
      <w:r>
        <w:rPr>
          <w:rFonts w:ascii="Times New Roman" w:hAnsi="Times New Roman"/>
          <w:sz w:val="24"/>
        </w:rPr>
        <w:t xml:space="preserve">. </w:t>
      </w:r>
      <w:r>
        <w:rPr>
          <w:rFonts w:hint="eastAsia" w:ascii="Times New Roman" w:hAnsi="Times New Roman"/>
          <w:sz w:val="24"/>
        </w:rPr>
        <w:t>考核方案</w:t>
      </w:r>
    </w:p>
    <w:p>
      <w:pPr>
        <w:pStyle w:val="52"/>
        <w:pageBreakBefore w:val="0"/>
        <w:topLinePunct w:val="0"/>
        <w:bidi w:val="0"/>
        <w:spacing w:line="360" w:lineRule="auto"/>
        <w:ind w:left="360" w:hanging="360" w:firstLineChars="0"/>
        <w:outlineLvl w:val="9"/>
        <w:rPr>
          <w:rFonts w:hint="eastAsia" w:ascii="Times New Roman" w:hAnsi="Times New Roman"/>
          <w:sz w:val="24"/>
        </w:rPr>
      </w:pPr>
      <w:r>
        <w:rPr>
          <w:rFonts w:hint="eastAsia" w:ascii="Times New Roman" w:hAnsi="Times New Roman"/>
          <w:sz w:val="24"/>
        </w:rPr>
        <w:t>按照过程化考核的要求详细罗列成绩的构成</w:t>
      </w:r>
    </w:p>
    <w:p>
      <w:pPr>
        <w:pageBreakBefore w:val="0"/>
        <w:topLinePunct w:val="0"/>
        <w:bidi w:val="0"/>
        <w:jc w:val="center"/>
        <w:outlineLvl w:val="9"/>
        <w:rPr>
          <w:rFonts w:eastAsia="华文中宋"/>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lang w:val="en-US" w:eastAsia="zh-CN"/>
        </w:rPr>
      </w:pPr>
      <w:r>
        <w:rPr>
          <w:rFonts w:hint="eastAsia" w:ascii="华文中宋" w:hAnsi="华文中宋" w:eastAsia="华文中宋" w:cs="Times New Roman"/>
          <w:b/>
          <w:color w:val="FF0000"/>
          <w:spacing w:val="10"/>
          <w:sz w:val="56"/>
          <w:szCs w:val="56"/>
        </w:rPr>
        <w:t>上海电子信息职业技术学院</w:t>
      </w:r>
      <w:r>
        <w:rPr>
          <w:rFonts w:hint="eastAsia" w:ascii="华文中宋" w:hAnsi="华文中宋" w:eastAsia="华文中宋" w:cs="Times New Roman"/>
          <w:b/>
          <w:color w:val="FF0000"/>
          <w:spacing w:val="10"/>
          <w:sz w:val="56"/>
          <w:szCs w:val="56"/>
          <w:lang w:val="en-US" w:eastAsia="zh-CN"/>
        </w:rPr>
        <w:t>文件</w:t>
      </w:r>
    </w:p>
    <w:p>
      <w:pPr>
        <w:pageBreakBefore w:val="0"/>
        <w:topLinePunct w:val="0"/>
        <w:bidi w:val="0"/>
        <w:outlineLvl w:val="9"/>
        <w:rPr>
          <w:color w:val="000000"/>
          <w:sz w:val="24"/>
        </w:rPr>
      </w:pPr>
    </w:p>
    <w:p>
      <w:pPr>
        <w:pageBreakBefore w:val="0"/>
        <w:topLinePunct w:val="0"/>
        <w:bidi w:val="0"/>
        <w:spacing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w:t>
      </w:r>
      <w:r>
        <w:rPr>
          <w:rFonts w:hint="eastAsia" w:ascii="仿宋_GB2312" w:eastAsia="仿宋_GB2312"/>
          <w:color w:val="000000"/>
          <w:kern w:val="0"/>
          <w:sz w:val="32"/>
          <w:szCs w:val="28"/>
          <w:lang w:val="en-US" w:eastAsia="zh-CN"/>
        </w:rPr>
        <w:t>20</w:t>
      </w:r>
      <w:r>
        <w:rPr>
          <w:rFonts w:hint="eastAsia" w:ascii="仿宋_GB2312" w:eastAsia="仿宋_GB2312"/>
          <w:color w:val="000000"/>
          <w:kern w:val="0"/>
          <w:sz w:val="32"/>
          <w:szCs w:val="28"/>
        </w:rPr>
        <w:t>〕</w:t>
      </w:r>
      <w:r>
        <w:rPr>
          <w:rFonts w:hint="eastAsia" w:ascii="仿宋_GB2312" w:eastAsia="仿宋_GB2312"/>
          <w:color w:val="000000"/>
          <w:kern w:val="0"/>
          <w:sz w:val="32"/>
          <w:szCs w:val="28"/>
          <w:lang w:val="en-US" w:eastAsia="zh-CN"/>
        </w:rPr>
        <w:t>13</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outlineLvl w:val="9"/>
        <w:rPr>
          <w:color w:val="FF0000"/>
          <w:sz w:val="24"/>
        </w:rPr>
      </w:pPr>
      <w:r>
        <w:rPr>
          <w:rFonts w:eastAsia="黑体"/>
          <w:color w:val="FF0000"/>
          <w:sz w:val="28"/>
          <w:szCs w:val="28"/>
          <w:u w:val="thick"/>
        </w:rPr>
        <w:t xml:space="preserve">                                                             </w:t>
      </w:r>
    </w:p>
    <w:p>
      <w:pPr>
        <w:pageBreakBefore w:val="0"/>
        <w:topLinePunct w:val="0"/>
        <w:bidi w:val="0"/>
        <w:spacing w:line="600" w:lineRule="exact"/>
        <w:jc w:val="center"/>
        <w:outlineLvl w:val="9"/>
        <w:rPr>
          <w:rFonts w:ascii="华文中宋" w:hAnsi="华文中宋" w:eastAsia="华文中宋"/>
          <w:sz w:val="32"/>
          <w:szCs w:val="32"/>
        </w:rPr>
      </w:pPr>
      <w:r>
        <w:rPr>
          <w:rFonts w:hint="eastAsia" w:ascii="华文中宋" w:hAnsi="华文中宋" w:eastAsia="华文中宋"/>
          <w:sz w:val="32"/>
          <w:szCs w:val="32"/>
        </w:rPr>
        <w:t xml:space="preserve">      </w:t>
      </w:r>
    </w:p>
    <w:p>
      <w:pPr>
        <w:pStyle w:val="28"/>
        <w:keepNext w:val="0"/>
        <w:keepLines w:val="0"/>
        <w:pageBreakBefore w:val="0"/>
        <w:widowControl w:val="0"/>
        <w:kinsoku/>
        <w:wordWrap/>
        <w:overflowPunct/>
        <w:topLinePunct w:val="0"/>
        <w:autoSpaceDE/>
        <w:autoSpaceDN/>
        <w:bidi w:val="0"/>
        <w:adjustRightInd/>
        <w:snapToGrid/>
        <w:ind w:firstLine="723" w:firstLineChars="200"/>
        <w:textAlignment w:val="auto"/>
        <w:outlineLvl w:val="9"/>
        <w:rPr>
          <w:rFonts w:hint="eastAsia" w:ascii="黑体" w:hAnsi="黑体" w:eastAsia="黑体" w:cs="黑体"/>
          <w:sz w:val="36"/>
          <w:szCs w:val="36"/>
        </w:rPr>
      </w:pPr>
      <w:bookmarkStart w:id="282" w:name="_Toc27953"/>
      <w:r>
        <w:rPr>
          <w:rFonts w:hint="eastAsia" w:ascii="黑体" w:hAnsi="黑体" w:eastAsia="黑体" w:cs="黑体"/>
          <w:sz w:val="36"/>
          <w:szCs w:val="36"/>
        </w:rPr>
        <w:t>关于印发《</w:t>
      </w:r>
      <w:bookmarkStart w:id="283" w:name="_Toc431218598"/>
      <w:r>
        <w:rPr>
          <w:rFonts w:hint="eastAsia" w:ascii="黑体" w:hAnsi="黑体" w:eastAsia="黑体" w:cs="黑体"/>
          <w:sz w:val="36"/>
          <w:szCs w:val="36"/>
        </w:rPr>
        <w:t>上海电子信息职业技术学院</w:t>
      </w:r>
      <w:bookmarkEnd w:id="283"/>
      <w:r>
        <w:rPr>
          <w:rFonts w:hint="eastAsia" w:ascii="黑体" w:hAnsi="黑体" w:eastAsia="黑体" w:cs="黑体"/>
          <w:sz w:val="36"/>
          <w:szCs w:val="36"/>
        </w:rPr>
        <w:t>“1+X”证书制度管理办法（试行）》的通知</w:t>
      </w:r>
      <w:bookmarkEnd w:id="282"/>
    </w:p>
    <w:p>
      <w:pPr>
        <w:pageBreakBefore w:val="0"/>
        <w:topLinePunct w:val="0"/>
        <w:bidi w:val="0"/>
        <w:spacing w:line="560" w:lineRule="exact"/>
        <w:outlineLvl w:val="9"/>
        <w:rPr>
          <w:rFonts w:ascii="仿宋_GB2312" w:hAnsi="仿宋" w:eastAsia="仿宋_GB2312"/>
          <w:sz w:val="32"/>
          <w:szCs w:val="32"/>
        </w:rPr>
      </w:pPr>
    </w:p>
    <w:p>
      <w:pPr>
        <w:pStyle w:val="52"/>
        <w:pageBreakBefore w:val="0"/>
        <w:topLinePunct w:val="0"/>
        <w:bidi w:val="0"/>
        <w:spacing w:line="360" w:lineRule="auto"/>
        <w:ind w:left="0" w:leftChars="0" w:firstLine="0" w:firstLineChars="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各教学单位、职能部门：</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现将《上海电子信息职业技术学院“1+X”证书制度管理办法（试行）》印发给你们，请认真研读、遵照执行。</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附件：上海电子信息职业技术学院“1+X”证书制度管理办法（试行）</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Style w:val="52"/>
        <w:pageBreakBefore w:val="0"/>
        <w:topLinePunct w:val="0"/>
        <w:bidi w:val="0"/>
        <w:spacing w:line="360" w:lineRule="auto"/>
        <w:ind w:firstLine="560" w:firstLineChars="200"/>
        <w:jc w:val="right"/>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上海电子信息职业技术学院     </w:t>
      </w:r>
    </w:p>
    <w:p>
      <w:pPr>
        <w:pStyle w:val="52"/>
        <w:pageBreakBefore w:val="0"/>
        <w:topLinePunct w:val="0"/>
        <w:bidi w:val="0"/>
        <w:spacing w:line="360" w:lineRule="auto"/>
        <w:ind w:firstLine="560" w:firstLineChars="200"/>
        <w:jc w:val="right"/>
        <w:outlineLvl w:val="9"/>
        <w:rPr>
          <w:rFonts w:ascii="仿宋" w:hAnsi="仿宋" w:eastAsia="仿宋" w:cs="仿宋"/>
          <w:b/>
          <w:sz w:val="32"/>
          <w:szCs w:val="32"/>
        </w:rPr>
      </w:pPr>
      <w:r>
        <w:rPr>
          <w:rFonts w:hint="eastAsia" w:ascii="仿宋_GB2312" w:hAnsi="仿宋_GB2312" w:eastAsia="仿宋_GB2312" w:cs="仿宋_GB2312"/>
          <w:sz w:val="28"/>
          <w:szCs w:val="28"/>
          <w:highlight w:val="none"/>
        </w:rPr>
        <w:t xml:space="preserve">                               </w:t>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 xml:space="preserve"> 2020年</w:t>
      </w:r>
      <w:r>
        <w:rPr>
          <w:rFonts w:hint="eastAsia" w:ascii="仿宋_GB2312" w:hAnsi="仿宋_GB2312" w:eastAsia="仿宋_GB2312" w:cs="仿宋_GB2312"/>
          <w:sz w:val="28"/>
          <w:szCs w:val="28"/>
          <w:highlight w:val="none"/>
          <w:lang w:val="en-US" w:eastAsia="zh-CN"/>
        </w:rPr>
        <w:t>3</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lang w:val="en-US" w:eastAsia="zh-CN"/>
        </w:rPr>
        <w:t>8</w:t>
      </w:r>
      <w:r>
        <w:rPr>
          <w:rFonts w:hint="eastAsia" w:ascii="仿宋_GB2312" w:hAnsi="仿宋_GB2312" w:eastAsia="仿宋_GB2312" w:cs="仿宋_GB2312"/>
          <w:sz w:val="28"/>
          <w:szCs w:val="28"/>
          <w:highlight w:val="none"/>
        </w:rPr>
        <w:t>日</w:t>
      </w:r>
    </w:p>
    <w:p>
      <w:pPr>
        <w:pStyle w:val="34"/>
        <w:pageBreakBefore w:val="0"/>
        <w:topLinePunct w:val="0"/>
        <w:bidi w:val="0"/>
        <w:spacing w:before="0" w:beforeAutospacing="0" w:after="0" w:afterAutospacing="0"/>
        <w:jc w:val="center"/>
        <w:outlineLvl w:val="9"/>
        <w:rPr>
          <w:rFonts w:ascii="仿宋" w:hAnsi="仿宋" w:eastAsia="仿宋" w:cs="仿宋"/>
          <w:b/>
          <w:sz w:val="32"/>
          <w:szCs w:val="32"/>
        </w:rPr>
      </w:pPr>
    </w:p>
    <w:p>
      <w:pPr>
        <w:pStyle w:val="34"/>
        <w:pageBreakBefore w:val="0"/>
        <w:topLinePunct w:val="0"/>
        <w:bidi w:val="0"/>
        <w:spacing w:before="0" w:beforeAutospacing="0" w:after="0" w:afterAutospacing="0"/>
        <w:jc w:val="both"/>
        <w:outlineLvl w:val="9"/>
        <w:rPr>
          <w:rFonts w:hint="eastAsia" w:ascii="仿宋" w:hAnsi="仿宋" w:eastAsia="仿宋" w:cs="仿宋"/>
          <w:b/>
          <w:sz w:val="32"/>
          <w:szCs w:val="32"/>
          <w:lang w:val="en-US" w:eastAsia="zh-CN"/>
        </w:rPr>
      </w:pPr>
      <w:r>
        <w:rPr>
          <w:rFonts w:hint="eastAsia" w:ascii="仿宋_GB2312" w:hAnsi="仿宋_GB2312" w:eastAsia="仿宋_GB2312" w:cs="仿宋_GB2312"/>
          <w:color w:val="auto"/>
          <w:kern w:val="2"/>
          <w:sz w:val="28"/>
          <w:szCs w:val="28"/>
          <w:highlight w:val="none"/>
          <w:lang w:val="en-US" w:eastAsia="zh-CN" w:bidi="ar-SA"/>
        </w:rPr>
        <w:t>附件</w:t>
      </w:r>
      <w:r>
        <w:rPr>
          <w:rFonts w:hint="eastAsia" w:ascii="仿宋" w:hAnsi="仿宋" w:eastAsia="仿宋" w:cs="仿宋"/>
          <w:b/>
          <w:sz w:val="32"/>
          <w:szCs w:val="32"/>
          <w:lang w:val="en-US" w:eastAsia="zh-CN"/>
        </w:rPr>
        <w:t xml:space="preserve">          </w:t>
      </w:r>
    </w:p>
    <w:p>
      <w:pPr>
        <w:pStyle w:val="34"/>
        <w:pageBreakBefore w:val="0"/>
        <w:topLinePunct w:val="0"/>
        <w:bidi w:val="0"/>
        <w:spacing w:before="0" w:beforeAutospacing="0" w:after="0" w:afterAutospacing="0"/>
        <w:jc w:val="center"/>
        <w:outlineLvl w:val="9"/>
        <w:rPr>
          <w:rFonts w:hint="eastAsia" w:ascii="黑体" w:hAnsi="黑体" w:eastAsia="黑体" w:cs="黑体"/>
          <w:b/>
          <w:sz w:val="36"/>
          <w:szCs w:val="36"/>
        </w:rPr>
      </w:pPr>
      <w:r>
        <w:rPr>
          <w:rFonts w:hint="eastAsia" w:ascii="黑体" w:hAnsi="黑体" w:eastAsia="黑体" w:cs="黑体"/>
          <w:b/>
          <w:sz w:val="36"/>
          <w:szCs w:val="36"/>
        </w:rPr>
        <w:t>上海电子信息职业技术学院</w:t>
      </w:r>
    </w:p>
    <w:p>
      <w:pPr>
        <w:pageBreakBefore w:val="0"/>
        <w:topLinePunct w:val="0"/>
        <w:bidi w:val="0"/>
        <w:spacing w:before="156" w:beforeLines="50" w:after="156" w:afterLines="50"/>
        <w:jc w:val="center"/>
        <w:outlineLvl w:val="9"/>
        <w:rPr>
          <w:rFonts w:hint="eastAsia" w:ascii="黑体" w:hAnsi="黑体" w:eastAsia="黑体" w:cs="黑体"/>
          <w:b/>
          <w:sz w:val="36"/>
          <w:szCs w:val="36"/>
        </w:rPr>
      </w:pPr>
      <w:r>
        <w:rPr>
          <w:rFonts w:hint="eastAsia" w:ascii="黑体" w:hAnsi="黑体" w:eastAsia="黑体" w:cs="黑体"/>
          <w:b/>
          <w:sz w:val="36"/>
          <w:szCs w:val="36"/>
        </w:rPr>
        <w:t>“1+X”证书制度管理办法（试行）</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为了落实职业院校学历教育和培训并举并重的法定职责，促进书证融通，严把证书标准和人才质量，规范培养培训过程，根据按照国务院印发的《国家职业教育</w:t>
      </w:r>
      <w:r>
        <w:rPr>
          <w:rFonts w:hint="eastAsia" w:ascii="仿宋_GB2312" w:hAnsi="仿宋_GB2312" w:eastAsia="仿宋_GB2312" w:cs="仿宋_GB2312"/>
          <w:sz w:val="28"/>
          <w:szCs w:val="28"/>
          <w:highlight w:val="none"/>
          <w:lang w:val="en-US" w:eastAsia="zh-CN"/>
        </w:rPr>
        <w:t>改革实</w:t>
      </w:r>
      <w:r>
        <w:rPr>
          <w:rFonts w:hint="eastAsia" w:ascii="仿宋_GB2312" w:hAnsi="仿宋_GB2312" w:eastAsia="仿宋_GB2312" w:cs="仿宋_GB2312"/>
          <w:sz w:val="28"/>
          <w:szCs w:val="28"/>
          <w:highlight w:val="none"/>
        </w:rPr>
        <w:t>施方案》（教职成〔2019〕6号文，简称“职教20条”）和《关于印发“1+X有关经费使用情况座谈会会议纪要”的通知》精神，特制定上海电子信息职业技术学院“1+X”证书制度管理办法。</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指导思想</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以习近平新时代中国特色社会主义思想为指导，深入贯彻落实全国教育大会部署，完善职业教育和培训体系，按照高质量发展要求，坚持以学生为中心，深化复合型技术技能人才培养培训模式和评价模式改革，提高人才培养质量，畅通技术技能人才成长通道，拓展就业创业本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坚持政府引导、社会参与，育训结合、保障质量，管好两端、规范中间，试点先行、稳步推进的原则。加强政府统筹规划、政策支持、监督指导，引导社会力量积极参与职业教育与培训。在《上海电子信息职业技术学院“双证书”制度管理办法》的基础上，将“1+X”证书纳入职业资格证书（或技能等级证书）范畴，进一步深化教学改革，提高人才培养质量，提高毕业生就业质量的有效措施。服务国家需要，重点围绕上海五个中心、四个品牌建设要求，结合学校电子信息特色，积极牵头和参与开发相关职业技能等级标准和证书，通过试点，深化教师、教材、教法“三教”改革。</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“1+X”证书的涵义</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“1”是指学历证书，“X”是指代表某种技术技能的资格证书，不同专业对应不同的资格证书，让接受职业教育的学生兼备学历与多项技能，突出职业教育的优势。</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试点专业工作原则和职责</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1.工作原则</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（1）建议专业具备比较成熟的条件后再申报“1+X”证书试点专业；</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（2）试点“1+X”证书的专业，必须结合“1+X”试点修订人才培养方案，将考核内容融入相关课程，并制订课程标准。</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2.工作职责</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（1）教务处在“1+X”证书试点工作中起到牵头、协调和管理作用，具体工作由参与试点专业的二级学院承担；</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（2）参加“1+X”证书试点的专业，必须制订试点工作方案，内容涉及人才培养方案修订、教师培养、学生培训、考试工作安排以及实训资源、课程资源建设、试点经费等，并及时将方案向教务处报备。</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四、培训工作</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1.试点专业应主动对接相关职业教育评价组织，开展试点专业的教师培训。</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2.参与“1+X”证书考试的学生的培训，原则上应该由本专业的教师师完成，必要时可聘请相关企业技术人员作为企业兼职教师参与培训，严禁将学生的培训委托或转包给第三方企业完成。</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3.学生培训内容应融入课程体系中，试点过程中严禁以任何形式向学生收取培训费用。</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试点过程中，如需要组织学生集中培训，试点专业必须制订培训计划（参照教学进度表），内容包含培训时间、地点、学生数、课时、培训内容等，培训计划必须经教务处审核后方可执行。教师的培训课时费参照学校正常上课的课时费规定执行。</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五、考试工作</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1.参加“1+X”证书试点考试工作需严格按照职业教育评价组织要求进行，具体考试工作可委托第三方公司进行操作，但必须通过合同文件明确第三方公司所需承担的工作职责及所需要的费用。</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2.试点专业所在二级学院承担具体的考试考务工作时，应安排考务专员与教务处考务负责人对接，按照教务处的统一模板，制订考务手册，做好考务工作安排。</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3.考务费参照学校相关制度执行。</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经费使用</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1.教育部、市教委下拨的专项经费，必须专款专用，不得以任何形式挪作他用。</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2.专项经费可用于设备采购、师资培训、学生培训、学生考试费用支出等，不得用于学校的绩效工资收入 ，参加“1+X”证书试点的专业，必须列支详细的经费使用预算清单，提交教务处获得审批、财务处核准后，方可批复拨款使用。</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3.学生考试报名费建议由学生直接向考试组织机构支付，通过考试的学生可以从专项经费中拨付一定的费用作为奖励补贴，没有通过的学生则不获得补贴。</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七、附 则</w:t>
      </w:r>
    </w:p>
    <w:p>
      <w:pPr>
        <w:pStyle w:val="5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本办法自颁布之日起正式实施，由上海电子信息职业技术学院教务处负责解释。</w:t>
      </w:r>
    </w:p>
    <w:p>
      <w:pPr>
        <w:pStyle w:val="52"/>
        <w:pageBreakBefore w:val="0"/>
        <w:topLinePunct w:val="0"/>
        <w:bidi w:val="0"/>
        <w:spacing w:line="360" w:lineRule="auto"/>
        <w:ind w:firstLine="560" w:firstLineChars="200"/>
        <w:outlineLvl w:val="9"/>
        <w:rPr>
          <w:rFonts w:hint="eastAsia" w:ascii="仿宋_GB2312" w:hAnsi="仿宋_GB2312" w:eastAsia="仿宋_GB2312" w:cs="仿宋_GB2312"/>
          <w:sz w:val="28"/>
          <w:szCs w:val="28"/>
          <w:highlight w:val="none"/>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adjustRightInd w:val="0"/>
        <w:ind w:firstLine="480" w:firstLineChars="200"/>
        <w:outlineLvl w:val="9"/>
        <w:rPr>
          <w:rFonts w:hint="eastAsia" w:ascii="仿宋" w:hAnsi="仿宋" w:eastAsia="仿宋" w:cs="仿宋"/>
          <w:color w:val="333333"/>
          <w:kern w:val="0"/>
          <w:sz w:val="24"/>
          <w:shd w:val="clear" w:color="auto" w:fill="FFFFFF"/>
        </w:rPr>
      </w:pPr>
    </w:p>
    <w:p>
      <w:pPr>
        <w:pageBreakBefore w:val="0"/>
        <w:topLinePunct w:val="0"/>
        <w:bidi w:val="0"/>
        <w:outlineLvl w:val="9"/>
        <w:rPr>
          <w:rFonts w:hint="eastAsia"/>
          <w:lang w:val="en-US" w:eastAsia="zh-CN"/>
        </w:rPr>
      </w:pPr>
    </w:p>
    <w:p>
      <w:pPr>
        <w:pageBreakBefore w:val="0"/>
        <w:topLinePunct w:val="0"/>
        <w:bidi w:val="0"/>
        <w:jc w:val="center"/>
        <w:outlineLvl w:val="9"/>
        <w:rPr>
          <w:rFonts w:hint="eastAsia" w:eastAsiaTheme="minorEastAsia"/>
          <w:sz w:val="24"/>
          <w:lang w:eastAsia="zh-CN"/>
        </w:rPr>
      </w:pPr>
      <w:bookmarkStart w:id="284" w:name="_Toc9709"/>
      <w:bookmarkStart w:id="285" w:name="_Toc11796"/>
      <w:bookmarkStart w:id="286" w:name="_Toc19324"/>
      <w:bookmarkStart w:id="287" w:name="_Toc4745"/>
      <w:bookmarkStart w:id="288" w:name="_Toc20299"/>
      <w:bookmarkStart w:id="289" w:name="_Toc22452"/>
      <w:bookmarkStart w:id="290" w:name="_Toc13740"/>
    </w:p>
    <w:p>
      <w:pPr>
        <w:pageBreakBefore w:val="0"/>
        <w:topLinePunct w:val="0"/>
        <w:bidi w:val="0"/>
        <w:jc w:val="center"/>
        <w:outlineLvl w:val="9"/>
        <w:rPr>
          <w:rFonts w:hint="eastAsia" w:eastAsiaTheme="minorEastAsia"/>
          <w:sz w:val="24"/>
          <w:lang w:eastAsia="zh-CN"/>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w:t>
      </w:r>
      <w:r>
        <w:rPr>
          <w:rFonts w:hint="eastAsia" w:ascii="仿宋_GB2312" w:eastAsia="仿宋_GB2312"/>
          <w:color w:val="000000"/>
          <w:kern w:val="0"/>
          <w:sz w:val="32"/>
          <w:szCs w:val="28"/>
          <w:lang w:val="en-US" w:eastAsia="zh-CN"/>
        </w:rPr>
        <w:t>20</w:t>
      </w:r>
      <w:r>
        <w:rPr>
          <w:rFonts w:hint="eastAsia" w:ascii="仿宋_GB2312" w:eastAsia="仿宋_GB2312"/>
          <w:color w:val="000000"/>
          <w:kern w:val="0"/>
          <w:sz w:val="32"/>
          <w:szCs w:val="28"/>
        </w:rPr>
        <w:t>〕</w:t>
      </w:r>
      <w:r>
        <w:rPr>
          <w:rFonts w:hint="eastAsia" w:ascii="仿宋_GB2312" w:eastAsia="仿宋_GB2312"/>
          <w:color w:val="000000"/>
          <w:kern w:val="0"/>
          <w:sz w:val="32"/>
          <w:szCs w:val="28"/>
          <w:lang w:val="en-US" w:eastAsia="zh-CN"/>
        </w:rPr>
        <w:t>16</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pageBreakBefore w:val="0"/>
        <w:topLinePunct w:val="0"/>
        <w:bidi w:val="0"/>
        <w:spacing w:line="520" w:lineRule="exact"/>
        <w:ind w:firstLine="420"/>
        <w:jc w:val="center"/>
        <w:outlineLvl w:val="9"/>
        <w:rPr>
          <w:rFonts w:ascii="华文中宋" w:hAnsi="华文中宋" w:eastAsia="华文中宋"/>
          <w:sz w:val="36"/>
          <w:szCs w:val="36"/>
        </w:rPr>
      </w:pPr>
    </w:p>
    <w:p>
      <w:pPr>
        <w:keepNext w:val="0"/>
        <w:keepLines w:val="0"/>
        <w:pageBreakBefore w:val="0"/>
        <w:widowControl w:val="0"/>
        <w:kinsoku/>
        <w:wordWrap/>
        <w:overflowPunct/>
        <w:topLinePunct w:val="0"/>
        <w:autoSpaceDE/>
        <w:autoSpaceDN/>
        <w:bidi w:val="0"/>
        <w:adjustRightInd/>
        <w:snapToGrid/>
        <w:ind w:firstLine="420"/>
        <w:jc w:val="center"/>
        <w:textAlignment w:val="auto"/>
        <w:outlineLvl w:val="0"/>
        <w:rPr>
          <w:rFonts w:hint="eastAsia" w:ascii="黑体" w:hAnsi="黑体" w:eastAsia="黑体" w:cs="黑体"/>
          <w:b/>
          <w:color w:val="000000"/>
          <w:sz w:val="36"/>
          <w:szCs w:val="36"/>
          <w:lang w:val="zh-CN"/>
        </w:rPr>
      </w:pPr>
      <w:bookmarkStart w:id="291" w:name="_Toc15607"/>
      <w:r>
        <w:rPr>
          <w:rFonts w:hint="eastAsia" w:ascii="黑体" w:hAnsi="黑体" w:eastAsia="黑体" w:cs="黑体"/>
          <w:b/>
          <w:color w:val="000000"/>
          <w:sz w:val="36"/>
          <w:szCs w:val="36"/>
        </w:rPr>
        <w:t>上海电子信息职业技术学院关于制订高职专业人才培养方案的</w:t>
      </w:r>
      <w:r>
        <w:rPr>
          <w:rFonts w:hint="eastAsia" w:ascii="黑体" w:hAnsi="黑体" w:eastAsia="黑体" w:cs="黑体"/>
          <w:b/>
          <w:color w:val="000000"/>
          <w:sz w:val="36"/>
          <w:szCs w:val="36"/>
          <w:lang w:val="en-US" w:eastAsia="zh-CN"/>
        </w:rPr>
        <w:t>指导</w:t>
      </w:r>
      <w:r>
        <w:rPr>
          <w:rFonts w:hint="eastAsia" w:ascii="黑体" w:hAnsi="黑体" w:eastAsia="黑体" w:cs="黑体"/>
          <w:b/>
          <w:color w:val="000000"/>
          <w:sz w:val="36"/>
          <w:szCs w:val="36"/>
          <w:lang w:val="zh-CN"/>
        </w:rPr>
        <w:t>意见</w:t>
      </w:r>
      <w:bookmarkEnd w:id="284"/>
      <w:bookmarkEnd w:id="285"/>
      <w:bookmarkEnd w:id="286"/>
      <w:bookmarkEnd w:id="287"/>
      <w:bookmarkEnd w:id="288"/>
      <w:bookmarkEnd w:id="289"/>
      <w:bookmarkEnd w:id="290"/>
      <w:bookmarkEnd w:id="291"/>
    </w:p>
    <w:p>
      <w:pPr>
        <w:pageBreakBefore w:val="0"/>
        <w:topLinePunct w:val="0"/>
        <w:bidi w:val="0"/>
        <w:spacing w:before="312" w:beforeLines="100" w:line="52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专业人才培养方案是职业院校落实党和国家关于技术技能人才培养总体要求，组织开展教学活动、安排教学任务的规范性文件，是实施专业人才培养和开展质量评价的基本依据。根据教育部《关于职业院校专业人才培养方案制订与实施工作的指导意见》（教职成[2019]13号）精神，为落实《国家职业教育改革实施方案》，推进国家教学标准落地实施，提升职业教育质量，现就我校专业人才培养方案制订与实施工作提出如下意见：</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292" w:name="_Toc295991854"/>
      <w:r>
        <w:rPr>
          <w:rFonts w:hint="eastAsia" w:ascii="仿宋_GB2312" w:hAnsi="仿宋_GB2312" w:eastAsia="仿宋_GB2312" w:cs="仿宋_GB2312"/>
          <w:kern w:val="2"/>
          <w:sz w:val="28"/>
          <w:szCs w:val="28"/>
          <w:highlight w:val="none"/>
          <w:lang w:val="en-US" w:eastAsia="zh-CN" w:bidi="ar-SA"/>
        </w:rPr>
        <w:t>一、总体要求</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（一）指导思想</w:t>
      </w:r>
      <w:bookmarkEnd w:id="292"/>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以习近平新时代中国特色社会主义思想为指导，深入贯彻党的十九大精神，按照全国教育大会部署，落实立德树人根本任务，坚持面向市场、服务发展、促进就业的办学方向，健全德技并修、工学结合育人机制，构建德智体美劳全面发展的人才培养体系，突出职业教育的类型特点，深化产教融合、校企合作，推进教师、教材、教法改革，规范人才培养全过程，加快培养复合型技术技能人才。</w:t>
      </w:r>
    </w:p>
    <w:p>
      <w:pPr>
        <w:pageBreakBefore w:val="0"/>
        <w:topLinePunct w:val="0"/>
        <w:bidi w:val="0"/>
        <w:spacing w:line="24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（二）基本原则</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坚持育人为本，促进全面发展。全面推动习近平新时代中国特色社会主义思想进教材进课堂进头脑，积极培育和践行社会主义核心价值观。传授基础知识与培养专业能力并重，强化学生职业素养养成和专业技术积累，将专业精神、职业精神和工匠精神融入人才培养全过程。</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坚持标准引领，确保科学规范。以职业教育国家教学标准为基本遵循，贯彻落实党和国家在课程设置、教学内容等方面的基本要求，强化专业人才培养方案的科学性、适应性和可操作性。</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坚持遵循规律，体现培养特色。遵循职业教育、技术技能人才成长和学生身心发展规律，处理好公共基础课程与专业课程、理论教学与实践教学、学历证书与各类职业培训证书之间的关系，整体设计教学活动。</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坚持完善机制，推动持续改进。紧跟产业发展趋势和行业人才需求，建立健全行业企业、第三方评价机构等多方参与的专业人才培养方案动态调整机制，强化教师参与教学和课程改革的效果评价与激励，做好人才培养质量评价与反馈。</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293" w:name="_Toc295991855"/>
      <w:r>
        <w:rPr>
          <w:rFonts w:hint="eastAsia" w:ascii="仿宋_GB2312" w:hAnsi="仿宋_GB2312" w:eastAsia="仿宋_GB2312" w:cs="仿宋_GB2312"/>
          <w:kern w:val="2"/>
          <w:sz w:val="28"/>
          <w:szCs w:val="28"/>
          <w:highlight w:val="none"/>
          <w:lang w:val="en-US" w:eastAsia="zh-CN" w:bidi="ar-SA"/>
        </w:rPr>
        <w:t>二、主要内容及要求</w:t>
      </w:r>
      <w:bookmarkEnd w:id="293"/>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专业人才培养方案应当体现专业教学标准规定的各要素和人才培养的主要环节要求，包括专业名称及代码、入学要求、修业年限、职业面向、培养目标与培养规格、课程设置、学时安排、教学进程总体安排、实施保障、毕业要求等内容，并附教学进程安排表等。二级学院可根据区域经济社会发展需求、办学特色和专业实际制订专业人才培养方案，但须满足以下基本要求。</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明确培养目标。依据国家有关规定、公共基础课程标准和专业教学标准，结合学校办学层次和办学定位，科学合理确定专业培养目标，明确学生的知识、能力和素质要求，保证培养规格。要注重学用相长、知行合一，着力培养学生的创新精神和实践能力，增强学生的职业适应能力和可持续发展能力。</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坚持把立德树人作为根本任务，不断加强学校思想政治工作，持续深化“三全育人”综合改革，把立德树人融入思想道德教育、文化知识教育、技术技能培养、社会实践教育各环节，推动思想政治工作体系贯穿教学体系、教材体系、管理体系，切实提升思想政治工作质量。</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（二）规范课程设置。课程设置分为公共基础课程和专业（技能）课程两类。</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严格按照国家有关规定开齐开足公共基础课程。应当将思想政治理论课、体育、军事课、心理健康教育等课程列为公共基础必修课程，并将马克思主义理论类课程、党史国史、中华优秀传统文化、职业发展与就业指导、创新创业教育、信息技术、语文、数学、外语、健康教育、美育课程、职业素养等列为必修课或限定选修课。</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全面推动习近平新时代中国特色社会主义思想进课程，学校按规定统一使用马克思主义理论研究和建设工程思政课、专业课教材。结合实习实训强化劳动教育，明确劳动教育时间，弘扬劳动精神、劳模精神，教育引导学生崇尚劳动、尊重劳动。推动中华优秀传统文化融入教育教学，加强革命文化和社会主义先进文化教育。深化体育、美育教学改革，促进学生身心健康，提高学生审美和人文素养。</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根据有关文件规定开设关于国家安全教育、节能减排、绿色环保、金融知识、社会责任、人口资源、海洋科学、管理等人文素养、科学素养方面的选修课程、拓展课程或专题讲座（活动），并将有关知识融入到专业教学和社会实践中。组织开展劳动实践、创新创业实践、志愿服务及其他社会公益活动。</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科学设置专业（技能）课程。专业（技能）课程设置要与培养目标相适应，课程内容要紧密联系生产劳动实际和社会实践，突出应用性和实践性，注重学生职业能力和职业精神的培养。一般按照相应职业岗位（群）的能力要求，确定6—8门专业核心课程和若干门专业课程。</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合理安排学时。每学年安排40周教学活动。三年制高职总学时数不低于2500，鼓励学生自主学习，公共基础课程学时应当不少于总学时的1/4。高职选修课教学时数占总学时的比例均应当不少于10%。鼓励将学生取得的行业企业认可度高的有关职业技能等级证书或已掌握的有关技术技能，按一定规则折算为学历教育相应学分。</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强化实践环节。加强实践性教学，实践性教学学时原则上占总学时数50%以上。积极推行认知实习、跟岗实习、顶岗实习等多种实习方式，强化以育人为目标的实习实训考核评价。学生顶岗实习时间一般为6个月，可根据专业实际，集中或分阶段安排。建好用好各类实训基地，强化学生实习实训。统筹推进文化育人、实践育人、活动育人，广泛开展各类社会实践活动。</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严格毕业要求。根据国家有关规定、专业培养目标和培养规格，结合学校办学实际，进一步细化、明确学生毕业要求。严把毕业出口关，确保学生毕业时完成规定的学时学分和教学环节，结合专业实际组织毕业考试（考核），保证毕业要求的达成度，坚决杜绝“清考”行为。</w:t>
      </w:r>
    </w:p>
    <w:p>
      <w:pPr>
        <w:pageBreakBefore w:val="0"/>
        <w:widowControl/>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促进书证融通。积极参与实施1+X证书制度试点，将职业技能等级标准有关内容及要求有机融入专业课程教学，优化专业人才培养方案。同步参与职业教育国家“学分银行”试点，探索建立有关工作机制，对学历证书和职业技能等级证书所体现的学习成果进行登记和存储，计入个人学习账号，尝试学习成果的认定、积累与转换。</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加强分类指导。对退役军人、下岗职工、农民工和新型职业农民等群体建议单独编班，在标准不降的前提下，单独编制专业人才培养方案，实行弹性学习时间和多元教学模式；招生人数不够编制教学班级的，可融入常规三年制高职实施一体化教学。实行中高职贯通培养的专业，结合实际情况灵活制订相应的人才培养方案。</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294" w:name="_Toc295991856"/>
      <w:r>
        <w:rPr>
          <w:rFonts w:hint="eastAsia" w:ascii="仿宋_GB2312" w:hAnsi="仿宋_GB2312" w:eastAsia="仿宋_GB2312" w:cs="仿宋_GB2312"/>
          <w:kern w:val="2"/>
          <w:sz w:val="28"/>
          <w:szCs w:val="28"/>
          <w:highlight w:val="none"/>
          <w:lang w:val="en-US" w:eastAsia="zh-CN" w:bidi="ar-SA"/>
        </w:rPr>
        <w:t>（八）其他要求</w:t>
      </w:r>
    </w:p>
    <w:bookmarkEnd w:id="294"/>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1.高职学制3年、中高职贯通专业学制2年、五年一贯制学制5年。</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三年制高职课内教学总学时1600－1800学时，毕业顶岗实习16周左右（含实习报告批改和毕业鉴定1周）；中高职贯通和五年一贯制专业课内总学时4800-5400学时，中高职贯通毕业顶岗实习16周左右（含实习报告批改和毕业鉴定1周），五年一贯制顶岗实习不能少于40周，其中毕业定岗实习为16周。</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3.实践环节包括社会实践（入学教育、军事训练、社会调查、毕业教育、就业教育、劳动教育等）、技能考证、实习实训、课程设计、毕业顶岗实习等。</w:t>
      </w:r>
    </w:p>
    <w:p>
      <w:pPr>
        <w:pageBreakBefore w:val="0"/>
        <w:topLinePunct w:val="0"/>
        <w:bidi w:val="0"/>
        <w:spacing w:line="360" w:lineRule="auto"/>
        <w:ind w:firstLine="560" w:firstLineChars="200"/>
        <w:jc w:val="left"/>
        <w:outlineLvl w:val="9"/>
        <w:rPr>
          <w:rFonts w:hint="default"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选修课包括专业（技能）选修课、公共基础选修课、艺术教育限选课。专业（技能）选修课是为拓展学生与本专业紧密相关的知识和能力而设置的，主要方向是专业课间的互选或相近专业学科的专业知识，合计6学分；公共基础选修课主要体现素质教育的内涵，各专业学生应选择非本学科类的选修课，合计4学分；艺术教育限选课主要针对学生美育实际需要，积极探索构建以审美和人文素养培养为核心、以创新能力培育为重点、以中华优秀传统文化传承发展和艺术经典教育为主要内容，合计2学分。</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5.对在课外活动和社会实践中（含寒暑假实习）取得相应成绩而获得的学分可以替换通识教育选修课的学分。</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6.学时：每周22－24学时。</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学分：三年制高职不低于143学分；。中高职贯通专业和五年一贯制专业不低于280学分。以理论教学为主的课程16－18学时折合1学分；不足16学时但达到8学时及以上计0.5学分，不足8学时的不计学分；一体化教学学分按理论课计学分，集中实践环节每周计1学分，按30学时计算。</w:t>
      </w:r>
    </w:p>
    <w:p>
      <w:pPr>
        <w:pageBreakBefore w:val="0"/>
        <w:numPr>
          <w:ilvl w:val="0"/>
          <w:numId w:val="0"/>
        </w:numPr>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8.加强英语分层教学和计算机基础课程的教学，使学生能通过国家英语应用能力A/B级和计算机应用能力一级的考试，并具有一定实际应用的能力。</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9.实行“双证”制度</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学生必须修满人才培养方案规定的各类学分，还需取得人才培养方案规定的职业资格证书、技能等级证书或职业技能等级证书。</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（1）学历证书：普通高校专科毕业证书。</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（2）职业资格证书或技能等级证书：本专业相关的中级（或相当）及以上等级证书。</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（3）职业技能等级证书：教育部1+X证书制度试点、与专业相关的职业技能等级证书。</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各专业要在人才培养方案中规定对学生的职业资格证书、技能等级证书或职业技能等级证书要求，并在课程设置与学时方面做出相应的安排。</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10.具体要求</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（1）各学期周数分配：第一学期教学周数不少于16周，其余各学期均不少于18周。</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（2）体育教学安排在第1、2学期进行。</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（3）课程名称要注意科学性，表达要完整、准确。</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（4）人才培养方案要注明课程考核类型（考试或考查），每学期考试科目3-4门。</w:t>
      </w:r>
    </w:p>
    <w:p>
      <w:pPr>
        <w:pageBreakBefore w:val="0"/>
        <w:widowControl/>
        <w:shd w:val="clear" w:color="auto" w:fill="auto"/>
        <w:topLinePunct w:val="0"/>
        <w:bidi w:val="0"/>
        <w:adjustRightInd/>
        <w:snapToGrid/>
        <w:spacing w:line="360" w:lineRule="auto"/>
        <w:ind w:firstLine="0" w:firstLineChars="0"/>
        <w:jc w:val="left"/>
        <w:outlineLvl w:val="9"/>
        <w:rPr>
          <w:rFonts w:hint="eastAsia" w:ascii="仿宋_GB2312" w:hAnsi="仿宋_GB2312" w:eastAsia="仿宋_GB2312" w:cs="仿宋_GB2312"/>
          <w:kern w:val="2"/>
          <w:sz w:val="28"/>
          <w:szCs w:val="28"/>
          <w:highlight w:val="none"/>
          <w:lang w:val="en-US" w:eastAsia="zh-CN" w:bidi="ar-SA"/>
        </w:rPr>
      </w:pPr>
      <w:bookmarkStart w:id="295" w:name="_Toc295991857"/>
      <w:r>
        <w:rPr>
          <w:rFonts w:hint="eastAsia" w:ascii="仿宋_GB2312" w:hAnsi="仿宋_GB2312" w:eastAsia="仿宋_GB2312" w:cs="仿宋_GB2312"/>
          <w:kern w:val="2"/>
          <w:sz w:val="28"/>
          <w:szCs w:val="28"/>
          <w:highlight w:val="none"/>
          <w:lang w:val="en-US" w:eastAsia="zh-CN" w:bidi="ar-SA"/>
        </w:rPr>
        <w:t>三、制订程序</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default"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规划与设计。二级学院应当根据本意见要求，统筹规划，制订专业人才培养方案制（修）订的具体工作方案。成立由行业企业专家、教科研人员、一线教师和学生（毕业生）代表组成的专业建设委员会，共同做好专业人才培养方案制（修）订工作。一般应在当年4月份之前完成此项工作。</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调研与分析。各专业建设委员会要做好行业企业调研、毕业生跟踪调研和在校生学情调研，分析产业发展趋势和行业企业人才需求，明确本专业面向的职业岗位（群）所需要的知识、能力、素质，形成专业人才培养调研报告。一般应在当年3月份之前完成此项工作。</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default"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起草与审定。结合实际落实专业教学标准，准确定位专业人才培养目标与培养规格，合理构建课程体系、安排教学进程，明确教学内容、教学方法、教学资源、教学条件保障等要求。二级学院组织由行业企业、教研机构、校内外一线教师和学生代表等参加的论证会，对专业人才培养方案进行论证，学校学术委员会对专业人才培养方案进行评审通过后提交学校党委会会议审定。一般应在当年5月份之前完成审定工作。</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发布与更新。审定通过的专业人才培养方案，学校按程序发布执行，报上级教育行政部门备案，并通过学校网站等主动向社会公开，接受全社会监督。学校建立健全专业人才培养方案实施情况的评价、反馈与改进机制，根据经济社会发展需求、技术发展趋势和教育教学改革实际，及时优化调整。一般应在当年6月份之前完成发布工作。</w:t>
      </w:r>
    </w:p>
    <w:p>
      <w:pPr>
        <w:pageBreakBefore w:val="0"/>
        <w:widowControl/>
        <w:shd w:val="clear" w:color="auto" w:fill="auto"/>
        <w:topLinePunct w:val="0"/>
        <w:bidi w:val="0"/>
        <w:adjustRightInd/>
        <w:snapToGrid/>
        <w:spacing w:before="0" w:beforeAutospacing="0" w:after="0" w:afterAutospacing="0" w:line="360" w:lineRule="auto"/>
        <w:ind w:firstLine="0" w:firstLineChars="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四、实施要求</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全面加强党的领导。加强党的领导是做好职业院校专业人才培养方案制订与实施工作的根本保证。在学校党委领导下，坚持以习近平新时代中国特色社会主义思想为指导，切实加强对专业人才培养方案制订与实施工作的领导。学校党委会会议和校长办公会定期研究，书记、校长及分管负责人经常性研究专业人才培养方案制订与实施。学校党委负责人、校长是专业人才培养方案制订与实施的第一责任人，要把主要精力放到教育教学工作上来。</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强化课程思政。积极构建“思政课程+课程思政”大格局，推进全员全过程全方位“三全育人”，实现思想政治教育与技术技能培养的有机统一。结合职业院校学生特点，创新思政课程教学模式。强化专业课教师立德树人意识，结合不同专业人才培养特点和专业能力素质要求，梳理每一门课程蕴含的思想政治教育元素，发挥专业课程承载的思想政治教育功能，推动专业课教学与思想政治理论课教学紧密结合、同向同行。</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组织开发专业课程标准和教案。要根据专业人才培养方案总体要求，制（修）订专业课程标准，明确课程目标，优化课程内容，规范教学过程，及时将新技术、新工艺、新规范纳入课程标准和教学内容。要指导教师准确把握课程教学要求，规范编写、严格执行教案，做好课程总体设计，按程序选用教材，合理运用各类教学资源，做好教学组织实施。</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深化教师、教材、教法改革。建设符合项目式、模块化教学需要的教学创新团队，不断优化教师能力结构。健全教材选用制度，选用体现新技术、新工艺、新规范等的高质量教材，引入典型生产案例。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推进信息技术与教学有机融合。适应“互联网+职业教育”新要求，全面提升教师信息技术应用能力，推动大数据、人工智能、虚拟现实等现代信息技术在教育教学中的广泛应用，积极推动教师角色的转变和教育理念、教学观念、教学内容、教学方法以及教学评价等方面的改革。加快建设智能化教学支持环境，建设能够满足多样化需求的课程资源，创新服务供给模式，服务学生终身学习。</w:t>
      </w:r>
    </w:p>
    <w:p>
      <w:pPr>
        <w:pageBreakBefore w:val="0"/>
        <w:widowControl/>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改进学习过程管理与评价。严格落实培养目标和培养规格要求，加大过程考核、实践技能考核成绩在课程总成绩中的比重。严格考试纪律，健全多元化考核评价体系，完善学生学习过程监测、评价与反馈机制，引导学生自我管理、主动学习，提高学习效率。强化实习、实训、毕业设计（论文）等实践性教学环节的全过程管理与考核评价。</w:t>
      </w:r>
    </w:p>
    <w:p>
      <w:pPr>
        <w:pageBreakBefore w:val="0"/>
        <w:widowControl/>
        <w:shd w:val="clear" w:color="auto" w:fill="auto"/>
        <w:topLinePunct w:val="0"/>
        <w:bidi w:val="0"/>
        <w:adjustRightInd/>
        <w:snapToGrid/>
        <w:spacing w:before="0" w:beforeAutospacing="0" w:after="0" w:afterAutospacing="0" w:line="360" w:lineRule="auto"/>
        <w:ind w:firstLine="0" w:firstLineChars="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五、监督与指导</w:t>
      </w:r>
    </w:p>
    <w:p>
      <w:pPr>
        <w:pageBreakBefore w:val="0"/>
        <w:widowControl/>
        <w:shd w:val="clear" w:color="auto" w:fill="auto"/>
        <w:topLinePunct w:val="0"/>
        <w:bidi w:val="0"/>
        <w:adjustRightInd/>
        <w:snapToGrid/>
        <w:spacing w:before="0" w:beforeAutospacing="0" w:after="0" w:afterAutospacing="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级学院要根据教育部发布的职业教育国家教学标准，制订专业人才培养方案。教务处建立抽查制度，对各专业人才培养方案制订、公开和实施情况进行定期检查评价，并公布检查结果。充分发挥职业教育教研机构的研究咨询作用，组织开展有关交流研讨活动，指导和参与专业人才培养方案制订工作。鼓励产教融合型企业、产教融合实训基地等参与专业人才培养方案的制订和实施，发挥行业、企业、家长等的作用，形成多元监督机制。</w:t>
      </w:r>
      <w:bookmarkEnd w:id="295"/>
    </w:p>
    <w:p>
      <w:pPr>
        <w:pageBreakBefore w:val="0"/>
        <w:topLinePunct w:val="0"/>
        <w:bidi w:val="0"/>
        <w:ind w:firstLine="0" w:firstLineChars="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六、附 则</w:t>
      </w:r>
    </w:p>
    <w:p>
      <w:pPr>
        <w:pageBreakBefore w:val="0"/>
        <w:topLinePunct w:val="0"/>
        <w:bidi w:val="0"/>
        <w:spacing w:line="240" w:lineRule="auto"/>
        <w:ind w:firstLine="420" w:firstLineChars="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本意见自颁布之日起正式实施，原《上海电子信息职业技术学院关于制订高职专业人才培养方案的</w:t>
      </w:r>
      <w:r>
        <w:rPr>
          <w:rFonts w:hint="eastAsia" w:ascii="仿宋_GB2312" w:hAnsi="仿宋_GB2312" w:eastAsia="仿宋_GB2312" w:cs="仿宋_GB2312"/>
          <w:kern w:val="2"/>
          <w:sz w:val="28"/>
          <w:szCs w:val="28"/>
          <w:highlight w:val="none"/>
          <w:lang w:val="zh-CN" w:eastAsia="zh-CN" w:bidi="ar-SA"/>
        </w:rPr>
        <w:t>原则性意见</w:t>
      </w:r>
      <w:r>
        <w:rPr>
          <w:rFonts w:hint="eastAsia" w:ascii="仿宋_GB2312" w:hAnsi="仿宋_GB2312" w:eastAsia="仿宋_GB2312" w:cs="仿宋_GB2312"/>
          <w:kern w:val="2"/>
          <w:sz w:val="28"/>
          <w:szCs w:val="28"/>
          <w:highlight w:val="none"/>
          <w:lang w:val="en-US" w:eastAsia="zh-CN" w:bidi="ar-SA"/>
        </w:rPr>
        <w:t>》（沪电信职院〔2018〕19号废止），由上海电子信息职业技术学院教务处负责解释。</w:t>
      </w:r>
    </w:p>
    <w:p>
      <w:pPr>
        <w:pageBreakBefore w:val="0"/>
        <w:topLinePunct w:val="0"/>
        <w:bidi w:val="0"/>
        <w:spacing w:line="360" w:lineRule="auto"/>
        <w:ind w:firstLine="640" w:firstLineChars="200"/>
        <w:jc w:val="left"/>
        <w:outlineLvl w:val="9"/>
        <w:rPr>
          <w:rFonts w:hint="eastAsia" w:ascii="仿宋" w:hAnsi="仿宋" w:eastAsia="仿宋" w:cs="仿宋"/>
          <w:color w:val="000000"/>
          <w:kern w:val="0"/>
          <w:sz w:val="32"/>
          <w:szCs w:val="32"/>
        </w:rPr>
      </w:pPr>
    </w:p>
    <w:p>
      <w:pPr>
        <w:pageBreakBefore w:val="0"/>
        <w:topLinePunct w:val="0"/>
        <w:bidi w:val="0"/>
        <w:spacing w:line="520" w:lineRule="exact"/>
        <w:jc w:val="both"/>
        <w:outlineLvl w:val="9"/>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 xml:space="preserve">      </w:t>
      </w:r>
    </w:p>
    <w:p>
      <w:pPr>
        <w:pageBreakBefore w:val="0"/>
        <w:topLinePunct w:val="0"/>
        <w:bidi w:val="0"/>
        <w:spacing w:line="240" w:lineRule="auto"/>
        <w:ind w:firstLine="420" w:firstLineChars="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 w:hAnsi="仿宋" w:eastAsia="仿宋" w:cs="仿宋"/>
          <w:color w:val="000000"/>
          <w:kern w:val="0"/>
          <w:sz w:val="32"/>
          <w:szCs w:val="32"/>
        </w:rPr>
        <w:t xml:space="preserve">        </w:t>
      </w:r>
      <w:r>
        <w:rPr>
          <w:rFonts w:hint="eastAsia" w:ascii="仿宋_GB2312" w:eastAsia="仿宋_GB2312"/>
          <w:color w:val="000000"/>
          <w:kern w:val="0"/>
          <w:sz w:val="32"/>
          <w:szCs w:val="32"/>
        </w:rPr>
        <w:t xml:space="preserve">    </w:t>
      </w: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240" w:lineRule="auto"/>
        <w:ind w:firstLine="420" w:firstLineChars="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2020年3月20日</w:t>
      </w:r>
    </w:p>
    <w:p>
      <w:pPr>
        <w:pageBreakBefore w:val="0"/>
        <w:topLinePunct w:val="0"/>
        <w:bidi w:val="0"/>
        <w:jc w:val="center"/>
        <w:outlineLvl w:val="9"/>
        <w:rPr>
          <w:sz w:val="24"/>
        </w:rPr>
      </w:pPr>
      <w:bookmarkStart w:id="296" w:name="_Toc1430"/>
      <w:bookmarkStart w:id="297" w:name="_Toc32603"/>
      <w:bookmarkStart w:id="298" w:name="_Toc28722"/>
      <w:bookmarkStart w:id="299" w:name="_Toc14517"/>
      <w:bookmarkStart w:id="300" w:name="_Toc12989"/>
      <w:bookmarkStart w:id="301" w:name="_Toc11971"/>
      <w:bookmarkStart w:id="302" w:name="_Toc11701"/>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w:t>
      </w:r>
      <w:r>
        <w:rPr>
          <w:rFonts w:hint="eastAsia" w:ascii="仿宋_GB2312" w:eastAsia="仿宋_GB2312"/>
          <w:color w:val="000000"/>
          <w:kern w:val="0"/>
          <w:sz w:val="32"/>
          <w:szCs w:val="28"/>
          <w:lang w:val="en-US" w:eastAsia="zh-CN"/>
        </w:rPr>
        <w:t>20</w:t>
      </w:r>
      <w:r>
        <w:rPr>
          <w:rFonts w:hint="eastAsia" w:ascii="仿宋_GB2312" w:eastAsia="仿宋_GB2312"/>
          <w:color w:val="000000"/>
          <w:kern w:val="0"/>
          <w:sz w:val="32"/>
          <w:szCs w:val="28"/>
        </w:rPr>
        <w:t>〕</w:t>
      </w:r>
      <w:r>
        <w:rPr>
          <w:rFonts w:hint="eastAsia" w:ascii="仿宋_GB2312" w:eastAsia="仿宋_GB2312"/>
          <w:color w:val="000000"/>
          <w:kern w:val="0"/>
          <w:sz w:val="32"/>
          <w:szCs w:val="28"/>
          <w:lang w:val="en-US" w:eastAsia="zh-CN"/>
        </w:rPr>
        <w:t>17</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312" w:beforeLines="100"/>
        <w:ind w:firstLine="420"/>
        <w:jc w:val="center"/>
        <w:textAlignment w:val="auto"/>
        <w:outlineLvl w:val="0"/>
        <w:rPr>
          <w:rFonts w:hint="eastAsia" w:ascii="黑体" w:hAnsi="黑体" w:eastAsia="黑体" w:cs="黑体"/>
          <w:b/>
          <w:color w:val="000000"/>
          <w:sz w:val="32"/>
          <w:szCs w:val="32"/>
        </w:rPr>
      </w:pPr>
      <w:bookmarkStart w:id="303" w:name="_Toc14596"/>
      <w:r>
        <w:rPr>
          <w:rFonts w:hint="eastAsia" w:ascii="黑体" w:hAnsi="黑体" w:eastAsia="黑体" w:cs="黑体"/>
          <w:b/>
          <w:sz w:val="36"/>
          <w:szCs w:val="36"/>
        </w:rPr>
        <w:t>关于印</w:t>
      </w:r>
      <w:r>
        <w:rPr>
          <w:rFonts w:hint="eastAsia" w:ascii="黑体" w:hAnsi="黑体" w:eastAsia="黑体" w:cs="黑体"/>
          <w:b/>
          <w:kern w:val="0"/>
          <w:sz w:val="36"/>
          <w:szCs w:val="36"/>
        </w:rPr>
        <w:t>发《上海电子信息</w:t>
      </w:r>
      <w:r>
        <w:rPr>
          <w:rFonts w:hint="eastAsia" w:ascii="黑体" w:hAnsi="黑体" w:eastAsia="黑体" w:cs="黑体"/>
          <w:b/>
          <w:sz w:val="36"/>
          <w:szCs w:val="36"/>
        </w:rPr>
        <w:t>职业技术学院专业人才培养方案修订工作管理规定》的通知</w:t>
      </w:r>
      <w:bookmarkEnd w:id="303"/>
    </w:p>
    <w:p>
      <w:pPr>
        <w:pageBreakBefore w:val="0"/>
        <w:topLinePunct w:val="0"/>
        <w:bidi w:val="0"/>
        <w:spacing w:before="312" w:beforeLines="100" w:line="52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520" w:lineRule="exact"/>
        <w:ind w:firstLine="42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现将《上海电子信息职业技术学院专业人才培养方案修订工作管理规定》印发给你们，请结合本部门工作实际，认真研究执行。</w:t>
      </w:r>
    </w:p>
    <w:p>
      <w:pPr>
        <w:pageBreakBefore w:val="0"/>
        <w:topLinePunct w:val="0"/>
        <w:bidi w:val="0"/>
        <w:spacing w:line="52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附件：上海电子信息职业技术学院专业人才培养方案修订工作管理规定</w:t>
      </w:r>
    </w:p>
    <w:p>
      <w:pPr>
        <w:pageBreakBefore w:val="0"/>
        <w:topLinePunct w:val="0"/>
        <w:bidi w:val="0"/>
        <w:spacing w:line="520" w:lineRule="exact"/>
        <w:ind w:firstLine="42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p>
    <w:p>
      <w:pPr>
        <w:pageBreakBefore w:val="0"/>
        <w:topLinePunct w:val="0"/>
        <w:bidi w:val="0"/>
        <w:spacing w:line="520" w:lineRule="exact"/>
        <w:ind w:right="480" w:firstLine="3780" w:firstLineChars="13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2020年3月20日</w:t>
      </w:r>
    </w:p>
    <w:p>
      <w:pPr>
        <w:pageBreakBefore w:val="0"/>
        <w:topLinePunct w:val="0"/>
        <w:bidi w:val="0"/>
        <w:spacing w:line="520" w:lineRule="exact"/>
        <w:ind w:firstLine="640" w:firstLineChars="200"/>
        <w:outlineLvl w:val="9"/>
        <w:rPr>
          <w:rFonts w:hint="eastAsia" w:ascii="仿宋_GB2312" w:eastAsia="仿宋_GB2312" w:cs="宋体"/>
          <w:color w:val="000000"/>
          <w:sz w:val="32"/>
          <w:szCs w:val="32"/>
        </w:rPr>
      </w:pPr>
    </w:p>
    <w:p>
      <w:pPr>
        <w:pageBreakBefore w:val="0"/>
        <w:topLinePunct w:val="0"/>
        <w:bidi w:val="0"/>
        <w:spacing w:line="500" w:lineRule="exact"/>
        <w:ind w:firstLine="640" w:firstLineChars="200"/>
        <w:outlineLvl w:val="9"/>
        <w:rPr>
          <w:rFonts w:hint="eastAsia" w:ascii="仿宋_GB2312" w:eastAsia="仿宋_GB2312" w:cs="宋体"/>
          <w:color w:val="000000"/>
          <w:sz w:val="32"/>
          <w:szCs w:val="32"/>
        </w:rPr>
      </w:pPr>
    </w:p>
    <w:p>
      <w:pPr>
        <w:pageBreakBefore w:val="0"/>
        <w:topLinePunct w:val="0"/>
        <w:bidi w:val="0"/>
        <w:jc w:val="both"/>
        <w:outlineLvl w:val="9"/>
        <w:rPr>
          <w:rFonts w:hint="eastAsia" w:ascii="仿宋" w:hAnsi="仿宋" w:eastAsia="仿宋" w:cs="仿宋"/>
          <w:b/>
          <w:color w:val="000000"/>
          <w:sz w:val="32"/>
          <w:szCs w:val="32"/>
        </w:rPr>
      </w:pPr>
    </w:p>
    <w:p>
      <w:pPr>
        <w:pageBreakBefore w:val="0"/>
        <w:topLinePunct w:val="0"/>
        <w:bidi w:val="0"/>
        <w:jc w:val="both"/>
        <w:outlineLvl w:val="9"/>
        <w:rPr>
          <w:rFonts w:hint="eastAsia" w:ascii="仿宋" w:hAnsi="仿宋" w:eastAsia="仿宋" w:cs="仿宋"/>
          <w:b/>
          <w:color w:val="000000"/>
          <w:sz w:val="32"/>
          <w:szCs w:val="32"/>
          <w:lang w:val="en-US" w:eastAsia="zh-CN"/>
        </w:rPr>
      </w:pPr>
      <w:r>
        <w:rPr>
          <w:rFonts w:hint="eastAsia" w:ascii="仿宋_GB2312" w:hAnsi="仿宋_GB2312" w:eastAsia="仿宋_GB2312" w:cs="仿宋_GB2312"/>
          <w:kern w:val="2"/>
          <w:sz w:val="28"/>
          <w:szCs w:val="28"/>
          <w:highlight w:val="none"/>
          <w:lang w:val="en-US" w:eastAsia="zh-CN" w:bidi="ar-SA"/>
        </w:rPr>
        <w:t>附件：</w:t>
      </w:r>
      <w:r>
        <w:rPr>
          <w:rFonts w:hint="eastAsia" w:ascii="仿宋" w:hAnsi="仿宋" w:eastAsia="仿宋" w:cs="仿宋"/>
          <w:b/>
          <w:color w:val="000000"/>
          <w:sz w:val="32"/>
          <w:szCs w:val="32"/>
          <w:lang w:val="en-US" w:eastAsia="zh-CN"/>
        </w:rPr>
        <w:t xml:space="preserve">        </w:t>
      </w:r>
    </w:p>
    <w:p>
      <w:pPr>
        <w:pageBreakBefore w:val="0"/>
        <w:topLinePunct w:val="0"/>
        <w:bidi w:val="0"/>
        <w:jc w:val="center"/>
        <w:outlineLvl w:val="9"/>
        <w:rPr>
          <w:rFonts w:hint="eastAsia" w:ascii="黑体" w:hAnsi="黑体" w:eastAsia="黑体" w:cs="黑体"/>
          <w:b/>
          <w:color w:val="000000"/>
          <w:sz w:val="36"/>
          <w:szCs w:val="36"/>
        </w:rPr>
      </w:pPr>
      <w:r>
        <w:rPr>
          <w:rFonts w:hint="eastAsia" w:ascii="黑体" w:hAnsi="黑体" w:eastAsia="黑体" w:cs="黑体"/>
          <w:b/>
          <w:color w:val="000000"/>
          <w:sz w:val="36"/>
          <w:szCs w:val="36"/>
        </w:rPr>
        <w:t>上海电子信息职业技术学院</w:t>
      </w:r>
    </w:p>
    <w:p>
      <w:pPr>
        <w:pageBreakBefore w:val="0"/>
        <w:topLinePunct w:val="0"/>
        <w:bidi w:val="0"/>
        <w:ind w:firstLine="420"/>
        <w:jc w:val="center"/>
        <w:outlineLvl w:val="9"/>
        <w:rPr>
          <w:rFonts w:hint="eastAsia" w:ascii="黑体" w:hAnsi="黑体" w:eastAsia="黑体" w:cs="黑体"/>
          <w:b/>
          <w:color w:val="000000"/>
          <w:sz w:val="36"/>
          <w:szCs w:val="36"/>
        </w:rPr>
      </w:pPr>
      <w:r>
        <w:rPr>
          <w:rFonts w:hint="eastAsia" w:ascii="黑体" w:hAnsi="黑体" w:eastAsia="黑体" w:cs="黑体"/>
          <w:b/>
          <w:color w:val="000000"/>
          <w:sz w:val="36"/>
          <w:szCs w:val="36"/>
        </w:rPr>
        <w:t>专业人才培养方案修订工作管理规定</w:t>
      </w:r>
      <w:bookmarkEnd w:id="296"/>
      <w:bookmarkEnd w:id="297"/>
      <w:bookmarkEnd w:id="298"/>
      <w:bookmarkEnd w:id="299"/>
      <w:bookmarkEnd w:id="300"/>
      <w:bookmarkEnd w:id="301"/>
      <w:bookmarkEnd w:id="302"/>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304" w:name="_Toc295991860"/>
      <w:r>
        <w:rPr>
          <w:rFonts w:hint="eastAsia" w:ascii="仿宋_GB2312" w:hAnsi="仿宋_GB2312" w:eastAsia="仿宋_GB2312" w:cs="仿宋_GB2312"/>
          <w:kern w:val="2"/>
          <w:sz w:val="28"/>
          <w:szCs w:val="28"/>
          <w:highlight w:val="none"/>
          <w:lang w:val="en-US" w:eastAsia="zh-CN" w:bidi="ar-SA"/>
        </w:rPr>
        <w:t>一、总 则</w:t>
      </w:r>
      <w:bookmarkEnd w:id="304"/>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专业人才培养方案是人才培养的指导性教学文件，是组织教学活动、制定教学文件、衡量学生学业是否达标的基本依据。作为重要的指导性文件，专业人才培养方案需要保持相对的稳定性，其修订和调整要非常慎重。</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随着社会的进步和科技的发展，高职院校需要大力推进教育教学改革，专业人才培养方案也需要及时修订和调整，以适应发展的新形势。专业人才培养方案修订和调整是一项非常重要而严肃的工作，必须按照严格的程序和要求进行。</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（三）专业人才培养方案的修订工作一般包括两种形式：</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1．专业人才培养方案的全面修订。学校每年组织人员对行企业调研，根据产业结构调整和社会人才需求发生变化，学校每年有计划地组织对全校所有专业的培养方案进行系统的修订。</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专业人才培养方案的局部调整。是指培养方案在具体执行过程中，发现个别课程的学分、学时、实践环节、学期安排等设置不合理，或者由于专业领域内新技术、新知识的增加、教学条件的变化、学生接受能力的变化等原因，需要在保证正常教学秩序的前提下，及时对培养方案进行调整，以保证教学质量。</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305" w:name="_Toc295991861"/>
      <w:r>
        <w:rPr>
          <w:rFonts w:hint="eastAsia" w:ascii="仿宋_GB2312" w:hAnsi="仿宋_GB2312" w:eastAsia="仿宋_GB2312" w:cs="仿宋_GB2312"/>
          <w:kern w:val="2"/>
          <w:sz w:val="28"/>
          <w:szCs w:val="28"/>
          <w:highlight w:val="none"/>
          <w:lang w:val="en-US" w:eastAsia="zh-CN" w:bidi="ar-SA"/>
        </w:rPr>
        <w:t>二、专业人才培养方案修订工作的组织领导</w:t>
      </w:r>
      <w:bookmarkEnd w:id="305"/>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一）在进行专业人才培养方案全面修订工作之前，学校成立以教学副校长为组长，教务处负责人、各二级学院负责人为成员的“高职专业人才培养方案修订工作领导小组”（以下简称“领导小组”），下设办公室，办公室设在教务处。“领导小组”负责全校高职专业人才培养方案修订工作的组织协调，包括制定修订工作的指导思想和基本原则，确定工作方案和工作日程。 </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专业人才培养方案修订工作的主体是各二级学院，各二级学院须成立“专业人才培养方案修订工作组”，各二级学院负责人任组长，相关行企专家、教科研人员、一线教师和学生（毕业生）代表为成员，具体负责本部门专业人才培养方案的修订工作。</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306" w:name="_Toc295991862"/>
      <w:r>
        <w:rPr>
          <w:rFonts w:hint="eastAsia" w:ascii="仿宋_GB2312" w:hAnsi="仿宋_GB2312" w:eastAsia="仿宋_GB2312" w:cs="仿宋_GB2312"/>
          <w:kern w:val="2"/>
          <w:sz w:val="28"/>
          <w:szCs w:val="28"/>
          <w:highlight w:val="none"/>
          <w:lang w:val="en-US" w:eastAsia="zh-CN" w:bidi="ar-SA"/>
        </w:rPr>
        <w:t>三、专业人才培养方案全面修订工作的程序和要求</w:t>
      </w:r>
      <w:bookmarkEnd w:id="306"/>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务处要在教学管理过程中，准确把握我国高等职业教育的发展形势，了解社会对人才培养的需求，掌握现行培养方案中存在的问题，在充分调研论证、听取各方面意见的基础上，及时向学校提出对高职专业人才培养方案进行全面修订的工作计划。</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高职专业人才培养方案全面修订工作计划得到学校批准之后，首先应成立“领导小组”，在“领导小组”的统一组织下，进行广泛调研，根据国家有关精神，结合学校的实际情况，制定《上海电子信息职业技术学院关于制订高职专业人才培养方案的指导意见》（以下简称《指导意见》），报校长办公会议批准后执行。</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领导小组根据已批准的《指导意见》，确定具体的《专业人才培养方案修订工作方案》，包括修订工作日程及对各教学单位的具体要求，下发各教学单位开展修订工作。修订工作一般分两阶段进行，第一阶段，对覆盖专业面较大的公共基础课程改革和设置的论证工作；第二阶段，对各专业的人才培养方案的修订和论证工作。</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（四）教务处统一组织协调，在充分调研、论证的基础上，提出学校公共基础课程改革与设置方案。</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（五）各“专业人才培养方案修订工作组”根据学校《专业人才培养方案修订工作方案》以及《指导意见》和基础课程的设置方案，修订各专业人才培养方案。</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修订后的各专业人才培养方案需经各专业建设指导委员会论证后，方可提交教务处，经教务处审核通过后报学校学术委员会审议，审议通过后提交学校党委会会议审定，最后由教务处正式印制，下发执行。所有课程的课程标准必须随着培养方案的修订同时制定（修订）。</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307" w:name="_Toc295991863"/>
      <w:r>
        <w:rPr>
          <w:rFonts w:hint="eastAsia" w:ascii="仿宋_GB2312" w:hAnsi="仿宋_GB2312" w:eastAsia="仿宋_GB2312" w:cs="仿宋_GB2312"/>
          <w:kern w:val="2"/>
          <w:sz w:val="28"/>
          <w:szCs w:val="28"/>
          <w:highlight w:val="none"/>
          <w:lang w:val="en-US" w:eastAsia="zh-CN" w:bidi="ar-SA"/>
        </w:rPr>
        <w:t>四、专业人才培养方案局部调整的程序和要求</w:t>
      </w:r>
      <w:bookmarkEnd w:id="307"/>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专业人才培养方案的局部调整一般由各二级学院提出。各二级学院在教学工作中要了解专业的最新发展动态和社会的需求，掌握现行方案中存在的问题，若发现确有问题需要对培养方案进行局部调整的，需经专业建设指导委员会论证通过后报教务处审核，并经教学校长批准后方可执行。若涉及课程内容的调整，必须附上调整后的课程标准。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308" w:name="_Toc295991864"/>
      <w:r>
        <w:rPr>
          <w:rFonts w:hint="eastAsia" w:ascii="仿宋_GB2312" w:hAnsi="仿宋_GB2312" w:eastAsia="仿宋_GB2312" w:cs="仿宋_GB2312"/>
          <w:kern w:val="2"/>
          <w:sz w:val="28"/>
          <w:szCs w:val="28"/>
          <w:highlight w:val="none"/>
          <w:lang w:val="en-US" w:eastAsia="zh-CN" w:bidi="ar-SA"/>
        </w:rPr>
        <w:t>五、附 则</w:t>
      </w:r>
      <w:bookmarkEnd w:id="308"/>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本规定自颁布之日起正式实施，由上海电子信息职业技术学院教务处负责解释。</w:t>
      </w:r>
    </w:p>
    <w:p>
      <w:pPr>
        <w:pageBreakBefore w:val="0"/>
        <w:topLinePunct w:val="0"/>
        <w:bidi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附件：1：人才培养方案全面修订流程图</w:t>
      </w:r>
    </w:p>
    <w:p>
      <w:pPr>
        <w:pageBreakBefore w:val="0"/>
        <w:topLinePunct w:val="0"/>
        <w:bidi w:val="0"/>
        <w:spacing w:line="360" w:lineRule="auto"/>
        <w:ind w:firstLine="1400" w:firstLineChars="5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2：人才培养方案局部调整流程图</w:t>
      </w:r>
    </w:p>
    <w:p>
      <w:pPr>
        <w:pageBreakBefore w:val="0"/>
        <w:topLinePunct w:val="0"/>
        <w:bidi w:val="0"/>
        <w:spacing w:line="360" w:lineRule="auto"/>
        <w:jc w:val="left"/>
        <w:outlineLvl w:val="9"/>
        <w:rPr>
          <w:rFonts w:hint="eastAsia" w:ascii="仿宋" w:hAnsi="仿宋" w:eastAsia="仿宋" w:cs="仿宋"/>
          <w:bCs/>
          <w:color w:val="000000"/>
          <w:kern w:val="0"/>
          <w:sz w:val="28"/>
          <w:szCs w:val="28"/>
        </w:rPr>
      </w:pPr>
      <w:r>
        <w:rPr>
          <w:rFonts w:hint="eastAsia" w:ascii="仿宋" w:hAnsi="仿宋" w:eastAsia="仿宋" w:cs="仿宋"/>
          <w:color w:val="000000"/>
          <w:kern w:val="0"/>
          <w:sz w:val="28"/>
          <w:szCs w:val="28"/>
        </w:rPr>
        <w:br w:type="page"/>
      </w:r>
      <w:r>
        <w:rPr>
          <w:rFonts w:hint="eastAsia" w:ascii="仿宋" w:hAnsi="仿宋" w:eastAsia="仿宋" w:cs="仿宋"/>
          <w:bCs/>
          <w:color w:val="000000"/>
          <w:kern w:val="0"/>
          <w:sz w:val="28"/>
          <w:szCs w:val="28"/>
        </w:rPr>
        <w:t>附件1</w:t>
      </w:r>
    </w:p>
    <w:p>
      <w:pPr>
        <w:pageBreakBefore w:val="0"/>
        <w:topLinePunct w:val="0"/>
        <w:bidi w:val="0"/>
        <w:jc w:val="center"/>
        <w:outlineLvl w:val="9"/>
        <w:rPr>
          <w:rFonts w:hint="eastAsia" w:ascii="仿宋" w:hAnsi="仿宋" w:eastAsia="仿宋" w:cs="仿宋"/>
          <w:bCs/>
          <w:color w:val="000000"/>
          <w:kern w:val="0"/>
          <w:sz w:val="28"/>
          <w:szCs w:val="28"/>
        </w:rPr>
      </w:pPr>
      <w:r>
        <w:rPr>
          <w:rFonts w:hint="eastAsia" w:ascii="仿宋" w:hAnsi="仿宋" w:eastAsia="仿宋" w:cs="仿宋"/>
          <w:bCs/>
          <w:color w:val="000000"/>
          <w:sz w:val="28"/>
          <w:szCs w:val="28"/>
        </w:rPr>
        <w:t>专业</w:t>
      </w:r>
      <w:r>
        <w:rPr>
          <w:rFonts w:hint="eastAsia" w:ascii="仿宋" w:hAnsi="仿宋" w:eastAsia="仿宋" w:cs="仿宋"/>
          <w:bCs/>
          <w:color w:val="000000"/>
          <w:kern w:val="0"/>
          <w:sz w:val="28"/>
          <w:szCs w:val="28"/>
        </w:rPr>
        <w:t>人才培养方案全面修订流程图</w:t>
      </w:r>
    </w:p>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color w:val="000000"/>
        </w:rPr>
        <w:pict>
          <v:shape id="_x0000_i1027" o:spt="75" alt="qt_temp" type="#_x0000_t75" style="height:591.9pt;width:229.7pt;" filled="f" o:preferrelative="t" stroked="f" coordsize="21600,21600">
            <v:path/>
            <v:fill on="f" focussize="0,0"/>
            <v:stroke on="f"/>
            <v:imagedata r:id="rId15" o:title="qt_temp"/>
            <o:lock v:ext="edit" aspectratio="t"/>
            <w10:wrap type="none"/>
            <w10:anchorlock/>
          </v:shape>
        </w:pict>
      </w:r>
    </w:p>
    <w:p>
      <w:pPr>
        <w:pageBreakBefore w:val="0"/>
        <w:topLinePunct w:val="0"/>
        <w:bidi w:val="0"/>
        <w:outlineLvl w:val="9"/>
        <w:rPr>
          <w:rFonts w:hint="eastAsia" w:ascii="仿宋" w:hAnsi="仿宋" w:eastAsia="仿宋" w:cs="仿宋"/>
          <w:bCs/>
          <w:color w:val="000000"/>
          <w:sz w:val="28"/>
          <w:szCs w:val="28"/>
        </w:rPr>
      </w:pPr>
    </w:p>
    <w:p>
      <w:pPr>
        <w:pageBreakBefore w:val="0"/>
        <w:topLinePunct w:val="0"/>
        <w:bidi w:val="0"/>
        <w:outlineLvl w:val="9"/>
        <w:rPr>
          <w:rFonts w:hint="eastAsia" w:ascii="仿宋" w:hAnsi="仿宋" w:eastAsia="仿宋" w:cs="仿宋"/>
          <w:bCs/>
          <w:color w:val="000000"/>
          <w:sz w:val="28"/>
          <w:szCs w:val="28"/>
        </w:rPr>
      </w:pPr>
      <w:r>
        <w:rPr>
          <w:rFonts w:hint="eastAsia" w:ascii="仿宋" w:hAnsi="仿宋" w:eastAsia="仿宋" w:cs="仿宋"/>
          <w:bCs/>
          <w:color w:val="000000"/>
          <w:sz w:val="28"/>
          <w:szCs w:val="28"/>
        </w:rPr>
        <w:t>附件2</w:t>
      </w:r>
    </w:p>
    <w:p>
      <w:pPr>
        <w:pageBreakBefore w:val="0"/>
        <w:topLinePunct w:val="0"/>
        <w:bidi w:val="0"/>
        <w:jc w:val="center"/>
        <w:outlineLvl w:val="9"/>
        <w:rPr>
          <w:rFonts w:hint="eastAsia" w:ascii="仿宋" w:hAnsi="仿宋" w:eastAsia="仿宋" w:cs="仿宋"/>
          <w:bCs/>
          <w:color w:val="000000"/>
          <w:sz w:val="28"/>
          <w:szCs w:val="28"/>
        </w:rPr>
      </w:pPr>
      <w:r>
        <w:rPr>
          <w:rFonts w:hint="eastAsia" w:ascii="仿宋" w:hAnsi="仿宋" w:eastAsia="仿宋" w:cs="仿宋"/>
          <w:bCs/>
          <w:color w:val="000000"/>
          <w:sz w:val="28"/>
          <w:szCs w:val="28"/>
        </w:rPr>
        <w:t>专业人才培养方案局部调整流程图</w:t>
      </w:r>
    </w:p>
    <w:p>
      <w:pPr>
        <w:pageBreakBefore w:val="0"/>
        <w:topLinePunct w:val="0"/>
        <w:bidi w:val="0"/>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r>
        <w:rPr>
          <w:rFonts w:ascii="仿宋" w:hAnsi="仿宋" w:eastAsia="仿宋" w:cs="仿宋"/>
          <w:color w:val="000000"/>
        </w:rPr>
        <w:pict>
          <v:shape id="_x0000_i1028" o:spt="75" type="#_x0000_t75" style="height:475.5pt;width:193.5pt;" filled="f" stroked="f" coordsize="21600,21600">
            <v:path/>
            <v:fill on="f" focussize="0,0"/>
            <v:stroke on="f"/>
            <v:imagedata r:id="rId16" o:title=""/>
            <o:lock v:ext="edit" aspectratio="t"/>
            <w10:wrap type="none"/>
            <w10:anchorlock/>
          </v:shape>
        </w:pict>
      </w: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jc w:val="center"/>
        <w:outlineLvl w:val="9"/>
        <w:rPr>
          <w:rFonts w:hint="eastAsia" w:ascii="仿宋" w:hAnsi="仿宋" w:eastAsia="仿宋" w:cs="仿宋"/>
          <w:color w:val="000000"/>
        </w:rPr>
      </w:pPr>
    </w:p>
    <w:p>
      <w:pPr>
        <w:pageBreakBefore w:val="0"/>
        <w:topLinePunct w:val="0"/>
        <w:bidi w:val="0"/>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color w:val="FF0000"/>
          <w:sz w:val="24"/>
        </w:rPr>
      </w:pPr>
    </w:p>
    <w:p>
      <w:pPr>
        <w:pageBreakBefore w:val="0"/>
        <w:topLinePunct w:val="0"/>
        <w:bidi w:val="0"/>
        <w:jc w:val="center"/>
        <w:outlineLvl w:val="9"/>
        <w:rPr>
          <w:sz w:val="24"/>
        </w:rPr>
      </w:pPr>
    </w:p>
    <w:p>
      <w:pPr>
        <w:pageBreakBefore w:val="0"/>
        <w:topLinePunct w:val="0"/>
        <w:bidi w:val="0"/>
        <w:spacing w:before="156" w:beforeLines="50"/>
        <w:ind w:left="-735" w:leftChars="-3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eastAsia="仿宋_GB2312"/>
          <w:color w:val="000000"/>
          <w:kern w:val="0"/>
          <w:sz w:val="32"/>
          <w:szCs w:val="28"/>
        </w:rPr>
        <w:t>20</w:t>
      </w:r>
      <w:r>
        <w:rPr>
          <w:rFonts w:hint="eastAsia" w:eastAsia="仿宋_GB2312"/>
          <w:color w:val="000000"/>
          <w:kern w:val="0"/>
          <w:sz w:val="32"/>
          <w:szCs w:val="28"/>
          <w:lang w:val="en-US" w:eastAsia="zh-CN"/>
        </w:rPr>
        <w:t>20</w:t>
      </w:r>
      <w:r>
        <w:rPr>
          <w:rFonts w:hint="eastAsia" w:ascii="仿宋_GB2312" w:eastAsia="仿宋_GB2312"/>
          <w:color w:val="000000"/>
          <w:kern w:val="0"/>
          <w:sz w:val="32"/>
          <w:szCs w:val="28"/>
        </w:rPr>
        <w:t>〕</w:t>
      </w:r>
      <w:r>
        <w:rPr>
          <w:rFonts w:hint="eastAsia" w:ascii="仿宋_GB2312" w:eastAsia="仿宋_GB2312"/>
          <w:color w:val="000000"/>
          <w:kern w:val="0"/>
          <w:sz w:val="32"/>
          <w:szCs w:val="28"/>
          <w:lang w:val="en-US" w:eastAsia="zh-CN"/>
        </w:rPr>
        <w:t>95</w:t>
      </w:r>
      <w:r>
        <w:rPr>
          <w:rFonts w:hint="eastAsia" w:ascii="仿宋_GB2312" w:eastAsia="仿宋_GB2312"/>
          <w:color w:val="000000"/>
          <w:kern w:val="0"/>
          <w:sz w:val="32"/>
          <w:szCs w:val="28"/>
        </w:rPr>
        <w:t xml:space="preserve"> </w:t>
      </w:r>
      <w:r>
        <w:rPr>
          <w:rFonts w:eastAsia="仿宋_GB2312"/>
          <w:color w:val="000000"/>
          <w:kern w:val="0"/>
          <w:sz w:val="32"/>
          <w:szCs w:val="28"/>
        </w:rPr>
        <w:t>号</w:t>
      </w:r>
    </w:p>
    <w:p>
      <w:pPr>
        <w:pageBreakBefore w:val="0"/>
        <w:topLinePunct w:val="0"/>
        <w:bidi w:val="0"/>
        <w:outlineLvl w:val="9"/>
        <w:rPr>
          <w:rFonts w:eastAsia="仿宋_GB2312"/>
          <w:color w:val="FF0000"/>
          <w:sz w:val="36"/>
          <w:szCs w:val="36"/>
          <w:u w:val="thick"/>
        </w:rPr>
      </w:pPr>
      <w:r>
        <w:rPr>
          <w:rFonts w:eastAsia="仿宋_GB2312"/>
          <w:color w:val="FF0000"/>
          <w:sz w:val="36"/>
          <w:szCs w:val="36"/>
          <w:u w:val="thick"/>
        </w:rPr>
        <w:t xml:space="preserve">                                              </w:t>
      </w:r>
    </w:p>
    <w:p>
      <w:pPr>
        <w:pageBreakBefore w:val="0"/>
        <w:topLinePunct w:val="0"/>
        <w:bidi w:val="0"/>
        <w:outlineLvl w:val="9"/>
        <w:rPr>
          <w:rFonts w:ascii="华文中宋" w:hAnsi="华文中宋" w:eastAsia="华文中宋"/>
          <w:b/>
          <w:sz w:val="36"/>
          <w:szCs w:val="36"/>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0"/>
        <w:rPr>
          <w:rFonts w:hint="eastAsia" w:ascii="黑体" w:hAnsi="黑体" w:eastAsia="黑体" w:cs="黑体"/>
          <w:b/>
          <w:sz w:val="36"/>
          <w:szCs w:val="36"/>
        </w:rPr>
      </w:pPr>
      <w:bookmarkStart w:id="309" w:name="_Toc29426"/>
      <w:r>
        <w:rPr>
          <w:rFonts w:hint="eastAsia" w:ascii="黑体" w:hAnsi="黑体" w:eastAsia="黑体" w:cs="黑体"/>
          <w:b/>
          <w:sz w:val="36"/>
          <w:szCs w:val="36"/>
        </w:rPr>
        <w:t>关于印发《上海电子信息职业技术学院五年一贯制学生学籍管理规定》的通知</w:t>
      </w:r>
      <w:bookmarkEnd w:id="309"/>
    </w:p>
    <w:p>
      <w:pPr>
        <w:pageBreakBefore w:val="0"/>
        <w:topLinePunct w:val="0"/>
        <w:bidi w:val="0"/>
        <w:spacing w:line="520" w:lineRule="exact"/>
        <w:outlineLvl w:val="9"/>
        <w:rPr>
          <w:rFonts w:ascii="仿宋_GB2312" w:eastAsia="仿宋_GB2312"/>
          <w:sz w:val="28"/>
          <w:szCs w:val="28"/>
        </w:rPr>
      </w:pPr>
      <w:r>
        <w:rPr>
          <w:rFonts w:hint="eastAsia" w:ascii="仿宋_GB2312" w:eastAsia="仿宋_GB2312"/>
          <w:sz w:val="28"/>
          <w:szCs w:val="28"/>
        </w:rPr>
        <w:t>各教学单位、职能部门：</w:t>
      </w:r>
    </w:p>
    <w:p>
      <w:pPr>
        <w:pageBreakBefore w:val="0"/>
        <w:topLinePunct w:val="0"/>
        <w:bidi w:val="0"/>
        <w:spacing w:line="520" w:lineRule="exact"/>
        <w:ind w:firstLine="560" w:firstLineChars="200"/>
        <w:outlineLvl w:val="9"/>
        <w:rPr>
          <w:rFonts w:ascii="仿宋_GB2312" w:eastAsia="仿宋_GB2312"/>
          <w:sz w:val="28"/>
          <w:szCs w:val="28"/>
        </w:rPr>
      </w:pPr>
      <w:r>
        <w:rPr>
          <w:rFonts w:hint="eastAsia" w:ascii="仿宋_GB2312" w:eastAsia="仿宋_GB2312"/>
          <w:sz w:val="28"/>
          <w:szCs w:val="28"/>
        </w:rPr>
        <w:t>现将《上海电子信息职业技术学院五年一贯制学生学籍</w:t>
      </w:r>
      <w:r>
        <w:rPr>
          <w:rFonts w:ascii="仿宋_GB2312" w:eastAsia="仿宋_GB2312"/>
          <w:sz w:val="28"/>
          <w:szCs w:val="28"/>
        </w:rPr>
        <w:t>管理规定</w:t>
      </w:r>
      <w:r>
        <w:rPr>
          <w:rFonts w:hint="eastAsia" w:ascii="仿宋_GB2312" w:eastAsia="仿宋_GB2312"/>
          <w:sz w:val="28"/>
          <w:szCs w:val="28"/>
        </w:rPr>
        <w:t>》发给你们，请结合本部门工作实际，认真研究执行。</w:t>
      </w:r>
    </w:p>
    <w:p>
      <w:pPr>
        <w:pageBreakBefore w:val="0"/>
        <w:topLinePunct w:val="0"/>
        <w:bidi w:val="0"/>
        <w:spacing w:line="520" w:lineRule="exact"/>
        <w:ind w:firstLine="660"/>
        <w:jc w:val="center"/>
        <w:outlineLvl w:val="9"/>
        <w:rPr>
          <w:rFonts w:ascii="仿宋_GB2312" w:eastAsia="仿宋_GB2312"/>
          <w:sz w:val="28"/>
          <w:szCs w:val="28"/>
        </w:rPr>
      </w:pPr>
    </w:p>
    <w:p>
      <w:pPr>
        <w:pageBreakBefore w:val="0"/>
        <w:topLinePunct w:val="0"/>
        <w:bidi w:val="0"/>
        <w:spacing w:line="520" w:lineRule="exact"/>
        <w:jc w:val="left"/>
        <w:outlineLvl w:val="9"/>
        <w:rPr>
          <w:rFonts w:hint="eastAsia" w:ascii="仿宋_GB2312" w:eastAsia="仿宋_GB2312"/>
          <w:sz w:val="28"/>
          <w:szCs w:val="28"/>
        </w:rPr>
      </w:pPr>
    </w:p>
    <w:p>
      <w:pPr>
        <w:pageBreakBefore w:val="0"/>
        <w:topLinePunct w:val="0"/>
        <w:bidi w:val="0"/>
        <w:spacing w:line="520" w:lineRule="exact"/>
        <w:jc w:val="left"/>
        <w:outlineLvl w:val="9"/>
        <w:rPr>
          <w:rFonts w:hint="eastAsia" w:ascii="仿宋_GB2312" w:eastAsia="仿宋_GB2312"/>
          <w:sz w:val="28"/>
          <w:szCs w:val="28"/>
        </w:rPr>
      </w:pPr>
    </w:p>
    <w:p>
      <w:pPr>
        <w:pageBreakBefore w:val="0"/>
        <w:topLinePunct w:val="0"/>
        <w:bidi w:val="0"/>
        <w:spacing w:line="520" w:lineRule="exact"/>
        <w:jc w:val="left"/>
        <w:outlineLvl w:val="9"/>
        <w:rPr>
          <w:rFonts w:ascii="仿宋_GB2312" w:eastAsia="仿宋_GB2312"/>
          <w:sz w:val="28"/>
          <w:szCs w:val="28"/>
        </w:rPr>
      </w:pPr>
      <w:r>
        <w:rPr>
          <w:rFonts w:hint="eastAsia" w:ascii="仿宋_GB2312" w:eastAsia="仿宋_GB2312"/>
          <w:sz w:val="28"/>
          <w:szCs w:val="28"/>
        </w:rPr>
        <w:t>附件：上海电子信息职业技术学院五年一贯制学生</w:t>
      </w:r>
      <w:r>
        <w:rPr>
          <w:rFonts w:ascii="仿宋_GB2312" w:eastAsia="仿宋_GB2312"/>
          <w:sz w:val="28"/>
          <w:szCs w:val="28"/>
        </w:rPr>
        <w:t>学籍管理规定</w:t>
      </w:r>
    </w:p>
    <w:p>
      <w:pPr>
        <w:pageBreakBefore w:val="0"/>
        <w:topLinePunct w:val="0"/>
        <w:bidi w:val="0"/>
        <w:spacing w:line="520" w:lineRule="exact"/>
        <w:ind w:firstLine="1260" w:firstLineChars="450"/>
        <w:jc w:val="left"/>
        <w:outlineLvl w:val="9"/>
        <w:rPr>
          <w:rFonts w:ascii="仿宋_GB2312" w:eastAsia="仿宋_GB2312"/>
          <w:sz w:val="28"/>
          <w:szCs w:val="28"/>
        </w:rPr>
      </w:pPr>
    </w:p>
    <w:p>
      <w:pPr>
        <w:pageBreakBefore w:val="0"/>
        <w:topLinePunct w:val="0"/>
        <w:bidi w:val="0"/>
        <w:spacing w:line="520" w:lineRule="exact"/>
        <w:jc w:val="both"/>
        <w:outlineLvl w:val="9"/>
        <w:rPr>
          <w:rFonts w:ascii="仿宋_GB2312" w:eastAsia="仿宋_GB2312"/>
          <w:sz w:val="28"/>
          <w:szCs w:val="28"/>
        </w:rPr>
      </w:pPr>
    </w:p>
    <w:p>
      <w:pPr>
        <w:pageBreakBefore w:val="0"/>
        <w:topLinePunct w:val="0"/>
        <w:bidi w:val="0"/>
        <w:spacing w:line="520" w:lineRule="exact"/>
        <w:ind w:firstLine="660"/>
        <w:jc w:val="right"/>
        <w:outlineLvl w:val="9"/>
        <w:rPr>
          <w:rFonts w:ascii="仿宋_GB2312" w:eastAsia="仿宋_GB2312"/>
          <w:sz w:val="28"/>
          <w:szCs w:val="28"/>
        </w:rPr>
      </w:pPr>
      <w:r>
        <w:rPr>
          <w:rFonts w:hint="eastAsia" w:ascii="仿宋_GB2312" w:eastAsia="仿宋_GB2312"/>
          <w:sz w:val="28"/>
          <w:szCs w:val="28"/>
        </w:rPr>
        <w:t xml:space="preserve">上海电子信息职业技术学院 </w:t>
      </w:r>
    </w:p>
    <w:p>
      <w:pPr>
        <w:pageBreakBefore w:val="0"/>
        <w:topLinePunct w:val="0"/>
        <w:bidi w:val="0"/>
        <w:spacing w:line="520" w:lineRule="exact"/>
        <w:ind w:firstLine="660"/>
        <w:jc w:val="center"/>
        <w:outlineLvl w:val="9"/>
        <w:rPr>
          <w:rFonts w:ascii="仿宋_GB2312" w:eastAsia="仿宋_GB2312"/>
          <w:sz w:val="28"/>
          <w:szCs w:val="28"/>
        </w:rPr>
      </w:pPr>
      <w:r>
        <w:rPr>
          <w:rFonts w:hint="eastAsia" w:ascii="仿宋_GB2312" w:eastAsia="仿宋_GB2312"/>
          <w:sz w:val="28"/>
          <w:szCs w:val="28"/>
          <w:lang w:val="en-US" w:eastAsia="zh-CN"/>
        </w:rPr>
        <w:t xml:space="preserve">                        </w:t>
      </w:r>
      <w:r>
        <w:rPr>
          <w:rFonts w:hint="eastAsia" w:ascii="仿宋_GB2312" w:eastAsia="仿宋_GB2312"/>
          <w:sz w:val="28"/>
          <w:szCs w:val="28"/>
        </w:rPr>
        <w:t>20</w:t>
      </w:r>
      <w:r>
        <w:rPr>
          <w:rFonts w:hint="eastAsia" w:ascii="仿宋_GB2312" w:eastAsia="仿宋_GB2312"/>
          <w:sz w:val="28"/>
          <w:szCs w:val="28"/>
          <w:lang w:val="en-US" w:eastAsia="zh-CN"/>
        </w:rPr>
        <w:t>20</w:t>
      </w:r>
      <w:r>
        <w:rPr>
          <w:rFonts w:hint="eastAsia" w:ascii="仿宋_GB2312" w:eastAsia="仿宋_GB2312"/>
          <w:sz w:val="28"/>
          <w:szCs w:val="28"/>
        </w:rPr>
        <w:t xml:space="preserve"> 年 </w:t>
      </w:r>
      <w:r>
        <w:rPr>
          <w:rFonts w:hint="eastAsia" w:ascii="仿宋_GB2312" w:eastAsia="仿宋_GB2312"/>
          <w:sz w:val="28"/>
          <w:szCs w:val="28"/>
          <w:lang w:val="en-US" w:eastAsia="zh-CN"/>
        </w:rPr>
        <w:t>7</w:t>
      </w:r>
      <w:r>
        <w:rPr>
          <w:rFonts w:hint="eastAsia" w:ascii="仿宋_GB2312" w:eastAsia="仿宋_GB2312"/>
          <w:sz w:val="28"/>
          <w:szCs w:val="28"/>
        </w:rPr>
        <w:t>月</w:t>
      </w:r>
      <w:r>
        <w:rPr>
          <w:rFonts w:hint="eastAsia" w:ascii="仿宋_GB2312" w:eastAsia="仿宋_GB2312"/>
          <w:sz w:val="28"/>
          <w:szCs w:val="28"/>
          <w:lang w:val="en-US" w:eastAsia="zh-CN"/>
        </w:rPr>
        <w:t>26</w:t>
      </w:r>
      <w:r>
        <w:rPr>
          <w:rFonts w:hint="eastAsia" w:ascii="仿宋_GB2312" w:eastAsia="仿宋_GB2312"/>
          <w:sz w:val="28"/>
          <w:szCs w:val="28"/>
        </w:rPr>
        <w:t>日</w:t>
      </w:r>
    </w:p>
    <w:p>
      <w:pPr>
        <w:pageBreakBefore w:val="0"/>
        <w:topLinePunct w:val="0"/>
        <w:bidi w:val="0"/>
        <w:spacing w:after="312" w:afterLines="100" w:line="520" w:lineRule="exact"/>
        <w:jc w:val="center"/>
        <w:outlineLvl w:val="9"/>
        <w:rPr>
          <w:sz w:val="28"/>
          <w:szCs w:val="28"/>
        </w:rPr>
      </w:pPr>
    </w:p>
    <w:p>
      <w:pPr>
        <w:pageBreakBefore w:val="0"/>
        <w:topLinePunct w:val="0"/>
        <w:bidi w:val="0"/>
        <w:spacing w:line="520" w:lineRule="exact"/>
        <w:jc w:val="left"/>
        <w:outlineLvl w:val="9"/>
        <w:rPr>
          <w:rFonts w:hint="eastAsia" w:ascii="仿宋_GB2312" w:eastAsia="仿宋_GB2312"/>
          <w:sz w:val="28"/>
          <w:szCs w:val="28"/>
          <w:lang w:val="en-US" w:eastAsia="zh-CN"/>
        </w:rPr>
      </w:pPr>
      <w:r>
        <w:rPr>
          <w:rFonts w:hint="eastAsia" w:ascii="仿宋_GB2312" w:eastAsia="仿宋_GB2312"/>
          <w:sz w:val="28"/>
          <w:szCs w:val="28"/>
          <w:lang w:val="en-US" w:eastAsia="zh-CN"/>
        </w:rPr>
        <w:t>附件：</w:t>
      </w:r>
    </w:p>
    <w:p>
      <w:pPr>
        <w:pageBreakBefore w:val="0"/>
        <w:widowControl/>
        <w:topLinePunct w:val="0"/>
        <w:bidi w:val="0"/>
        <w:adjustRightInd w:val="0"/>
        <w:snapToGrid w:val="0"/>
        <w:spacing w:line="520" w:lineRule="exact"/>
        <w:ind w:firstLine="723" w:firstLineChars="200"/>
        <w:jc w:val="center"/>
        <w:outlineLvl w:val="9"/>
        <w:rPr>
          <w:rFonts w:hint="eastAsia" w:ascii="黑体" w:hAnsi="黑体" w:eastAsia="黑体" w:cs="黑体"/>
          <w:b/>
          <w:sz w:val="36"/>
          <w:szCs w:val="36"/>
          <w:lang w:val="en-US" w:eastAsia="zh-CN"/>
        </w:rPr>
      </w:pPr>
      <w:r>
        <w:rPr>
          <w:rFonts w:hint="eastAsia" w:ascii="黑体" w:hAnsi="黑体" w:eastAsia="黑体" w:cs="黑体"/>
          <w:b/>
          <w:sz w:val="36"/>
          <w:szCs w:val="36"/>
          <w:lang w:val="en-US" w:eastAsia="zh-CN"/>
        </w:rPr>
        <w:t>上海电子信息职业技术学院</w:t>
      </w:r>
    </w:p>
    <w:p>
      <w:pPr>
        <w:pageBreakBefore w:val="0"/>
        <w:widowControl/>
        <w:topLinePunct w:val="0"/>
        <w:bidi w:val="0"/>
        <w:adjustRightInd w:val="0"/>
        <w:snapToGrid w:val="0"/>
        <w:spacing w:line="520" w:lineRule="exact"/>
        <w:ind w:firstLine="723" w:firstLineChars="200"/>
        <w:jc w:val="center"/>
        <w:outlineLvl w:val="9"/>
        <w:rPr>
          <w:rFonts w:hint="eastAsia" w:ascii="黑体" w:hAnsi="黑体" w:eastAsia="黑体" w:cs="黑体"/>
          <w:b/>
          <w:sz w:val="36"/>
          <w:szCs w:val="36"/>
          <w:lang w:val="en-US" w:eastAsia="zh-CN"/>
        </w:rPr>
      </w:pPr>
      <w:r>
        <w:rPr>
          <w:rFonts w:hint="eastAsia" w:ascii="黑体" w:hAnsi="黑体" w:eastAsia="黑体" w:cs="黑体"/>
          <w:b/>
          <w:sz w:val="36"/>
          <w:szCs w:val="36"/>
          <w:lang w:val="en-US" w:eastAsia="zh-CN"/>
        </w:rPr>
        <w:t>五年一贯制学生学籍管理规定</w:t>
      </w:r>
    </w:p>
    <w:p>
      <w:pPr>
        <w:pageBreakBefore w:val="0"/>
        <w:widowControl/>
        <w:topLinePunct w:val="0"/>
        <w:bidi w:val="0"/>
        <w:adjustRightInd w:val="0"/>
        <w:snapToGrid w:val="0"/>
        <w:spacing w:line="500" w:lineRule="exact"/>
        <w:ind w:firstLine="3534" w:firstLineChars="1100"/>
        <w:jc w:val="left"/>
        <w:outlineLvl w:val="9"/>
        <w:rPr>
          <w:rFonts w:hint="eastAsia" w:eastAsia="仿宋_GB2312"/>
          <w:b/>
          <w:bCs/>
          <w:kern w:val="0"/>
          <w:sz w:val="32"/>
          <w:szCs w:val="32"/>
        </w:rPr>
      </w:pPr>
    </w:p>
    <w:p>
      <w:pPr>
        <w:pageBreakBefore w:val="0"/>
        <w:widowControl/>
        <w:topLinePunct w:val="0"/>
        <w:bidi w:val="0"/>
        <w:adjustRightInd w:val="0"/>
        <w:snapToGrid w:val="0"/>
        <w:spacing w:line="500" w:lineRule="exact"/>
        <w:ind w:firstLine="0" w:firstLineChars="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一、总则</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了全面贯彻国家教育方针，维护学校正常的教育教学秩序，保障学生合法权益，培养社会主义现代化建设需要的高素质技术技能人才，积极推进素质教育，注重能力培养，充分调动和发挥学生自主学习的积极性，使学生在德、智、体、美、劳等方面得到全面发展。根据教育部颁布的《普通高等学校学生管理规定》（教育部令第41号）和《上海市中等职业学校学生学籍管理实施办法》（沪教委规〔2018〕2号），特制订本规定。</w:t>
      </w:r>
    </w:p>
    <w:p>
      <w:pPr>
        <w:pageBreakBefore w:val="0"/>
        <w:widowControl/>
        <w:topLinePunct w:val="0"/>
        <w:bidi w:val="0"/>
        <w:adjustRightInd w:val="0"/>
        <w:snapToGrid w:val="0"/>
        <w:spacing w:line="500" w:lineRule="exact"/>
        <w:ind w:firstLine="0" w:firstLineChars="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二、入学与注册</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新生的录取必须符合国家有关招生规定、并经上海市教育委员会审核批准。录取的新生必须持录取通知书、身份证等有效证件，在学校规定的报到时间里到校办理入学手续。因故不能按期入学的，应在学校规定的报到时间内向学校提出书面请假申请，请假时间一般不得超过两周。未按时请假或请假期限届满未报到的，除因不可抗力等正当事由以外，视为放弃入学资格。</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校在报到时对新生入学资格进行初步审查，审查内容包括录取材料查验、身份查验、图像采集等。审查合格的办理入学手续，予以注册学籍；审查发现新生的录取通知书、考生信息等证明材料与本人实际情况不符，或者有其他违反国家招生考试规定情形的，取消入学资格。</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新生可以申请保留入学资格，保留入学资格期间不具有学籍。对患有疾病的新生，经二级甲等以上医院诊断不宜在学校学习的，可以申请保留入学资格一年。在保留入学资格期内经治疗康复，可以向学校申请入学，由二级甲等以上医院诊断，符合体检要求，经学校复查合格后，办理入学手续。逾期不办理入学手续且未有因不可抗力延迟等正当理由的，视为放弃入学资格。</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4．学校在新生报到入学三个月内按照国家招生规定进行复查，复查内容主要包括以下方面：</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（1）录取手续及程序等是否合乎国家招生规定；</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（2）所获得的录取资格是否真实、合乎相关规定；</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（3）本人及身份证明与录取通知、考生档案等是否一致；</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 身心健康状况是否符合报考专业或者专业类别体检要求，能否保证在校正常学习、生活；</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（5）艺术、体育等特殊类型录取学生的专业水平是否符合录取要求。</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复查中发现学生存在弄虚作假、徇私舞弊等情形的，确定为复查不合格，学校将取消该生学籍；情节严重的，移交有关部门调查处理。</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复查中发现学生身心状况不适宜在校学习，经二级甲等以上医院诊断需要在家休养的，可按照第3条规定办理保留入学资格。</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每学期开学时，学生须按学校规定在开学三周内办理注册手续。不能如期注册者，应当履行暂缓注册手续。注册、暂缓注册按照学校《学生注册管理办法》要求办理。未按学校规定缴纳学费或者有其他不符合注册条件的，不予注册。</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家庭经济困难的学生可以申请助学贷款或者其他形式资助，办妥有关手续后办理注册。</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6．凡取得我校学籍的学生，在籍期间不得报考国内外其他普通高等院校。</w:t>
      </w:r>
    </w:p>
    <w:p>
      <w:pPr>
        <w:pageBreakBefore w:val="0"/>
        <w:widowControl/>
        <w:topLinePunct w:val="0"/>
        <w:bidi w:val="0"/>
        <w:adjustRightInd w:val="0"/>
        <w:snapToGrid w:val="0"/>
        <w:spacing w:line="500" w:lineRule="exact"/>
        <w:ind w:firstLine="0" w:firstLineChars="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三、学籍档案</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7．新生入学后，学校为学生建立学籍档案，主要包括：报名录取档案材料、学籍卡、奖惩记载、学生成绩总表、毕业生登记表等。学生学籍档案由学校指定专人管理，按有关规定使用与转移。</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8．学生毕业、结业、退学或注销学籍后，学籍卡由学校归档、保存。</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9．学生在校期间个人身份信息修改的，需向学校提交由公安机关出具的相关身份信息变更证明等材料，经学校和上海市教育委员会审核后变更其有关信息。</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10．新生按入学时的录取专业确定学号；学号一经排定，不作更改。</w:t>
      </w:r>
    </w:p>
    <w:p>
      <w:pPr>
        <w:pageBreakBefore w:val="0"/>
        <w:widowControl/>
        <w:topLinePunct w:val="0"/>
        <w:bidi w:val="0"/>
        <w:adjustRightInd w:val="0"/>
        <w:snapToGrid w:val="0"/>
        <w:spacing w:line="500" w:lineRule="exact"/>
        <w:ind w:firstLine="0" w:firstLineChars="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四、学制与学分</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11．基本学制为五年。</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12．学生在校最长学习年限一般不得超过八年。</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13．专业人才培养方案规定修读的学分一般不得少于280学分,课程学分原则上为16-18课时1学分，集中实践性性环节课程30课时1学分。</w:t>
      </w:r>
    </w:p>
    <w:p>
      <w:pPr>
        <w:pageBreakBefore w:val="0"/>
        <w:widowControl/>
        <w:topLinePunct w:val="0"/>
        <w:bidi w:val="0"/>
        <w:adjustRightInd w:val="0"/>
        <w:snapToGrid w:val="0"/>
        <w:spacing w:line="500" w:lineRule="exact"/>
        <w:ind w:firstLine="0" w:firstLineChars="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五、课程考核与成绩记载</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14．各专业课程主要由公共基础必修课、专业必修课（以下简称“必修”），公共通识和公共艺术选修课、专业选修课（以下简称“选修”）等构成。学生应修读所在专业开设的所有课程，并按要求参加考核，考核成绩载入学生成绩总表，归入学生本人学籍档案。</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15．课程考核分为考试和考查两种，课程考核方式由各二级学院根据课程特点加以确定，并在人才培养方案中注明。成绩考核包括学业和德育两个方面，其中德育方面主要指对学生的思想品德、组织纪律、行为规范等方面进行考察评定，一般建议考试课程平时成绩占40%，期末成绩占60%；考查课程平时成绩占60%，期末成绩占40%。</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16．成绩包括获取方式和分值两部分：获取方式指正考、补考、复读等；分值指具体分数值，以百分制记。不同的成绩分值对应不同的绩点（考核成绩分值60分，对应成绩绩点为1.0，以后每增加1分对应增加0.1个绩点），对应关系如下：</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p>
    <w:tbl>
      <w:tblPr>
        <w:tblStyle w:val="37"/>
        <w:tblpPr w:leftFromText="180" w:rightFromText="180" w:vertAnchor="text" w:horzAnchor="page" w:tblpX="2829" w:tblpY="153"/>
        <w:tblOverlap w:val="never"/>
        <w:tblW w:w="6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9"/>
        <w:gridCol w:w="3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199" w:type="dxa"/>
            <w:noWrap w:val="0"/>
            <w:vAlign w:val="center"/>
          </w:tcPr>
          <w:p>
            <w:pPr>
              <w:pageBreakBefore w:val="0"/>
              <w:topLinePunct w:val="0"/>
              <w:autoSpaceDE w:val="0"/>
              <w:autoSpaceDN w:val="0"/>
              <w:bidi w:val="0"/>
              <w:ind w:firstLine="200"/>
              <w:jc w:val="center"/>
              <w:outlineLvl w:val="9"/>
              <w:rPr>
                <w:rFonts w:ascii="宋体" w:hAnsi="宋体"/>
                <w:color w:val="000000"/>
                <w:kern w:val="0"/>
                <w:szCs w:val="21"/>
              </w:rPr>
            </w:pPr>
            <w:r>
              <w:rPr>
                <w:rFonts w:hint="eastAsia" w:ascii="宋体" w:hAnsi="宋体"/>
                <w:color w:val="000000"/>
                <w:kern w:val="0"/>
                <w:szCs w:val="21"/>
              </w:rPr>
              <w:t>成绩分值</w:t>
            </w:r>
          </w:p>
        </w:tc>
        <w:tc>
          <w:tcPr>
            <w:tcW w:w="3201" w:type="dxa"/>
            <w:noWrap w:val="0"/>
            <w:vAlign w:val="center"/>
          </w:tcPr>
          <w:p>
            <w:pPr>
              <w:pageBreakBefore w:val="0"/>
              <w:topLinePunct w:val="0"/>
              <w:autoSpaceDE w:val="0"/>
              <w:autoSpaceDN w:val="0"/>
              <w:bidi w:val="0"/>
              <w:ind w:firstLine="200"/>
              <w:jc w:val="center"/>
              <w:outlineLvl w:val="9"/>
              <w:rPr>
                <w:rFonts w:ascii="宋体" w:hAnsi="宋体"/>
                <w:color w:val="000000"/>
                <w:kern w:val="0"/>
                <w:szCs w:val="21"/>
              </w:rPr>
            </w:pPr>
            <w:r>
              <w:rPr>
                <w:rFonts w:hint="eastAsia" w:ascii="宋体" w:hAnsi="宋体"/>
                <w:color w:val="000000"/>
                <w:kern w:val="0"/>
                <w:szCs w:val="21"/>
              </w:rPr>
              <w:t>绩点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199" w:type="dxa"/>
            <w:noWrap w:val="0"/>
            <w:vAlign w:val="center"/>
          </w:tcPr>
          <w:p>
            <w:pPr>
              <w:pageBreakBefore w:val="0"/>
              <w:topLinePunct w:val="0"/>
              <w:autoSpaceDE w:val="0"/>
              <w:autoSpaceDN w:val="0"/>
              <w:bidi w:val="0"/>
              <w:ind w:firstLine="200"/>
              <w:jc w:val="center"/>
              <w:outlineLvl w:val="9"/>
              <w:rPr>
                <w:rFonts w:ascii="宋体" w:hAnsi="宋体"/>
                <w:color w:val="000000"/>
                <w:kern w:val="0"/>
                <w:szCs w:val="21"/>
              </w:rPr>
            </w:pPr>
            <w:r>
              <w:rPr>
                <w:rFonts w:hint="eastAsia" w:ascii="宋体" w:hAnsi="宋体"/>
                <w:color w:val="000000"/>
                <w:kern w:val="0"/>
                <w:szCs w:val="21"/>
              </w:rPr>
              <w:t>≥90</w:t>
            </w:r>
          </w:p>
        </w:tc>
        <w:tc>
          <w:tcPr>
            <w:tcW w:w="3201" w:type="dxa"/>
            <w:noWrap w:val="0"/>
            <w:vAlign w:val="center"/>
          </w:tcPr>
          <w:p>
            <w:pPr>
              <w:pageBreakBefore w:val="0"/>
              <w:topLinePunct w:val="0"/>
              <w:autoSpaceDE w:val="0"/>
              <w:autoSpaceDN w:val="0"/>
              <w:bidi w:val="0"/>
              <w:ind w:firstLine="200"/>
              <w:jc w:val="center"/>
              <w:outlineLvl w:val="9"/>
              <w:rPr>
                <w:rFonts w:ascii="宋体" w:hAnsi="宋体"/>
                <w:color w:val="000000"/>
                <w:kern w:val="0"/>
                <w:szCs w:val="21"/>
              </w:rPr>
            </w:pPr>
            <w:r>
              <w:rPr>
                <w:rFonts w:ascii="宋体" w:hAnsi="宋体"/>
                <w:color w:val="000000"/>
                <w:szCs w:val="21"/>
              </w:rPr>
              <w:t>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199" w:type="dxa"/>
            <w:noWrap w:val="0"/>
            <w:vAlign w:val="center"/>
          </w:tcPr>
          <w:p>
            <w:pPr>
              <w:pageBreakBefore w:val="0"/>
              <w:topLinePunct w:val="0"/>
              <w:autoSpaceDE w:val="0"/>
              <w:autoSpaceDN w:val="0"/>
              <w:bidi w:val="0"/>
              <w:ind w:firstLine="200"/>
              <w:jc w:val="center"/>
              <w:outlineLvl w:val="9"/>
              <w:rPr>
                <w:rFonts w:ascii="宋体" w:hAnsi="宋体"/>
                <w:color w:val="000000"/>
                <w:kern w:val="0"/>
                <w:szCs w:val="21"/>
              </w:rPr>
            </w:pPr>
            <w:r>
              <w:rPr>
                <w:rFonts w:hint="eastAsia" w:ascii="宋体" w:hAnsi="宋体"/>
                <w:color w:val="000000"/>
                <w:kern w:val="0"/>
                <w:szCs w:val="21"/>
              </w:rPr>
              <w:t>80</w:t>
            </w:r>
            <w:r>
              <w:rPr>
                <w:rFonts w:ascii="宋体" w:hAnsi="宋体"/>
                <w:color w:val="000000"/>
                <w:kern w:val="0"/>
                <w:szCs w:val="21"/>
              </w:rPr>
              <w:t>-89</w:t>
            </w:r>
          </w:p>
        </w:tc>
        <w:tc>
          <w:tcPr>
            <w:tcW w:w="3201" w:type="dxa"/>
            <w:noWrap w:val="0"/>
            <w:vAlign w:val="center"/>
          </w:tcPr>
          <w:p>
            <w:pPr>
              <w:pageBreakBefore w:val="0"/>
              <w:topLinePunct w:val="0"/>
              <w:autoSpaceDE w:val="0"/>
              <w:autoSpaceDN w:val="0"/>
              <w:bidi w:val="0"/>
              <w:ind w:firstLine="200"/>
              <w:jc w:val="center"/>
              <w:outlineLvl w:val="9"/>
              <w:rPr>
                <w:rFonts w:ascii="宋体" w:hAnsi="宋体"/>
                <w:color w:val="000000"/>
                <w:kern w:val="0"/>
                <w:szCs w:val="21"/>
              </w:rPr>
            </w:pPr>
            <w:r>
              <w:rPr>
                <w:rFonts w:ascii="宋体" w:hAnsi="宋体"/>
                <w:color w:val="000000"/>
                <w:szCs w:val="21"/>
              </w:rPr>
              <w:t>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199" w:type="dxa"/>
            <w:noWrap w:val="0"/>
            <w:vAlign w:val="center"/>
          </w:tcPr>
          <w:p>
            <w:pPr>
              <w:pageBreakBefore w:val="0"/>
              <w:topLinePunct w:val="0"/>
              <w:autoSpaceDE w:val="0"/>
              <w:autoSpaceDN w:val="0"/>
              <w:bidi w:val="0"/>
              <w:ind w:firstLine="200"/>
              <w:jc w:val="center"/>
              <w:outlineLvl w:val="9"/>
              <w:rPr>
                <w:rFonts w:ascii="宋体" w:hAnsi="宋体"/>
                <w:color w:val="000000"/>
                <w:kern w:val="0"/>
                <w:szCs w:val="21"/>
              </w:rPr>
            </w:pPr>
            <w:r>
              <w:rPr>
                <w:rFonts w:hint="eastAsia" w:ascii="宋体" w:hAnsi="宋体"/>
                <w:color w:val="000000"/>
                <w:kern w:val="0"/>
                <w:szCs w:val="21"/>
              </w:rPr>
              <w:t>70</w:t>
            </w:r>
            <w:r>
              <w:rPr>
                <w:rFonts w:ascii="宋体" w:hAnsi="宋体"/>
                <w:color w:val="000000"/>
                <w:kern w:val="0"/>
                <w:szCs w:val="21"/>
              </w:rPr>
              <w:t>-79</w:t>
            </w:r>
          </w:p>
        </w:tc>
        <w:tc>
          <w:tcPr>
            <w:tcW w:w="3201" w:type="dxa"/>
            <w:noWrap w:val="0"/>
            <w:vAlign w:val="center"/>
          </w:tcPr>
          <w:p>
            <w:pPr>
              <w:pageBreakBefore w:val="0"/>
              <w:topLinePunct w:val="0"/>
              <w:autoSpaceDE w:val="0"/>
              <w:autoSpaceDN w:val="0"/>
              <w:bidi w:val="0"/>
              <w:ind w:firstLine="200"/>
              <w:jc w:val="center"/>
              <w:outlineLvl w:val="9"/>
              <w:rPr>
                <w:rFonts w:ascii="宋体" w:hAnsi="宋体"/>
                <w:color w:val="000000"/>
                <w:kern w:val="0"/>
                <w:szCs w:val="21"/>
              </w:rPr>
            </w:pPr>
            <w:r>
              <w:rPr>
                <w:rFonts w:ascii="宋体" w:hAnsi="宋体"/>
                <w:color w:val="000000"/>
                <w:szCs w:val="21"/>
              </w:rPr>
              <w:t>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199" w:type="dxa"/>
            <w:noWrap w:val="0"/>
            <w:vAlign w:val="center"/>
          </w:tcPr>
          <w:p>
            <w:pPr>
              <w:pageBreakBefore w:val="0"/>
              <w:topLinePunct w:val="0"/>
              <w:autoSpaceDE w:val="0"/>
              <w:autoSpaceDN w:val="0"/>
              <w:bidi w:val="0"/>
              <w:ind w:firstLine="200"/>
              <w:jc w:val="center"/>
              <w:outlineLvl w:val="9"/>
              <w:rPr>
                <w:rFonts w:ascii="宋体" w:hAnsi="宋体"/>
                <w:color w:val="000000"/>
                <w:kern w:val="0"/>
                <w:szCs w:val="21"/>
              </w:rPr>
            </w:pPr>
            <w:r>
              <w:rPr>
                <w:rFonts w:hint="eastAsia" w:ascii="宋体" w:hAnsi="宋体"/>
                <w:color w:val="000000"/>
                <w:kern w:val="0"/>
                <w:szCs w:val="21"/>
              </w:rPr>
              <w:t>60</w:t>
            </w:r>
            <w:r>
              <w:rPr>
                <w:rFonts w:ascii="宋体" w:hAnsi="宋体"/>
                <w:color w:val="000000"/>
                <w:kern w:val="0"/>
                <w:szCs w:val="21"/>
              </w:rPr>
              <w:t>-69</w:t>
            </w:r>
          </w:p>
        </w:tc>
        <w:tc>
          <w:tcPr>
            <w:tcW w:w="3201" w:type="dxa"/>
            <w:noWrap w:val="0"/>
            <w:vAlign w:val="center"/>
          </w:tcPr>
          <w:p>
            <w:pPr>
              <w:pageBreakBefore w:val="0"/>
              <w:topLinePunct w:val="0"/>
              <w:autoSpaceDE w:val="0"/>
              <w:autoSpaceDN w:val="0"/>
              <w:bidi w:val="0"/>
              <w:ind w:firstLine="200"/>
              <w:jc w:val="center"/>
              <w:outlineLvl w:val="9"/>
              <w:rPr>
                <w:rFonts w:ascii="宋体" w:hAnsi="宋体"/>
                <w:color w:val="000000"/>
                <w:kern w:val="0"/>
                <w:szCs w:val="21"/>
              </w:rPr>
            </w:pPr>
            <w:r>
              <w:rPr>
                <w:rFonts w:ascii="宋体" w:hAnsi="宋体"/>
                <w:color w:val="000000"/>
                <w:szCs w:val="21"/>
              </w:rPr>
              <w:t>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199" w:type="dxa"/>
            <w:noWrap w:val="0"/>
            <w:vAlign w:val="center"/>
          </w:tcPr>
          <w:p>
            <w:pPr>
              <w:pageBreakBefore w:val="0"/>
              <w:topLinePunct w:val="0"/>
              <w:autoSpaceDE w:val="0"/>
              <w:autoSpaceDN w:val="0"/>
              <w:bidi w:val="0"/>
              <w:ind w:firstLine="200"/>
              <w:jc w:val="center"/>
              <w:outlineLvl w:val="9"/>
              <w:rPr>
                <w:rFonts w:ascii="宋体" w:hAnsi="宋体"/>
                <w:color w:val="000000"/>
                <w:kern w:val="0"/>
                <w:szCs w:val="21"/>
              </w:rPr>
            </w:pPr>
            <w:r>
              <w:rPr>
                <w:rFonts w:hint="eastAsia" w:ascii="宋体" w:hAnsi="宋体"/>
                <w:color w:val="000000"/>
                <w:kern w:val="0"/>
                <w:szCs w:val="21"/>
              </w:rPr>
              <w:t>&lt;60</w:t>
            </w:r>
          </w:p>
        </w:tc>
        <w:tc>
          <w:tcPr>
            <w:tcW w:w="3201" w:type="dxa"/>
            <w:noWrap w:val="0"/>
            <w:vAlign w:val="center"/>
          </w:tcPr>
          <w:p>
            <w:pPr>
              <w:pageBreakBefore w:val="0"/>
              <w:topLinePunct w:val="0"/>
              <w:autoSpaceDE w:val="0"/>
              <w:autoSpaceDN w:val="0"/>
              <w:bidi w:val="0"/>
              <w:ind w:firstLine="200"/>
              <w:jc w:val="center"/>
              <w:outlineLvl w:val="9"/>
              <w:rPr>
                <w:rFonts w:ascii="宋体" w:hAnsi="宋体"/>
                <w:color w:val="000000"/>
                <w:kern w:val="0"/>
                <w:szCs w:val="21"/>
              </w:rPr>
            </w:pPr>
            <w:r>
              <w:rPr>
                <w:rFonts w:hint="eastAsia" w:ascii="宋体" w:hAnsi="宋体"/>
                <w:color w:val="000000"/>
                <w:kern w:val="0"/>
                <w:szCs w:val="21"/>
              </w:rPr>
              <w:t>0</w:t>
            </w:r>
          </w:p>
        </w:tc>
      </w:tr>
    </w:tbl>
    <w:p>
      <w:pPr>
        <w:pageBreakBefore w:val="0"/>
        <w:topLinePunct w:val="0"/>
        <w:autoSpaceDE w:val="0"/>
        <w:autoSpaceDN w:val="0"/>
        <w:bidi w:val="0"/>
        <w:ind w:firstLine="420" w:firstLineChars="200"/>
        <w:outlineLvl w:val="9"/>
        <w:rPr>
          <w:rFonts w:ascii="宋体" w:hAnsi="宋体"/>
          <w:color w:val="000000"/>
          <w:kern w:val="0"/>
          <w:szCs w:val="21"/>
        </w:rPr>
      </w:pP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一门课程的成绩记载包括成绩分值、学分、绩点和课程性质（必修、选修、限选）等。学生成绩总表中还应包括学生修读学分总数和平均绩点，其中平均绩点的计算方法为：</w:t>
      </w:r>
    </w:p>
    <w:p>
      <w:pPr>
        <w:pageBreakBefore w:val="0"/>
        <w:topLinePunct w:val="0"/>
        <w:autoSpaceDE w:val="0"/>
        <w:autoSpaceDN w:val="0"/>
        <w:bidi w:val="0"/>
        <w:ind w:firstLine="420" w:firstLineChars="200"/>
        <w:outlineLvl w:val="9"/>
        <w:rPr>
          <w:rFonts w:ascii="宋体"/>
          <w:color w:val="000000"/>
          <w:kern w:val="0"/>
          <w:szCs w:val="21"/>
        </w:rPr>
      </w:pPr>
    </w:p>
    <w:p>
      <w:pPr>
        <w:pageBreakBefore w:val="0"/>
        <w:topLinePunct w:val="0"/>
        <w:autoSpaceDE w:val="0"/>
        <w:autoSpaceDN w:val="0"/>
        <w:bidi w:val="0"/>
        <w:ind w:firstLine="420" w:firstLineChars="200"/>
        <w:outlineLvl w:val="9"/>
        <w:rPr>
          <w:rFonts w:ascii="宋体"/>
          <w:color w:val="000000"/>
          <w:kern w:val="0"/>
          <w:szCs w:val="21"/>
        </w:rPr>
      </w:pPr>
      <w:r>
        <w:rPr>
          <w:rFonts w:ascii="宋体" w:hAnsi="宋体"/>
          <w:color w:val="000000"/>
          <w:szCs w:val="21"/>
        </w:rPr>
        <w:pict>
          <v:shape id="Object 301" o:spid="_x0000_s1160" o:spt="75" type="#_x0000_t75" style="position:absolute;left:0pt;margin-left:167.7pt;margin-top:-0.15pt;height:45pt;width:108.7pt;mso-wrap-distance-bottom:0pt;mso-wrap-distance-left:9pt;mso-wrap-distance-right:9pt;mso-wrap-distance-top:0pt;z-index:251774976;mso-width-relative:page;mso-height-relative:page;" o:ole="t" filled="f" o:preferrelative="f" stroked="f" coordsize="21600,21600">
            <v:path/>
            <v:fill on="f" focussize="0,0"/>
            <v:stroke on="f" joinstyle="miter"/>
            <v:imagedata r:id="rId13" o:title=""/>
            <o:lock v:ext="edit" aspectratio="f"/>
            <w10:wrap type="square"/>
          </v:shape>
          <o:OLEObject Type="Embed" ProgID="" ShapeID="Object 301" DrawAspect="Content" ObjectID="_1468075727" r:id="rId17">
            <o:LockedField>false</o:LockedField>
          </o:OLEObject>
        </w:pict>
      </w:r>
    </w:p>
    <w:p>
      <w:pPr>
        <w:pageBreakBefore w:val="0"/>
        <w:topLinePunct w:val="0"/>
        <w:bidi w:val="0"/>
        <w:ind w:firstLine="2205" w:firstLineChars="1050"/>
        <w:outlineLvl w:val="9"/>
        <w:rPr>
          <w:rFonts w:ascii="宋体" w:hAnsi="宋体"/>
          <w:color w:val="000000"/>
          <w:szCs w:val="21"/>
        </w:rPr>
      </w:pPr>
      <w:r>
        <w:rPr>
          <w:rFonts w:ascii="宋体" w:hAnsi="宋体"/>
          <w:color w:val="000000"/>
          <w:szCs w:val="21"/>
        </w:rPr>
        <w:t>平均绩点=</w:t>
      </w:r>
    </w:p>
    <w:p>
      <w:pPr>
        <w:pageBreakBefore w:val="0"/>
        <w:topLinePunct w:val="0"/>
        <w:bidi w:val="0"/>
        <w:jc w:val="right"/>
        <w:outlineLvl w:val="9"/>
        <w:rPr>
          <w:rFonts w:ascii="宋体" w:hAnsi="宋体"/>
          <w:color w:val="000000"/>
          <w:szCs w:val="21"/>
        </w:rPr>
      </w:pPr>
    </w:p>
    <w:p>
      <w:pPr>
        <w:pageBreakBefore w:val="0"/>
        <w:topLinePunct w:val="0"/>
        <w:bidi w:val="0"/>
        <w:ind w:firstLine="1995" w:firstLineChars="950"/>
        <w:outlineLvl w:val="9"/>
        <w:rPr>
          <w:rFonts w:ascii="宋体" w:hAnsi="宋体"/>
          <w:color w:val="000000"/>
          <w:szCs w:val="21"/>
        </w:rPr>
      </w:pPr>
      <w:r>
        <w:rPr>
          <w:rFonts w:hint="eastAsia" w:ascii="宋体" w:hAnsi="宋体"/>
          <w:color w:val="000000"/>
          <w:szCs w:val="21"/>
        </w:rPr>
        <w:t>（其中：</w:t>
      </w:r>
      <w:r>
        <w:rPr>
          <w:rFonts w:ascii="宋体" w:hAnsi="宋体"/>
          <w:color w:val="000000"/>
          <w:szCs w:val="21"/>
        </w:rPr>
        <w:t>课程的学分绩点＝</w:t>
      </w:r>
      <w:r>
        <w:rPr>
          <w:rFonts w:hint="eastAsia" w:ascii="宋体" w:hAnsi="宋体"/>
          <w:color w:val="000000"/>
          <w:szCs w:val="21"/>
        </w:rPr>
        <w:t>学分</w:t>
      </w:r>
      <w:r>
        <w:rPr>
          <w:rFonts w:ascii="宋体" w:hAnsi="宋体"/>
          <w:color w:val="000000"/>
          <w:szCs w:val="21"/>
        </w:rPr>
        <w:t>×</w:t>
      </w:r>
      <w:r>
        <w:rPr>
          <w:rFonts w:hint="eastAsia" w:ascii="宋体" w:hAnsi="宋体"/>
          <w:color w:val="000000"/>
          <w:szCs w:val="21"/>
        </w:rPr>
        <w:t>绩点）</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17．学生体育成绩评定突出过程管理，主要根据考勤、课内教学、课外锻炼活动和体质健康等情况综合评定。</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18．学生参加创新创业、社会实践等活动以及发表论文、获得专利授权等与专业学习、学业要求相关的经历、成果，由二级学院审定，可以折算为创新创业教育学分，计入学业成绩。</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19．军事理论属于必修课，学生因身体疾病或某种生理缺陷，经二级甲等以上医院诊断不能正常参加军事技能的，可在军训前向所在二级学院提出缓训、免训或半训申请，并报武装部审核批准。</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20．学生旷课累计达到某门课程教学时数三分之一者，不得参加该课程的考核，必须复读该课程。</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21．为保证考试顺利进行，考试期间原则上不准请假。因故不能参加考试的学生须在考试前申请缓考，一门课程学生只准申请缓考一次，原则上补考不得申请缓考。缓考不及格者，不再予以补考，应复读该门课程。</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22．凡缺考或考试作弊者，不准补考，学生必须复读该课程，并在学籍档案的相应位置注明“旷缺”或“作弊”字样。</w:t>
      </w:r>
    </w:p>
    <w:p>
      <w:pPr>
        <w:pageBreakBefore w:val="0"/>
        <w:widowControl/>
        <w:topLinePunct w:val="0"/>
        <w:bidi w:val="0"/>
        <w:adjustRightInd w:val="0"/>
        <w:snapToGrid w:val="0"/>
        <w:spacing w:line="500" w:lineRule="exact"/>
        <w:ind w:firstLine="0" w:firstLineChars="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六、选课与免修</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23．按《学分制管理规定》的要求，学生实行选课学习。学生应按专业人才培养方案的安排修读各门课程，并在规定的学习年限内取得所学专业规定修读的所有学分。</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24．学生在每学期选课前应详细阅读本专业的人才培养方案和课程简介，根据本人的学习能力慎重选课。</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25．已修读过并取得学分的课程不得再修。</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26．除人才培养方案规定的思想政治教育、安全教育、创业创新教育、体育、劳动、艺术和实践性教学等课程外，其他课程满足以下几种情况可以申请免修并取得折算成绩，或参加考试，以考试成绩记分：</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（1）学生降级后，原已修读并取得学分的课程可以免修。</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持有高等教育自学考试单科合格证书或持有国家、上海市人力资源与社会保障部门颁发的职业资格证书或行企业职业技能等级证书的学生，可申请免修与教学标准要求相一致的课程。经审核批准后，给予相应学分，成绩以80分计，并在学籍档案中记录证书明细。</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学生参加上海电子信息职业技术学院考点组织的高等学校英语应用能力考试，获取高等学校英语应用能力考试A级证书（艺术类专业学生获取B级证书），可免修或抵充考试所在学期的实用英语课程，并给予相应学分，成绩以80分计；学生参加上海电子信息职业技术学院考点组织的大学英语四级考试，成绩在425分(含425分)以上，可免修或抵充实用英语课程，并给予相应学分，成绩以80分计。</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（4）学生参加上海电子信息职业技术学院考点组织的上海市高校计算机等级考试，获得一级证书，可免修或抵充计算机应用基础课程，并给予相应学分，成绩优秀的以80分计，成绩合格的以60分计。</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（5）学生参加上海一类、全国二类以上职业技能竞赛，取得三等奖以上成绩的，可免修参加竞赛所在学期的相应课程，取得相应的学分，具体成绩折算方法为：</w:t>
      </w:r>
    </w:p>
    <w:tbl>
      <w:tblPr>
        <w:tblStyle w:val="37"/>
        <w:tblW w:w="7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312"/>
        <w:gridCol w:w="1842"/>
        <w:gridCol w:w="1938"/>
        <w:gridCol w:w="1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jc w:val="center"/>
        </w:trPr>
        <w:tc>
          <w:tcPr>
            <w:tcW w:w="1145" w:type="dxa"/>
            <w:noWrap w:val="0"/>
            <w:vAlign w:val="center"/>
          </w:tcPr>
          <w:p>
            <w:pPr>
              <w:pageBreakBefore w:val="0"/>
              <w:topLinePunct w:val="0"/>
              <w:autoSpaceDE w:val="0"/>
              <w:autoSpaceDN w:val="0"/>
              <w:bidi w:val="0"/>
              <w:spacing w:line="360" w:lineRule="exact"/>
              <w:jc w:val="center"/>
              <w:outlineLvl w:val="9"/>
              <w:rPr>
                <w:rFonts w:ascii="宋体"/>
                <w:kern w:val="0"/>
                <w:sz w:val="18"/>
                <w:szCs w:val="21"/>
              </w:rPr>
            </w:pPr>
            <w:r>
              <w:rPr>
                <w:rFonts w:hint="eastAsia" w:ascii="宋体" w:hAnsi="宋体"/>
                <w:kern w:val="0"/>
                <w:sz w:val="18"/>
                <w:szCs w:val="21"/>
              </w:rPr>
              <w:t>等第</w:t>
            </w:r>
          </w:p>
        </w:tc>
        <w:tc>
          <w:tcPr>
            <w:tcW w:w="1312" w:type="dxa"/>
            <w:noWrap w:val="0"/>
            <w:vAlign w:val="center"/>
          </w:tcPr>
          <w:p>
            <w:pPr>
              <w:pageBreakBefore w:val="0"/>
              <w:topLinePunct w:val="0"/>
              <w:autoSpaceDE w:val="0"/>
              <w:autoSpaceDN w:val="0"/>
              <w:bidi w:val="0"/>
              <w:spacing w:line="360" w:lineRule="exact"/>
              <w:jc w:val="center"/>
              <w:outlineLvl w:val="9"/>
              <w:rPr>
                <w:rFonts w:ascii="宋体"/>
                <w:color w:val="auto"/>
                <w:kern w:val="0"/>
                <w:sz w:val="18"/>
                <w:szCs w:val="21"/>
              </w:rPr>
            </w:pPr>
            <w:r>
              <w:rPr>
                <w:rFonts w:hint="eastAsia" w:ascii="宋体" w:hAnsi="宋体"/>
                <w:color w:val="auto"/>
                <w:kern w:val="0"/>
                <w:sz w:val="18"/>
                <w:szCs w:val="21"/>
                <w:lang w:eastAsia="zh-CN"/>
              </w:rPr>
              <w:t>全国一类二等奖及以上或</w:t>
            </w:r>
            <w:r>
              <w:rPr>
                <w:rFonts w:hint="eastAsia" w:ascii="宋体" w:hAnsi="宋体"/>
                <w:color w:val="auto"/>
                <w:kern w:val="0"/>
                <w:sz w:val="18"/>
                <w:szCs w:val="21"/>
              </w:rPr>
              <w:t>全国二类</w:t>
            </w:r>
            <w:r>
              <w:rPr>
                <w:rFonts w:hint="eastAsia" w:ascii="宋体" w:hAnsi="宋体"/>
                <w:color w:val="auto"/>
                <w:kern w:val="0"/>
                <w:sz w:val="18"/>
                <w:szCs w:val="21"/>
                <w:lang w:eastAsia="zh-CN"/>
              </w:rPr>
              <w:t>、上海一类</w:t>
            </w:r>
            <w:r>
              <w:rPr>
                <w:rFonts w:hint="eastAsia" w:ascii="宋体" w:hAnsi="宋体"/>
                <w:color w:val="auto"/>
                <w:kern w:val="0"/>
                <w:sz w:val="18"/>
                <w:szCs w:val="21"/>
              </w:rPr>
              <w:t>一等奖及以上</w:t>
            </w:r>
          </w:p>
        </w:tc>
        <w:tc>
          <w:tcPr>
            <w:tcW w:w="1842" w:type="dxa"/>
            <w:noWrap w:val="0"/>
            <w:vAlign w:val="center"/>
          </w:tcPr>
          <w:p>
            <w:pPr>
              <w:pageBreakBefore w:val="0"/>
              <w:topLinePunct w:val="0"/>
              <w:autoSpaceDE w:val="0"/>
              <w:autoSpaceDN w:val="0"/>
              <w:bidi w:val="0"/>
              <w:spacing w:line="360" w:lineRule="exact"/>
              <w:jc w:val="center"/>
              <w:outlineLvl w:val="9"/>
              <w:rPr>
                <w:rFonts w:ascii="宋体"/>
                <w:color w:val="auto"/>
                <w:kern w:val="0"/>
                <w:sz w:val="18"/>
                <w:szCs w:val="21"/>
              </w:rPr>
            </w:pPr>
            <w:r>
              <w:rPr>
                <w:rFonts w:hint="eastAsia" w:ascii="宋体" w:hAnsi="宋体"/>
                <w:color w:val="auto"/>
                <w:kern w:val="0"/>
                <w:sz w:val="18"/>
                <w:szCs w:val="21"/>
                <w:lang w:eastAsia="zh-CN"/>
              </w:rPr>
              <w:t>全国一类三等奖或</w:t>
            </w:r>
            <w:r>
              <w:rPr>
                <w:rFonts w:hint="eastAsia" w:ascii="宋体" w:hAnsi="宋体"/>
                <w:color w:val="auto"/>
                <w:kern w:val="0"/>
                <w:sz w:val="18"/>
                <w:szCs w:val="21"/>
              </w:rPr>
              <w:t>全国二类</w:t>
            </w:r>
            <w:r>
              <w:rPr>
                <w:rFonts w:ascii="宋体" w:hAnsi="宋体"/>
                <w:color w:val="auto"/>
                <w:kern w:val="0"/>
                <w:sz w:val="18"/>
                <w:szCs w:val="21"/>
              </w:rPr>
              <w:t>/</w:t>
            </w:r>
            <w:r>
              <w:rPr>
                <w:rFonts w:hint="eastAsia" w:ascii="宋体" w:hAnsi="宋体"/>
                <w:color w:val="auto"/>
                <w:kern w:val="0"/>
                <w:sz w:val="18"/>
                <w:szCs w:val="21"/>
              </w:rPr>
              <w:t>上海一类</w:t>
            </w:r>
            <w:r>
              <w:rPr>
                <w:rFonts w:hint="eastAsia" w:ascii="宋体" w:hAnsi="宋体"/>
                <w:color w:val="auto"/>
                <w:kern w:val="0"/>
                <w:sz w:val="18"/>
                <w:szCs w:val="21"/>
                <w:lang w:eastAsia="zh-CN"/>
              </w:rPr>
              <w:t>二</w:t>
            </w:r>
            <w:r>
              <w:rPr>
                <w:rFonts w:hint="eastAsia" w:ascii="宋体" w:hAnsi="宋体"/>
                <w:color w:val="auto"/>
                <w:kern w:val="0"/>
                <w:sz w:val="18"/>
                <w:szCs w:val="21"/>
              </w:rPr>
              <w:t>等奖</w:t>
            </w:r>
          </w:p>
        </w:tc>
        <w:tc>
          <w:tcPr>
            <w:tcW w:w="1938" w:type="dxa"/>
            <w:noWrap w:val="0"/>
            <w:vAlign w:val="center"/>
          </w:tcPr>
          <w:p>
            <w:pPr>
              <w:pageBreakBefore w:val="0"/>
              <w:topLinePunct w:val="0"/>
              <w:autoSpaceDE w:val="0"/>
              <w:autoSpaceDN w:val="0"/>
              <w:bidi w:val="0"/>
              <w:spacing w:line="360" w:lineRule="exact"/>
              <w:jc w:val="center"/>
              <w:outlineLvl w:val="9"/>
              <w:rPr>
                <w:rFonts w:ascii="宋体"/>
                <w:color w:val="auto"/>
                <w:kern w:val="0"/>
                <w:sz w:val="18"/>
                <w:szCs w:val="21"/>
              </w:rPr>
            </w:pPr>
            <w:r>
              <w:rPr>
                <w:rFonts w:hint="eastAsia" w:ascii="宋体" w:hAnsi="宋体"/>
                <w:color w:val="auto"/>
                <w:kern w:val="0"/>
                <w:sz w:val="18"/>
                <w:szCs w:val="21"/>
                <w:lang w:eastAsia="zh-CN"/>
              </w:rPr>
              <w:t>全国一类参赛集训或</w:t>
            </w:r>
            <w:r>
              <w:rPr>
                <w:rFonts w:hint="eastAsia" w:ascii="宋体" w:hAnsi="宋体"/>
                <w:color w:val="auto"/>
                <w:kern w:val="0"/>
                <w:sz w:val="18"/>
                <w:szCs w:val="21"/>
              </w:rPr>
              <w:t>全国二类</w:t>
            </w:r>
            <w:r>
              <w:rPr>
                <w:rFonts w:ascii="宋体" w:hAnsi="宋体"/>
                <w:color w:val="auto"/>
                <w:kern w:val="0"/>
                <w:sz w:val="18"/>
                <w:szCs w:val="21"/>
              </w:rPr>
              <w:t>/</w:t>
            </w:r>
            <w:r>
              <w:rPr>
                <w:rFonts w:hint="eastAsia" w:ascii="宋体" w:hAnsi="宋体"/>
                <w:color w:val="auto"/>
                <w:kern w:val="0"/>
                <w:sz w:val="18"/>
                <w:szCs w:val="21"/>
              </w:rPr>
              <w:t>上海一类三等奖</w:t>
            </w:r>
          </w:p>
        </w:tc>
        <w:tc>
          <w:tcPr>
            <w:tcW w:w="1081" w:type="dxa"/>
            <w:noWrap w:val="0"/>
            <w:vAlign w:val="center"/>
          </w:tcPr>
          <w:p>
            <w:pPr>
              <w:pageBreakBefore w:val="0"/>
              <w:topLinePunct w:val="0"/>
              <w:bidi w:val="0"/>
              <w:outlineLvl w:val="9"/>
            </w:pPr>
          </w:p>
          <w:p>
            <w:pPr>
              <w:pageBreakBefore w:val="0"/>
              <w:topLinePunct w:val="0"/>
              <w:autoSpaceDE w:val="0"/>
              <w:autoSpaceDN w:val="0"/>
              <w:bidi w:val="0"/>
              <w:spacing w:line="360" w:lineRule="exact"/>
              <w:jc w:val="center"/>
              <w:outlineLvl w:val="9"/>
              <w:rPr>
                <w:rFonts w:ascii="宋体"/>
                <w:kern w:val="0"/>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45" w:type="dxa"/>
            <w:noWrap w:val="0"/>
            <w:vAlign w:val="center"/>
          </w:tcPr>
          <w:p>
            <w:pPr>
              <w:pageBreakBefore w:val="0"/>
              <w:topLinePunct w:val="0"/>
              <w:autoSpaceDE w:val="0"/>
              <w:autoSpaceDN w:val="0"/>
              <w:bidi w:val="0"/>
              <w:spacing w:line="360" w:lineRule="exact"/>
              <w:jc w:val="center"/>
              <w:outlineLvl w:val="9"/>
              <w:rPr>
                <w:rFonts w:ascii="宋体"/>
                <w:kern w:val="0"/>
                <w:sz w:val="18"/>
                <w:szCs w:val="21"/>
              </w:rPr>
            </w:pPr>
            <w:r>
              <w:rPr>
                <w:rFonts w:hint="eastAsia" w:ascii="宋体" w:hAnsi="宋体"/>
                <w:kern w:val="0"/>
                <w:sz w:val="18"/>
                <w:szCs w:val="21"/>
              </w:rPr>
              <w:t>分数</w:t>
            </w:r>
          </w:p>
        </w:tc>
        <w:tc>
          <w:tcPr>
            <w:tcW w:w="1312" w:type="dxa"/>
            <w:noWrap w:val="0"/>
            <w:vAlign w:val="center"/>
          </w:tcPr>
          <w:p>
            <w:pPr>
              <w:pageBreakBefore w:val="0"/>
              <w:topLinePunct w:val="0"/>
              <w:autoSpaceDE w:val="0"/>
              <w:autoSpaceDN w:val="0"/>
              <w:bidi w:val="0"/>
              <w:spacing w:line="360" w:lineRule="exact"/>
              <w:jc w:val="center"/>
              <w:outlineLvl w:val="9"/>
              <w:rPr>
                <w:rFonts w:ascii="宋体"/>
                <w:kern w:val="0"/>
                <w:sz w:val="18"/>
                <w:szCs w:val="21"/>
              </w:rPr>
            </w:pPr>
            <w:r>
              <w:rPr>
                <w:rFonts w:ascii="宋体" w:hAnsi="宋体"/>
                <w:kern w:val="0"/>
                <w:sz w:val="18"/>
                <w:szCs w:val="21"/>
              </w:rPr>
              <w:t>9</w:t>
            </w:r>
            <w:r>
              <w:rPr>
                <w:rFonts w:hint="eastAsia" w:ascii="宋体" w:hAnsi="宋体"/>
                <w:kern w:val="0"/>
                <w:sz w:val="18"/>
                <w:szCs w:val="21"/>
              </w:rPr>
              <w:t>5分</w:t>
            </w:r>
          </w:p>
        </w:tc>
        <w:tc>
          <w:tcPr>
            <w:tcW w:w="1842" w:type="dxa"/>
            <w:noWrap w:val="0"/>
            <w:vAlign w:val="center"/>
          </w:tcPr>
          <w:p>
            <w:pPr>
              <w:pageBreakBefore w:val="0"/>
              <w:topLinePunct w:val="0"/>
              <w:autoSpaceDE w:val="0"/>
              <w:autoSpaceDN w:val="0"/>
              <w:bidi w:val="0"/>
              <w:spacing w:line="360" w:lineRule="exact"/>
              <w:jc w:val="center"/>
              <w:outlineLvl w:val="9"/>
              <w:rPr>
                <w:rFonts w:ascii="宋体"/>
                <w:kern w:val="0"/>
                <w:sz w:val="18"/>
                <w:szCs w:val="21"/>
              </w:rPr>
            </w:pPr>
            <w:r>
              <w:rPr>
                <w:rFonts w:ascii="宋体" w:hAnsi="宋体"/>
                <w:kern w:val="0"/>
                <w:sz w:val="18"/>
                <w:szCs w:val="21"/>
              </w:rPr>
              <w:t>90</w:t>
            </w:r>
            <w:r>
              <w:rPr>
                <w:rFonts w:hint="eastAsia" w:ascii="宋体" w:hAnsi="宋体"/>
                <w:kern w:val="0"/>
                <w:sz w:val="18"/>
                <w:szCs w:val="21"/>
              </w:rPr>
              <w:t>分</w:t>
            </w:r>
          </w:p>
        </w:tc>
        <w:tc>
          <w:tcPr>
            <w:tcW w:w="1938" w:type="dxa"/>
            <w:noWrap w:val="0"/>
            <w:vAlign w:val="center"/>
          </w:tcPr>
          <w:p>
            <w:pPr>
              <w:pageBreakBefore w:val="0"/>
              <w:topLinePunct w:val="0"/>
              <w:autoSpaceDE w:val="0"/>
              <w:autoSpaceDN w:val="0"/>
              <w:bidi w:val="0"/>
              <w:spacing w:line="360" w:lineRule="exact"/>
              <w:jc w:val="center"/>
              <w:outlineLvl w:val="9"/>
              <w:rPr>
                <w:rFonts w:ascii="宋体"/>
                <w:kern w:val="0"/>
                <w:sz w:val="18"/>
                <w:szCs w:val="21"/>
              </w:rPr>
            </w:pPr>
            <w:r>
              <w:rPr>
                <w:rFonts w:ascii="宋体" w:hAnsi="宋体"/>
                <w:kern w:val="0"/>
                <w:sz w:val="18"/>
                <w:szCs w:val="21"/>
              </w:rPr>
              <w:t>85</w:t>
            </w:r>
            <w:r>
              <w:rPr>
                <w:rFonts w:hint="eastAsia" w:ascii="宋体" w:hAnsi="宋体"/>
                <w:kern w:val="0"/>
                <w:sz w:val="18"/>
                <w:szCs w:val="21"/>
              </w:rPr>
              <w:t>分</w:t>
            </w:r>
          </w:p>
        </w:tc>
        <w:tc>
          <w:tcPr>
            <w:tcW w:w="1081" w:type="dxa"/>
            <w:noWrap w:val="0"/>
            <w:vAlign w:val="center"/>
          </w:tcPr>
          <w:p>
            <w:pPr>
              <w:pageBreakBefore w:val="0"/>
              <w:topLinePunct w:val="0"/>
              <w:autoSpaceDE w:val="0"/>
              <w:autoSpaceDN w:val="0"/>
              <w:bidi w:val="0"/>
              <w:spacing w:line="360" w:lineRule="exact"/>
              <w:jc w:val="center"/>
              <w:outlineLvl w:val="9"/>
              <w:rPr>
                <w:rFonts w:ascii="宋体"/>
                <w:kern w:val="0"/>
                <w:sz w:val="18"/>
                <w:szCs w:val="21"/>
              </w:rPr>
            </w:pPr>
          </w:p>
        </w:tc>
      </w:tr>
    </w:tbl>
    <w:p>
      <w:pPr>
        <w:pageBreakBefore w:val="0"/>
        <w:widowControl/>
        <w:topLinePunct w:val="0"/>
        <w:bidi w:val="0"/>
        <w:adjustRightInd w:val="0"/>
        <w:snapToGrid w:val="0"/>
        <w:spacing w:line="500" w:lineRule="exact"/>
        <w:ind w:firstLine="640" w:firstLineChars="200"/>
        <w:jc w:val="left"/>
        <w:outlineLvl w:val="9"/>
        <w:rPr>
          <w:rFonts w:hint="eastAsia" w:eastAsia="仿宋_GB2312"/>
          <w:kern w:val="0"/>
          <w:sz w:val="32"/>
          <w:szCs w:val="32"/>
        </w:rPr>
      </w:pP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如学生在参赛期间表现优异，各二级学院可适当上调分值。</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根据《退役士兵安置条例》（国务院令第608号）第28条规定，退役学生可以免修体育和军事理论，直接获得学分。体育以85分记，军事理论以95分记，如学生在服役期间有立功或嘉奖，各二级学院可适当上调分值。</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体育和军事理论课程免修办理流程为：退役学生在每学期开学1周内向所在二级学院提出相关课程免修申请；各二级学院在每学期开学三周内向体育和军事理论课程所在授课部门提供免修学生名单和成绩；授课部门负责通知有关任课教师按照免修办理并给予成绩。</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根据《教育部办公厅关于进一步做好高校学生参军入伍的通知》（教学厅[2015]3号）第10条规定，退役学生入伍经历可作为毕业实习经历。我校退役学生办理免听手续后，可以不用参加毕业顶岗实习，但必须撰写毕业顶岗实习报告，参加毕业顶岗实习答辩，答辩通过后方可获得学分。</w:t>
      </w:r>
    </w:p>
    <w:p>
      <w:pPr>
        <w:pageBreakBefore w:val="0"/>
        <w:widowControl/>
        <w:topLinePunct w:val="0"/>
        <w:bidi w:val="0"/>
        <w:adjustRightInd w:val="0"/>
        <w:snapToGrid w:val="0"/>
        <w:spacing w:line="500" w:lineRule="exact"/>
        <w:ind w:firstLine="0" w:firstLineChars="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七、学业警告与降级</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27．经考核未取得所修课程的学分累计达到或超过12学分者，二级学院应向学生或家长送达《学业警告通知单》，给予其学业警告。因家庭地址或联系方式变更导致无法送达的，可通过二级学院网站以公告方式送达，公告发布时间不得少于四周。</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28．学生受到学业警告后，应及时安排好不及格课程的复读；在无力复读的情况下可申请降级继续学习。经考核未取得所修课程的学分累计达到或超过32学分者，必须降级。降级学生按降级以后所在年级的收费标准缴费、注册。</w:t>
      </w:r>
    </w:p>
    <w:p>
      <w:pPr>
        <w:pageBreakBefore w:val="0"/>
        <w:widowControl/>
        <w:topLinePunct w:val="0"/>
        <w:bidi w:val="0"/>
        <w:adjustRightInd w:val="0"/>
        <w:snapToGrid w:val="0"/>
        <w:spacing w:line="500" w:lineRule="exact"/>
        <w:ind w:firstLine="0" w:firstLineChars="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八、补考与复读</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29．学生考核不及格的课程，可参加补考，补考只有一次。公共和公共艺术选修课一般不组织补考,学生应通过复读来完成规定的学分；复读可以选修同一门课程，也可以选修其他课程。</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补考及格的课程成绩以“60分”计，补考不及格的课程必须复读。</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30．缺交实训报告或在一学期内缺交一门课程的三分之一作业者不得参加该课程的考核，补足实训报告或作业后只能参加该门课程的补考。单列课程的大型作业、课程设计、实习、实训与毕业顶岗实习等实践性教学环节不设补考，考核不及格者必须复读。学生必须按时提交毕业顶岗实习报告并参加毕业顶岗实习答辩，因故不能按时参加答辩的，须在答辩前三天向所在二级学院提交暂缓答辩书面申请，报二级学院审核批准；无故未参加答辩的必须复读毕业顶岗实习，重新参加实习，重新撰写实习报告并参加答辩。</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31．学生应根据学校有关要求参加复读选课，选课时应避免复读课程与在读课程的时间冲突，如复读课程较多也可以选择降级学习。学生应按规定缴纳复读费用，办理复读注册手续。</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32．复读所选的课程，必修课、选修课不能相互替代。必修课程应复读人才培养方案规定的原课程；选修课程在限定选修的范围内可选择其他未修的课程代替，但复读所选课程的学分应不低于原所修课程的学分。在最长学习年限内，同一课程在考核未通过前可以复读多次。</w:t>
      </w:r>
    </w:p>
    <w:p>
      <w:pPr>
        <w:keepNext w:val="0"/>
        <w:keepLines w:val="0"/>
        <w:pageBreakBefore w:val="0"/>
        <w:widowControl/>
        <w:kinsoku/>
        <w:wordWrap/>
        <w:overflowPunct/>
        <w:topLinePunct w:val="0"/>
        <w:bidi w:val="0"/>
        <w:adjustRightInd w:val="0"/>
        <w:snapToGrid w:val="0"/>
        <w:spacing w:line="500" w:lineRule="exact"/>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33．学生复读课程考核合格，在学生成绩总表中记载成绩并标注“复读”，考核不及格的可以参加补考。</w:t>
      </w:r>
    </w:p>
    <w:p>
      <w:pPr>
        <w:keepNext w:val="0"/>
        <w:keepLines w:val="0"/>
        <w:pageBreakBefore w:val="0"/>
        <w:kinsoku/>
        <w:wordWrap/>
        <w:overflowPunct/>
        <w:topLinePunct w:val="0"/>
        <w:autoSpaceDE w:val="0"/>
        <w:autoSpaceDN w:val="0"/>
        <w:bidi w:val="0"/>
        <w:spacing w:line="50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34．学生因参加竞赛、顶岗实习等学校重大教学活动，造成复读无法跟班上课的，可选择该课程在线学习；无在线课程的，应于上课前向任课教师提交《在线课程学习申请表》办理手续，经审核同意后实行在线课程修读，并按照教师要求完成相关作业提交和课程考核。</w:t>
      </w:r>
    </w:p>
    <w:p>
      <w:pPr>
        <w:pageBreakBefore w:val="0"/>
        <w:widowControl/>
        <w:topLinePunct w:val="0"/>
        <w:bidi w:val="0"/>
        <w:adjustRightInd w:val="0"/>
        <w:snapToGrid w:val="0"/>
        <w:spacing w:line="500" w:lineRule="exact"/>
        <w:ind w:firstLine="0" w:firstLineChars="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九、考勤</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35．学生应按时参加课程学习和其他教育教学活动，并接受考勤。因故不能参加的，应当事先请假并获得批准，无故缺席者作旷课处理。其中，人才培养方案中规定的实践性教学环节，每缺勤一天按旷课6-8学时计。</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36．学生迟到、早退累计3次作旷课1学时处理。对旷课的学生，二级学院应及时予以批评教育，并按有关规定进行处理。</w:t>
      </w:r>
    </w:p>
    <w:p>
      <w:pPr>
        <w:pageBreakBefore w:val="0"/>
        <w:widowControl/>
        <w:topLinePunct w:val="0"/>
        <w:bidi w:val="0"/>
        <w:adjustRightInd w:val="0"/>
        <w:snapToGrid w:val="0"/>
        <w:spacing w:line="500" w:lineRule="exact"/>
        <w:ind w:firstLine="0" w:firstLineChars="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十、转专业与转学</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37．学生应在被录取专业完成学业，原则上不得转专业和转学。</w:t>
      </w:r>
    </w:p>
    <w:p>
      <w:pPr>
        <w:pageBreakBefore w:val="0"/>
        <w:widowControl/>
        <w:topLinePunct w:val="0"/>
        <w:bidi w:val="0"/>
        <w:adjustRightInd w:val="0"/>
        <w:snapToGrid w:val="0"/>
        <w:spacing w:line="500" w:lineRule="exact"/>
        <w:ind w:firstLine="0" w:firstLineChars="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十一、休学、复学、退学</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38．学生有下列情况之一者，应予休学：</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（1）因病经二级甲等以上医院诊断，须停课治疗、休养占一学期总学时三分之一以上者；</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（2）根据考勤，一学期请假、缺课超过该学期总学时三分之一者；</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（3）学生申请自主创业的；</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（4）因某种特殊原因，本人申请或学校认为应休学者。</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39．学生提出休学的，需按规定提交休学申请表和其他证明材料（因病休学的须提供医院诊断证明等材料；因自主创业申请休学的须提供创业前期准备材料和创业计划书等）报教务处审核批准。休学学生应当办理离校手续。学生休学期间具有学籍，但不享受在校生待遇，不得参加教育教学活动。因病休学学生的医疗费按国家和当地有关规定处理。对休学的学生，由学校出具休学证明并送达本人，同时报上海市教育委员会备案。</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休学一般以一年为期，原则上不得提前复学，学生休学期满需要续休的，应再次办理休学手续。学生在校期间累计休学不得超过两年；因自主创业申请休学的不得超过三年，最长学习年限不得超过九年。休学期满不办理复学手续者，作自动退学处理。</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40．学生申请复学的，应于休学期满一个月前按规定提交复学申请表和其他证明材料（因病休学的须提供医院出具的健康状况证明）报教务处审核批准，经批准后可进入原专业下一年级学习。如审核不通过的可办理继续休学或退学手续，如因专业设置调整或身体状况无法适应原专业学习的可申请转专业或办理退学手续。</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41．学生应征参加中国人民解放军、中国人民武装警察部队，需按规定提交保留学籍申请表和其他证明材料报教务处审核批准，学校为其保留其学籍至退役后两年。保留学籍学生应当办理离校手续。学生保留学籍期间，与其实际所在部队等组织建立联系、确定管理关系。</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42．学生有下列情形之一，学校可作自动退学处理：</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（1）降级两次后经考核未取得所修课程的学分累计达到或超过32学分的；</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（2）在学校规定学习年限内（含休学）未完成学业的；</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（3）休学期满，在学校规定期限内未提出复学申请或者申请复学经复查不合格的；</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（4）延长学业期满，未办理相关后续手续的；</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（5）经二级甲等以上医院诊断，患有疾病或者意外伤残无法继续在校学习的；</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（6）未经批准连续两周未参加学校规定的教学活动的；</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（7）超过学校规定期限未注册而又未履行暂缓注册手续的。</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学生本人申请退学的，由学校审核同意后，办理退学手续。</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43．符合自动退学条件的，由学生所在二级学院向学生本人或家长送达《自动退学告知书》；因家庭地址或联系方式变更导致无法送达的，可通过二级学院网站以公告方式送达，公告发布时间不得少于四周。</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对学生的退学申请或自动退学处理，由校长办公会议或者校长授权的专门会议研究决定。</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对退学的学生，由学校出具退学证明并送达本人，同时报上海市教育委员会备案。退学学生应按学校规定期限办理离校手续，档案、户口退回其户籍所在地。</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44．学生对自动退学有异议的，可以向学校学生申诉处理委员会提出书面申诉。</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45．学生在校期间死亡的，由学校出具学籍注销证明并送达学生家长。</w:t>
      </w:r>
    </w:p>
    <w:p>
      <w:pPr>
        <w:pageBreakBefore w:val="0"/>
        <w:widowControl/>
        <w:topLinePunct w:val="0"/>
        <w:bidi w:val="0"/>
        <w:adjustRightInd w:val="0"/>
        <w:snapToGrid w:val="0"/>
        <w:spacing w:line="500" w:lineRule="exact"/>
        <w:ind w:firstLine="0" w:firstLineChars="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十二、毕业与结业</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46．学生修满人才培养方案规定的必修与选修课程，取得毕业要求的总学分数，且至少取得一种与所学专业相关的职业资格证书或职业技能等级证书，准予毕业，发给毕业证书。</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若学生修满了人才培养方案所规定的必修与选修课程，取得了毕业要求的总学分数，但未取得与所学专业相关的职业资格证书或职业技能等级证书，作结业处理，发给结业证书。结业学生在最长学习年限内取得了与所学专业相关的中级以上的职业资格证书或职业技能等级证书的，换发毕业证书。</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47．学生在进入第十学期学习之前，第一～第九学期已修学分数不少于226学分（含226学分）可列入毕业生管理范围，进入毕业教学环节；否则，暂缓进入毕业教学环节，由学生本人提出延长学业申请，经教务处审批后作延长学业处理。</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学生在第十学期未能符合毕（结）业要求的，由学生本人提出延长学业申请，经教务处审核批准后作延长学业处理。</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已满足毕（结）业要求的学生不得提出延长学业或休学申请。</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48．延长学业期限为自审核批准之日起一年，到期而未办理相关后续手续的，作自动退学处理。延长学业学生的管理由学生所在的二级学院负责安排。</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49．基本学制毕业时未修满毕业要求的总学分数，但已取得毕业要求的最低学分的92%（含92%）以上者，作结业处理，发给结业证书。</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结业学生可对原不及格课程申请复读，经考核成绩合格且取得了与所学专业相关的职业资格证书或职业技能等级证书者换发毕业证书。复读必须在最长学习年限内完成。</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对于退学学生，学校应该发给肄业证书或者写实性学习证明。</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50．学有余力的学生可在与当前所学课程时间不冲突的前提下提前修读人才培养方案中的后续课程，达到毕业要求（或结业要求）的，可以申请提前毕业（或结业）。</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学生可向所在二级学院提出提前修读课程申请，二级学院制定详细的后续课程安排计划后报教务处审核批准。</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51．对违反国家招生规定取得入学资格或者学籍的，学校应当取消其学籍，不得发给学历证书；已发的学历证书，学校应当依法予以撤销。对以作弊、剽窃、抄袭等学术不端行为或者其他不正当手段获得学历证书的，学校应当依法予以撤销。</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被撤销的学历证书已注册的，学校应当予以注销并报教育行政部门宣布无效。</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52．学历证书遗失或者损坏，经本人申请，学校核实后应当出具相应的学历证明书。学历证明书与原证书具有同等效力。</w:t>
      </w:r>
    </w:p>
    <w:p>
      <w:pPr>
        <w:pageBreakBefore w:val="0"/>
        <w:widowControl/>
        <w:topLinePunct w:val="0"/>
        <w:bidi w:val="0"/>
        <w:adjustRightInd w:val="0"/>
        <w:snapToGrid w:val="0"/>
        <w:spacing w:line="500" w:lineRule="exact"/>
        <w:ind w:firstLine="3080" w:firstLineChars="11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十三、附则</w:t>
      </w:r>
    </w:p>
    <w:p>
      <w:pPr>
        <w:pageBreakBefore w:val="0"/>
        <w:widowControl/>
        <w:topLinePunct w:val="0"/>
        <w:bidi w:val="0"/>
        <w:adjustRightInd w:val="0"/>
        <w:snapToGrid w:val="0"/>
        <w:spacing w:line="5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53．本规定自2020年9月1日起施行，由教务处负责解释。</w:t>
      </w:r>
    </w:p>
    <w:p>
      <w:pPr>
        <w:pageBreakBefore w:val="0"/>
        <w:topLinePunct w:val="0"/>
        <w:autoSpaceDE w:val="0"/>
        <w:autoSpaceDN w:val="0"/>
        <w:bidi w:val="0"/>
        <w:ind w:firstLine="420" w:firstLineChars="200"/>
        <w:outlineLvl w:val="9"/>
        <w:rPr>
          <w:rFonts w:ascii="宋体" w:hAnsi="宋体"/>
          <w:color w:val="000000"/>
          <w:szCs w:val="21"/>
        </w:rPr>
      </w:pPr>
    </w:p>
    <w:p>
      <w:pPr>
        <w:pageBreakBefore w:val="0"/>
        <w:topLinePunct w:val="0"/>
        <w:autoSpaceDE w:val="0"/>
        <w:autoSpaceDN w:val="0"/>
        <w:bidi w:val="0"/>
        <w:adjustRightInd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outlineLvl w:val="9"/>
        <w:rPr>
          <w:rFonts w:ascii="宋体" w:hAnsi="宋体"/>
          <w:kern w:val="0"/>
          <w:szCs w:val="21"/>
        </w:rPr>
      </w:pPr>
    </w:p>
    <w:p>
      <w:pPr>
        <w:pageBreakBefore w:val="0"/>
        <w:topLinePunct w:val="0"/>
        <w:bidi w:val="0"/>
        <w:outlineLvl w:val="9"/>
        <w:rPr>
          <w:rFonts w:ascii="宋体" w:hAnsi="宋体"/>
          <w:kern w:val="0"/>
          <w:szCs w:val="21"/>
        </w:rPr>
      </w:pPr>
    </w:p>
    <w:p>
      <w:pPr>
        <w:pageBreakBefore w:val="0"/>
        <w:topLinePunct w:val="0"/>
        <w:bidi w:val="0"/>
        <w:outlineLvl w:val="9"/>
        <w:rPr>
          <w:rFonts w:ascii="宋体" w:hAnsi="宋体"/>
          <w:kern w:val="0"/>
          <w:szCs w:val="21"/>
        </w:rPr>
      </w:pPr>
    </w:p>
    <w:p>
      <w:pPr>
        <w:pageBreakBefore w:val="0"/>
        <w:topLinePunct w:val="0"/>
        <w:bidi w:val="0"/>
        <w:outlineLvl w:val="9"/>
        <w:rPr>
          <w:sz w:val="24"/>
        </w:rPr>
      </w:pPr>
    </w:p>
    <w:p>
      <w:pPr>
        <w:pageBreakBefore w:val="0"/>
        <w:topLinePunct w:val="0"/>
        <w:bidi w:val="0"/>
        <w:outlineLvl w:val="9"/>
        <w:rPr>
          <w:sz w:val="24"/>
        </w:rPr>
      </w:pPr>
    </w:p>
    <w:p>
      <w:pPr>
        <w:pageBreakBefore w:val="0"/>
        <w:topLinePunct w:val="0"/>
        <w:bidi w:val="0"/>
        <w:jc w:val="center"/>
        <w:outlineLvl w:val="9"/>
        <w:rPr>
          <w:rFonts w:ascii="Calibri" w:hAnsi="Calibri" w:eastAsia="宋体" w:cs="Calibri"/>
          <w:b/>
          <w:sz w:val="24"/>
        </w:rPr>
      </w:pPr>
      <w:bookmarkStart w:id="310" w:name="_Toc175799570"/>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center"/>
        <w:outlineLvl w:val="9"/>
        <w:rPr>
          <w:rFonts w:ascii="Calibri" w:hAnsi="Calibri" w:eastAsia="宋体" w:cs="Calibri"/>
          <w:b/>
          <w:sz w:val="24"/>
        </w:rPr>
      </w:pPr>
    </w:p>
    <w:p>
      <w:pPr>
        <w:pageBreakBefore w:val="0"/>
        <w:topLinePunct w:val="0"/>
        <w:bidi w:val="0"/>
        <w:jc w:val="both"/>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43" w:leftChars="-200" w:right="-158" w:rightChars="-75" w:hanging="77" w:hangingChars="43"/>
        <w:jc w:val="center"/>
        <w:outlineLvl w:val="9"/>
        <w:rPr>
          <w:color w:val="FF0000"/>
          <w:sz w:val="18"/>
          <w:szCs w:val="18"/>
        </w:rPr>
      </w:pPr>
    </w:p>
    <w:p>
      <w:pPr>
        <w:pageBreakBefore w:val="0"/>
        <w:topLinePunct w:val="0"/>
        <w:bidi w:val="0"/>
        <w:jc w:val="center"/>
        <w:outlineLvl w:val="9"/>
        <w:rPr>
          <w:sz w:val="18"/>
          <w:szCs w:val="18"/>
        </w:rPr>
      </w:pPr>
    </w:p>
    <w:p>
      <w:pPr>
        <w:pageBreakBefore w:val="0"/>
        <w:topLinePunct w:val="0"/>
        <w:bidi w:val="0"/>
        <w:spacing w:before="156" w:beforeLines="50"/>
        <w:ind w:left="-735" w:leftChars="-350"/>
        <w:jc w:val="center"/>
        <w:outlineLvl w:val="9"/>
        <w:rPr>
          <w:rFonts w:eastAsia="仿宋_GB2312"/>
          <w:sz w:val="36"/>
          <w:szCs w:val="36"/>
        </w:rPr>
      </w:pPr>
      <w:r>
        <w:rPr>
          <w:rFonts w:hint="eastAsia" w:eastAsia="仿宋_GB2312"/>
          <w:color w:val="000000"/>
          <w:kern w:val="0"/>
          <w:sz w:val="36"/>
          <w:szCs w:val="36"/>
          <w:lang w:val="en-US" w:eastAsia="zh-CN"/>
        </w:rPr>
        <w:t xml:space="preserve">    </w:t>
      </w:r>
      <w:r>
        <w:rPr>
          <w:rFonts w:eastAsia="仿宋_GB2312"/>
          <w:color w:val="000000"/>
          <w:kern w:val="0"/>
          <w:sz w:val="36"/>
          <w:szCs w:val="36"/>
        </w:rPr>
        <w:t>沪电信职院</w:t>
      </w:r>
      <w:r>
        <w:rPr>
          <w:rFonts w:hint="eastAsia" w:ascii="仿宋_GB2312" w:eastAsia="仿宋_GB2312"/>
          <w:color w:val="000000"/>
          <w:kern w:val="0"/>
          <w:sz w:val="36"/>
          <w:szCs w:val="36"/>
        </w:rPr>
        <w:t>〔</w:t>
      </w:r>
      <w:r>
        <w:rPr>
          <w:rFonts w:eastAsia="仿宋_GB2312"/>
          <w:color w:val="000000"/>
          <w:kern w:val="0"/>
          <w:sz w:val="36"/>
          <w:szCs w:val="36"/>
        </w:rPr>
        <w:t>20</w:t>
      </w:r>
      <w:r>
        <w:rPr>
          <w:rFonts w:hint="eastAsia" w:eastAsia="仿宋_GB2312"/>
          <w:color w:val="000000"/>
          <w:kern w:val="0"/>
          <w:sz w:val="36"/>
          <w:szCs w:val="36"/>
          <w:lang w:val="en-US" w:eastAsia="zh-CN"/>
        </w:rPr>
        <w:t>20</w:t>
      </w:r>
      <w:r>
        <w:rPr>
          <w:rFonts w:hint="eastAsia" w:ascii="仿宋_GB2312" w:eastAsia="仿宋_GB2312"/>
          <w:color w:val="000000"/>
          <w:kern w:val="0"/>
          <w:sz w:val="36"/>
          <w:szCs w:val="36"/>
        </w:rPr>
        <w:t>〕</w:t>
      </w:r>
      <w:r>
        <w:rPr>
          <w:rFonts w:hint="eastAsia" w:ascii="仿宋_GB2312" w:eastAsia="仿宋_GB2312"/>
          <w:color w:val="000000"/>
          <w:kern w:val="0"/>
          <w:sz w:val="36"/>
          <w:szCs w:val="36"/>
          <w:lang w:val="en-US" w:eastAsia="zh-CN"/>
        </w:rPr>
        <w:t>96</w:t>
      </w:r>
      <w:r>
        <w:rPr>
          <w:rFonts w:hint="eastAsia" w:ascii="仿宋_GB2312" w:eastAsia="仿宋_GB2312"/>
          <w:color w:val="000000"/>
          <w:kern w:val="0"/>
          <w:sz w:val="36"/>
          <w:szCs w:val="36"/>
        </w:rPr>
        <w:t xml:space="preserve"> </w:t>
      </w:r>
      <w:r>
        <w:rPr>
          <w:rFonts w:eastAsia="仿宋_GB2312"/>
          <w:color w:val="000000"/>
          <w:kern w:val="0"/>
          <w:sz w:val="36"/>
          <w:szCs w:val="36"/>
        </w:rPr>
        <w:t>号</w:t>
      </w:r>
    </w:p>
    <w:p>
      <w:pPr>
        <w:pageBreakBefore w:val="0"/>
        <w:topLinePunct w:val="0"/>
        <w:bidi w:val="0"/>
        <w:outlineLvl w:val="9"/>
        <w:rPr>
          <w:rFonts w:eastAsia="仿宋_GB2312"/>
          <w:color w:val="FF0000"/>
          <w:sz w:val="36"/>
          <w:szCs w:val="36"/>
          <w:u w:val="thick"/>
        </w:rPr>
      </w:pPr>
      <w:r>
        <w:rPr>
          <w:rFonts w:eastAsia="仿宋_GB2312"/>
          <w:color w:val="FF0000"/>
          <w:sz w:val="22"/>
          <w:szCs w:val="22"/>
          <w:u w:val="thick"/>
        </w:rPr>
        <w:t xml:space="preserve">                                  </w:t>
      </w:r>
      <w:r>
        <w:rPr>
          <w:rFonts w:eastAsia="仿宋_GB2312"/>
          <w:color w:val="FF0000"/>
          <w:sz w:val="36"/>
          <w:szCs w:val="36"/>
          <w:u w:val="thick"/>
        </w:rPr>
        <w:t xml:space="preserve">          </w:t>
      </w:r>
      <w:r>
        <w:rPr>
          <w:rFonts w:hint="eastAsia" w:eastAsia="仿宋_GB2312"/>
          <w:color w:val="FF0000"/>
          <w:sz w:val="36"/>
          <w:szCs w:val="36"/>
          <w:u w:val="thick"/>
          <w:lang w:val="en-US" w:eastAsia="zh-CN"/>
        </w:rPr>
        <w:t xml:space="preserve">            </w:t>
      </w:r>
      <w:r>
        <w:rPr>
          <w:rFonts w:eastAsia="仿宋_GB2312"/>
          <w:color w:val="FF0000"/>
          <w:sz w:val="36"/>
          <w:szCs w:val="36"/>
          <w:u w:val="thick"/>
        </w:rPr>
        <w:t xml:space="preserve">    </w:t>
      </w:r>
    </w:p>
    <w:p>
      <w:pPr>
        <w:pageBreakBefore w:val="0"/>
        <w:topLinePunct w:val="0"/>
        <w:bidi w:val="0"/>
        <w:jc w:val="center"/>
        <w:outlineLvl w:val="9"/>
        <w:rPr>
          <w:rFonts w:ascii="Calibri" w:hAnsi="Calibri" w:eastAsia="宋体" w:cs="Calibri"/>
          <w:b/>
          <w:sz w:val="24"/>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0"/>
        <w:rPr>
          <w:rFonts w:hint="eastAsia" w:ascii="黑体" w:hAnsi="黑体" w:eastAsia="黑体" w:cs="黑体"/>
          <w:b/>
          <w:sz w:val="36"/>
          <w:szCs w:val="36"/>
        </w:rPr>
      </w:pPr>
      <w:bookmarkStart w:id="311" w:name="_Toc10840"/>
      <w:r>
        <w:rPr>
          <w:rFonts w:hint="eastAsia" w:ascii="黑体" w:hAnsi="黑体" w:eastAsia="黑体" w:cs="黑体"/>
          <w:b/>
          <w:sz w:val="36"/>
          <w:szCs w:val="36"/>
        </w:rPr>
        <w:t>关于印发《上海电子信息职业技术学院学生学籍管理规定</w:t>
      </w:r>
      <w:r>
        <w:rPr>
          <w:rFonts w:hint="eastAsia" w:ascii="黑体" w:hAnsi="黑体" w:eastAsia="黑体" w:cs="黑体"/>
          <w:b/>
          <w:sz w:val="36"/>
          <w:szCs w:val="36"/>
          <w:lang w:eastAsia="zh-CN"/>
        </w:rPr>
        <w:t>（</w:t>
      </w:r>
      <w:r>
        <w:rPr>
          <w:rFonts w:hint="eastAsia" w:ascii="黑体" w:hAnsi="黑体" w:eastAsia="黑体" w:cs="黑体"/>
          <w:b/>
          <w:sz w:val="36"/>
          <w:szCs w:val="36"/>
          <w:lang w:val="en-US" w:eastAsia="zh-CN"/>
        </w:rPr>
        <w:t>修订</w:t>
      </w:r>
      <w:r>
        <w:rPr>
          <w:rFonts w:hint="eastAsia" w:ascii="黑体" w:hAnsi="黑体" w:eastAsia="黑体" w:cs="黑体"/>
          <w:b/>
          <w:sz w:val="36"/>
          <w:szCs w:val="36"/>
          <w:lang w:eastAsia="zh-CN"/>
        </w:rPr>
        <w:t>）</w:t>
      </w:r>
      <w:r>
        <w:rPr>
          <w:rFonts w:hint="eastAsia" w:ascii="黑体" w:hAnsi="黑体" w:eastAsia="黑体" w:cs="黑体"/>
          <w:b/>
          <w:sz w:val="36"/>
          <w:szCs w:val="36"/>
        </w:rPr>
        <w:t>》的通知</w:t>
      </w:r>
      <w:bookmarkEnd w:id="311"/>
    </w:p>
    <w:p>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现将《上海电子信息职业技术学院学生学籍管理规定（修订）》发给你们，请结合本部门工作实际，认真研究执行。</w:t>
      </w:r>
    </w:p>
    <w:p>
      <w:pPr>
        <w:keepNext w:val="0"/>
        <w:keepLines w:val="0"/>
        <w:pageBreakBefore w:val="0"/>
        <w:widowControl w:val="0"/>
        <w:kinsoku/>
        <w:wordWrap/>
        <w:overflowPunct/>
        <w:topLinePunct w:val="0"/>
        <w:autoSpaceDE/>
        <w:autoSpaceDN/>
        <w:bidi w:val="0"/>
        <w:adjustRightInd/>
        <w:snapToGrid/>
        <w:spacing w:line="520" w:lineRule="exact"/>
        <w:ind w:firstLine="66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66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66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66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66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66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附件：上海电子信息职业技术学院学生学籍管理规定（修订）</w:t>
      </w:r>
    </w:p>
    <w:p>
      <w:pPr>
        <w:keepNext w:val="0"/>
        <w:keepLines w:val="0"/>
        <w:pageBreakBefore w:val="0"/>
        <w:widowControl w:val="0"/>
        <w:kinsoku/>
        <w:wordWrap/>
        <w:overflowPunct/>
        <w:topLinePunct w:val="0"/>
        <w:autoSpaceDE/>
        <w:autoSpaceDN/>
        <w:bidi w:val="0"/>
        <w:adjustRightInd/>
        <w:snapToGrid/>
        <w:spacing w:line="520" w:lineRule="exact"/>
        <w:ind w:firstLine="660"/>
        <w:jc w:val="righ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660"/>
        <w:jc w:val="righ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660"/>
        <w:jc w:val="righ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520" w:lineRule="exact"/>
        <w:ind w:firstLine="660"/>
        <w:jc w:val="righ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上海电子信息职业技术学院 </w:t>
      </w:r>
    </w:p>
    <w:p>
      <w:pPr>
        <w:keepNext w:val="0"/>
        <w:keepLines w:val="0"/>
        <w:pageBreakBefore w:val="0"/>
        <w:widowControl w:val="0"/>
        <w:kinsoku/>
        <w:wordWrap/>
        <w:overflowPunct/>
        <w:topLinePunct w:val="0"/>
        <w:autoSpaceDE/>
        <w:autoSpaceDN/>
        <w:bidi w:val="0"/>
        <w:adjustRightInd/>
        <w:snapToGrid/>
        <w:spacing w:line="520" w:lineRule="exact"/>
        <w:ind w:firstLine="660"/>
        <w:jc w:val="center"/>
        <w:textAlignment w:val="auto"/>
        <w:outlineLvl w:val="9"/>
        <w:rPr>
          <w:rFonts w:hint="eastAsia" w:eastAsia="华文中宋"/>
          <w:b/>
          <w:sz w:val="28"/>
          <w:szCs w:val="28"/>
          <w:lang w:val="en-US" w:eastAsia="zh-CN"/>
        </w:rPr>
      </w:pPr>
      <w:r>
        <w:rPr>
          <w:rFonts w:hint="eastAsia" w:ascii="仿宋_GB2312" w:hAnsi="仿宋_GB2312" w:eastAsia="仿宋_GB2312" w:cs="仿宋_GB2312"/>
          <w:kern w:val="2"/>
          <w:sz w:val="28"/>
          <w:szCs w:val="28"/>
          <w:highlight w:val="none"/>
          <w:lang w:val="en-US" w:eastAsia="zh-CN" w:bidi="ar-SA"/>
        </w:rPr>
        <w:t xml:space="preserve">                        2020 年 7月27日</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w:t>
      </w:r>
      <w:bookmarkEnd w:id="310"/>
      <w:bookmarkStart w:id="312" w:name="_Toc175799574"/>
    </w:p>
    <w:p>
      <w:pPr>
        <w:pageBreakBefore w:val="0"/>
        <w:widowControl/>
        <w:topLinePunct w:val="0"/>
        <w:bidi w:val="0"/>
        <w:adjustRightInd w:val="0"/>
        <w:snapToGrid w:val="0"/>
        <w:spacing w:line="520" w:lineRule="exact"/>
        <w:jc w:val="center"/>
        <w:outlineLvl w:val="9"/>
        <w:rPr>
          <w:rFonts w:hint="eastAsia" w:ascii="黑体" w:hAnsi="黑体" w:eastAsia="黑体" w:cs="黑体"/>
          <w:b/>
          <w:sz w:val="36"/>
          <w:szCs w:val="36"/>
          <w:lang w:val="en-US" w:eastAsia="zh-CN"/>
        </w:rPr>
      </w:pPr>
      <w:r>
        <w:rPr>
          <w:rFonts w:hint="eastAsia" w:ascii="黑体" w:hAnsi="黑体" w:eastAsia="黑体" w:cs="黑体"/>
          <w:b/>
          <w:sz w:val="36"/>
          <w:szCs w:val="36"/>
          <w:lang w:val="en-US" w:eastAsia="zh-CN"/>
        </w:rPr>
        <w:t>上海电子信息职业技术学院</w:t>
      </w:r>
    </w:p>
    <w:p>
      <w:pPr>
        <w:pageBreakBefore w:val="0"/>
        <w:widowControl/>
        <w:topLinePunct w:val="0"/>
        <w:bidi w:val="0"/>
        <w:adjustRightInd w:val="0"/>
        <w:snapToGrid w:val="0"/>
        <w:spacing w:line="520" w:lineRule="exact"/>
        <w:jc w:val="center"/>
        <w:outlineLvl w:val="9"/>
        <w:rPr>
          <w:rFonts w:hint="eastAsia" w:ascii="黑体" w:hAnsi="黑体" w:eastAsia="黑体" w:cs="黑体"/>
          <w:b/>
          <w:sz w:val="36"/>
          <w:szCs w:val="36"/>
          <w:lang w:val="en-US" w:eastAsia="zh-CN"/>
        </w:rPr>
      </w:pPr>
      <w:r>
        <w:rPr>
          <w:rFonts w:hint="eastAsia" w:ascii="黑体" w:hAnsi="黑体" w:eastAsia="黑体" w:cs="黑体"/>
          <w:b/>
          <w:sz w:val="36"/>
          <w:szCs w:val="36"/>
          <w:lang w:val="en-US" w:eastAsia="zh-CN"/>
        </w:rPr>
        <w:t>学生学籍管理规定（修订）</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一、总则</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了全面贯彻国家教育方针，维护学校正常的教育教学秩序，保障学生合法权益，培养社会主义现代化建设需要的高素质技术技能人才，积极推进素质教育，注重能力培养，充分调动和发挥学生自主学习的积极性，使学生在德、智、体、美、劳等方面得到全面发展。根据教育部颁布的《普通高等学校学生管理规定》（教育部令第41号），对原“上海电子信息职业技术学院学生学籍管理规定”作部分修改，并制订本规定。</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二、入学与注册</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新生的录取必须符合国家有关招生规定、并经上海市教育委员会审核批准。录取的新生必须持录取通知书、身份证等有效证件，在学校规定的报到时间里到校办理入学手续。因故不能按期入学的，应在学校规定的报到时间内向学校提出书面请假申请，请假时间一般不得超过两周。未按时请假或请假期限届满未报到的，除因不可抗力等正当事由以外，视为放弃入学资格。</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校在报到时对新生入学资格进行初步审查，审查内容包括录取材料查验、身份查验、图像采集等。审查合格的办理入学手续，予以注册学籍；审查发现新生的录取通知书、考生信息等证明材料与本人实际情况不符，或者有其他违反国家招生考试规定情形的，取消入学资格。</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新生可以申请保留入学资格，保留入学资格期间不具有学籍。对患有疾病的新生，经二级甲等以上医院诊断不宜在学校学习的，可以申请保留入学资格一年。在保留入学资格期内经治疗康复，可以向学校申请入学，由二级甲等以上医院诊断，符合体检要求，经学校复查合格后，办理入学手续。逾期不办理入学手续且未有因不可抗力延迟等正当理由的，视为放弃入学资格。</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录取新生当年参加中国人民解放军（含中国人民武装警察部队），可按照有关规定申请办理保留入学资格，学校为其保留入学资格至退役后两年，退役后可按照学校有关规定办理报到入学。</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4.学校在新生报到入学三个月内按照国家招生规定进行复查，复查内容主要包括以下方面：</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（1）录取手续及程序等是否合乎国家招生规定；</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（2）所获得的录取资格是否真实、合乎相关规定；</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（3）本人及身份证明与录取通知、考生档案等是否一致；</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（4）身心健康状况是否符合报考专业或者专业类别体检要求，能否保证在校正常学习、生活；</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（5）艺术、体育等特殊类型录取学生的专业水平是否符合录取要求。</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复查中发现学生存在弄虚作假、徇私舞弊等情形的，确定为复查不合格，学校将取消该生学籍；情节严重的，移交有关部门调查处理。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复查中发现学生身心状况不适宜在校学习，经二级甲等以上医院诊断需要在家休养的，可按照第3条规定办理保留入学资格。</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每学期开学时，学生须按学校规定在开学三周内办理注册手续。不能如期注册者，应当履行暂缓注册手续。注册、暂缓注册按照学校《学生注册管理办法》要求办理。未按学校规定缴纳学费或者有其他不符合注册条件的，不予注册。</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家庭经济困难的学生可以申请助学贷款或者其他形式资助，办妥有关手续后办理注册。</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6.凡取得我校学籍的学生，在籍期间不得报考国内外其他普通高等院校。</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三、学籍档案</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7.新生入学后，学校为学生建立学籍档案，主要包括：报名录取档案材料、学籍卡、奖惩记载、学生成绩总表、毕业生登记表等。学生学籍档案由学校指定专人管理，按有关规定使用与转移。</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8.学生毕业、结业、退学或注销学籍后，学籍卡由学校归档、保存。</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9.学生在校期间个人身份信息修改的，需向学校提交由公安机关出具的相关身份信息变更证明等材料，经学校和上海市教育委员会审核后变更其有关信息。</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10.新生按入学时的录取专业确定学号；学号一经排定，不作更改。</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四、学制与学分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11.高等职业教育基本学制为三年；中高职教育贯通培养（以下简称“贯通培养”）高职阶段基本学制为两年。</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12.学生在校最长学习年限一般不得超过六年；贯通培养学生高职阶段的最长学习年限一般不得超过四年。</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13.普通高等职业教育专业人才培养方案规定修读的学分一般不得少于144学分；贯通培养高职阶段专业人才培养方案规定修读的学分一般不得少于90学分,课程学分原则上为16-18课时1学分，集中实践性性环节课程30课时1学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五、课程考核与成绩记载</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14.各专业课程主要由公共基础必修课、专业必修课（以下简称“必修”），公共通识和公共艺术选修课、专业选修课（以下简称“选修”）等构成。学生应修读所在专业开设的所有课程，并按要求参加考核，考核成绩载入学生成绩总表，归入学生本人学籍档案。</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15.课程考核分为考试和考查两种，课程考核方式由各二级学院根据课程特点加以确定，并在人才培养方案中注明，一般建议考试课程平时成绩占40%，期末成绩占60%；考查课程平时成绩占60%，期末成绩占40%。</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16.成绩包括获取方式和分值两部分：获取方式指正考、补考、复读等；分值指具体分数值，以百分制记。不同的成绩分值对应不同的绩点（考核成绩分值60分，对应成绩绩点为1.0，以后每增加1分对应增加0.1个绩点），对应关系如下：</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p>
    <w:tbl>
      <w:tblPr>
        <w:tblStyle w:val="37"/>
        <w:tblW w:w="5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2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noWrap w:val="0"/>
            <w:vAlign w:val="center"/>
          </w:tcPr>
          <w:p>
            <w:pPr>
              <w:pageBreakBefore w:val="0"/>
              <w:widowControl/>
              <w:topLinePunct w:val="0"/>
              <w:bidi w:val="0"/>
              <w:adjustRightInd w:val="0"/>
              <w:snapToGrid w:val="0"/>
              <w:spacing w:line="500" w:lineRule="exact"/>
              <w:ind w:firstLine="480" w:firstLineChars="200"/>
              <w:jc w:val="left"/>
              <w:outlineLvl w:val="9"/>
              <w:rPr>
                <w:rFonts w:hint="eastAsia" w:eastAsia="仿宋_GB2312"/>
                <w:kern w:val="0"/>
                <w:sz w:val="24"/>
                <w:szCs w:val="24"/>
              </w:rPr>
            </w:pPr>
            <w:r>
              <w:rPr>
                <w:rFonts w:hint="eastAsia" w:eastAsia="仿宋_GB2312"/>
                <w:kern w:val="0"/>
                <w:sz w:val="24"/>
                <w:szCs w:val="24"/>
              </w:rPr>
              <w:t>成绩分值</w:t>
            </w:r>
          </w:p>
        </w:tc>
        <w:tc>
          <w:tcPr>
            <w:tcW w:w="2629" w:type="dxa"/>
            <w:noWrap w:val="0"/>
            <w:vAlign w:val="center"/>
          </w:tcPr>
          <w:p>
            <w:pPr>
              <w:pageBreakBefore w:val="0"/>
              <w:widowControl/>
              <w:topLinePunct w:val="0"/>
              <w:bidi w:val="0"/>
              <w:adjustRightInd w:val="0"/>
              <w:snapToGrid w:val="0"/>
              <w:spacing w:line="500" w:lineRule="exact"/>
              <w:ind w:firstLine="480" w:firstLineChars="200"/>
              <w:jc w:val="left"/>
              <w:outlineLvl w:val="9"/>
              <w:rPr>
                <w:rFonts w:hint="eastAsia" w:eastAsia="仿宋_GB2312"/>
                <w:kern w:val="0"/>
                <w:sz w:val="24"/>
                <w:szCs w:val="24"/>
              </w:rPr>
            </w:pPr>
            <w:r>
              <w:rPr>
                <w:rFonts w:hint="eastAsia" w:eastAsia="仿宋_GB2312"/>
                <w:kern w:val="0"/>
                <w:sz w:val="24"/>
                <w:szCs w:val="24"/>
              </w:rPr>
              <w:t>绩点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noWrap w:val="0"/>
            <w:vAlign w:val="center"/>
          </w:tcPr>
          <w:p>
            <w:pPr>
              <w:pageBreakBefore w:val="0"/>
              <w:widowControl/>
              <w:topLinePunct w:val="0"/>
              <w:bidi w:val="0"/>
              <w:adjustRightInd w:val="0"/>
              <w:snapToGrid w:val="0"/>
              <w:spacing w:line="500" w:lineRule="exact"/>
              <w:ind w:firstLine="480" w:firstLineChars="200"/>
              <w:jc w:val="left"/>
              <w:outlineLvl w:val="9"/>
              <w:rPr>
                <w:rFonts w:hint="eastAsia" w:eastAsia="仿宋_GB2312"/>
                <w:kern w:val="0"/>
                <w:sz w:val="24"/>
                <w:szCs w:val="24"/>
              </w:rPr>
            </w:pPr>
            <w:r>
              <w:rPr>
                <w:rFonts w:hint="eastAsia" w:eastAsia="仿宋_GB2312"/>
                <w:kern w:val="0"/>
                <w:sz w:val="24"/>
                <w:szCs w:val="24"/>
              </w:rPr>
              <w:t>≥90</w:t>
            </w:r>
          </w:p>
        </w:tc>
        <w:tc>
          <w:tcPr>
            <w:tcW w:w="2629" w:type="dxa"/>
            <w:noWrap w:val="0"/>
            <w:vAlign w:val="center"/>
          </w:tcPr>
          <w:p>
            <w:pPr>
              <w:pageBreakBefore w:val="0"/>
              <w:widowControl/>
              <w:topLinePunct w:val="0"/>
              <w:bidi w:val="0"/>
              <w:adjustRightInd w:val="0"/>
              <w:snapToGrid w:val="0"/>
              <w:spacing w:line="500" w:lineRule="exact"/>
              <w:ind w:firstLine="480" w:firstLineChars="200"/>
              <w:jc w:val="left"/>
              <w:outlineLvl w:val="9"/>
              <w:rPr>
                <w:rFonts w:hint="eastAsia" w:eastAsia="仿宋_GB2312"/>
                <w:kern w:val="0"/>
                <w:sz w:val="24"/>
                <w:szCs w:val="24"/>
              </w:rPr>
            </w:pPr>
            <w:r>
              <w:rPr>
                <w:rFonts w:hint="eastAsia" w:eastAsia="仿宋_GB2312"/>
                <w:kern w:val="0"/>
                <w:sz w:val="24"/>
                <w:szCs w:val="24"/>
              </w:rPr>
              <w:t>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noWrap w:val="0"/>
            <w:vAlign w:val="center"/>
          </w:tcPr>
          <w:p>
            <w:pPr>
              <w:pageBreakBefore w:val="0"/>
              <w:widowControl/>
              <w:topLinePunct w:val="0"/>
              <w:bidi w:val="0"/>
              <w:adjustRightInd w:val="0"/>
              <w:snapToGrid w:val="0"/>
              <w:spacing w:line="500" w:lineRule="exact"/>
              <w:ind w:firstLine="480" w:firstLineChars="200"/>
              <w:jc w:val="left"/>
              <w:outlineLvl w:val="9"/>
              <w:rPr>
                <w:rFonts w:hint="eastAsia" w:eastAsia="仿宋_GB2312"/>
                <w:kern w:val="0"/>
                <w:sz w:val="24"/>
                <w:szCs w:val="24"/>
              </w:rPr>
            </w:pPr>
            <w:r>
              <w:rPr>
                <w:rFonts w:hint="eastAsia" w:eastAsia="仿宋_GB2312"/>
                <w:kern w:val="0"/>
                <w:sz w:val="24"/>
                <w:szCs w:val="24"/>
              </w:rPr>
              <w:t>80-89</w:t>
            </w:r>
          </w:p>
        </w:tc>
        <w:tc>
          <w:tcPr>
            <w:tcW w:w="2629" w:type="dxa"/>
            <w:noWrap w:val="0"/>
            <w:vAlign w:val="center"/>
          </w:tcPr>
          <w:p>
            <w:pPr>
              <w:pageBreakBefore w:val="0"/>
              <w:widowControl/>
              <w:topLinePunct w:val="0"/>
              <w:bidi w:val="0"/>
              <w:adjustRightInd w:val="0"/>
              <w:snapToGrid w:val="0"/>
              <w:spacing w:line="500" w:lineRule="exact"/>
              <w:ind w:firstLine="480" w:firstLineChars="200"/>
              <w:jc w:val="left"/>
              <w:outlineLvl w:val="9"/>
              <w:rPr>
                <w:rFonts w:hint="eastAsia" w:eastAsia="仿宋_GB2312"/>
                <w:kern w:val="0"/>
                <w:sz w:val="24"/>
                <w:szCs w:val="24"/>
              </w:rPr>
            </w:pPr>
            <w:r>
              <w:rPr>
                <w:rFonts w:hint="eastAsia" w:eastAsia="仿宋_GB2312"/>
                <w:kern w:val="0"/>
                <w:sz w:val="24"/>
                <w:szCs w:val="24"/>
              </w:rPr>
              <w:t>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noWrap w:val="0"/>
            <w:vAlign w:val="center"/>
          </w:tcPr>
          <w:p>
            <w:pPr>
              <w:pageBreakBefore w:val="0"/>
              <w:widowControl/>
              <w:topLinePunct w:val="0"/>
              <w:bidi w:val="0"/>
              <w:adjustRightInd w:val="0"/>
              <w:snapToGrid w:val="0"/>
              <w:spacing w:line="500" w:lineRule="exact"/>
              <w:ind w:firstLine="480" w:firstLineChars="200"/>
              <w:jc w:val="left"/>
              <w:outlineLvl w:val="9"/>
              <w:rPr>
                <w:rFonts w:hint="eastAsia" w:eastAsia="仿宋_GB2312"/>
                <w:kern w:val="0"/>
                <w:sz w:val="24"/>
                <w:szCs w:val="24"/>
              </w:rPr>
            </w:pPr>
            <w:r>
              <w:rPr>
                <w:rFonts w:hint="eastAsia" w:eastAsia="仿宋_GB2312"/>
                <w:kern w:val="0"/>
                <w:sz w:val="24"/>
                <w:szCs w:val="24"/>
              </w:rPr>
              <w:t>70-79</w:t>
            </w:r>
          </w:p>
        </w:tc>
        <w:tc>
          <w:tcPr>
            <w:tcW w:w="2629" w:type="dxa"/>
            <w:noWrap w:val="0"/>
            <w:vAlign w:val="center"/>
          </w:tcPr>
          <w:p>
            <w:pPr>
              <w:pageBreakBefore w:val="0"/>
              <w:widowControl/>
              <w:topLinePunct w:val="0"/>
              <w:bidi w:val="0"/>
              <w:adjustRightInd w:val="0"/>
              <w:snapToGrid w:val="0"/>
              <w:spacing w:line="500" w:lineRule="exact"/>
              <w:ind w:firstLine="480" w:firstLineChars="200"/>
              <w:jc w:val="left"/>
              <w:outlineLvl w:val="9"/>
              <w:rPr>
                <w:rFonts w:hint="eastAsia" w:eastAsia="仿宋_GB2312"/>
                <w:kern w:val="0"/>
                <w:sz w:val="24"/>
                <w:szCs w:val="24"/>
              </w:rPr>
            </w:pPr>
            <w:r>
              <w:rPr>
                <w:rFonts w:hint="eastAsia" w:eastAsia="仿宋_GB2312"/>
                <w:kern w:val="0"/>
                <w:sz w:val="24"/>
                <w:szCs w:val="24"/>
              </w:rPr>
              <w:t>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noWrap w:val="0"/>
            <w:vAlign w:val="center"/>
          </w:tcPr>
          <w:p>
            <w:pPr>
              <w:pageBreakBefore w:val="0"/>
              <w:widowControl/>
              <w:topLinePunct w:val="0"/>
              <w:bidi w:val="0"/>
              <w:adjustRightInd w:val="0"/>
              <w:snapToGrid w:val="0"/>
              <w:spacing w:line="500" w:lineRule="exact"/>
              <w:ind w:firstLine="480" w:firstLineChars="200"/>
              <w:jc w:val="left"/>
              <w:outlineLvl w:val="9"/>
              <w:rPr>
                <w:rFonts w:hint="eastAsia" w:eastAsia="仿宋_GB2312"/>
                <w:kern w:val="0"/>
                <w:sz w:val="24"/>
                <w:szCs w:val="24"/>
              </w:rPr>
            </w:pPr>
            <w:r>
              <w:rPr>
                <w:rFonts w:hint="eastAsia" w:eastAsia="仿宋_GB2312"/>
                <w:kern w:val="0"/>
                <w:sz w:val="24"/>
                <w:szCs w:val="24"/>
              </w:rPr>
              <w:t>60-69</w:t>
            </w:r>
          </w:p>
        </w:tc>
        <w:tc>
          <w:tcPr>
            <w:tcW w:w="2629" w:type="dxa"/>
            <w:noWrap w:val="0"/>
            <w:vAlign w:val="center"/>
          </w:tcPr>
          <w:p>
            <w:pPr>
              <w:pageBreakBefore w:val="0"/>
              <w:widowControl/>
              <w:topLinePunct w:val="0"/>
              <w:bidi w:val="0"/>
              <w:adjustRightInd w:val="0"/>
              <w:snapToGrid w:val="0"/>
              <w:spacing w:line="500" w:lineRule="exact"/>
              <w:ind w:firstLine="480" w:firstLineChars="200"/>
              <w:jc w:val="left"/>
              <w:outlineLvl w:val="9"/>
              <w:rPr>
                <w:rFonts w:hint="eastAsia" w:eastAsia="仿宋_GB2312"/>
                <w:kern w:val="0"/>
                <w:sz w:val="24"/>
                <w:szCs w:val="24"/>
              </w:rPr>
            </w:pPr>
            <w:r>
              <w:rPr>
                <w:rFonts w:hint="eastAsia" w:eastAsia="仿宋_GB2312"/>
                <w:kern w:val="0"/>
                <w:sz w:val="24"/>
                <w:szCs w:val="24"/>
              </w:rPr>
              <w:t>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628" w:type="dxa"/>
            <w:noWrap w:val="0"/>
            <w:vAlign w:val="center"/>
          </w:tcPr>
          <w:p>
            <w:pPr>
              <w:pageBreakBefore w:val="0"/>
              <w:widowControl/>
              <w:topLinePunct w:val="0"/>
              <w:bidi w:val="0"/>
              <w:adjustRightInd w:val="0"/>
              <w:snapToGrid w:val="0"/>
              <w:spacing w:line="500" w:lineRule="exact"/>
              <w:ind w:firstLine="480" w:firstLineChars="200"/>
              <w:jc w:val="left"/>
              <w:outlineLvl w:val="9"/>
              <w:rPr>
                <w:rFonts w:hint="eastAsia" w:eastAsia="仿宋_GB2312"/>
                <w:kern w:val="0"/>
                <w:sz w:val="24"/>
                <w:szCs w:val="24"/>
              </w:rPr>
            </w:pPr>
            <w:r>
              <w:rPr>
                <w:rFonts w:hint="eastAsia" w:eastAsia="仿宋_GB2312"/>
                <w:kern w:val="0"/>
                <w:sz w:val="24"/>
                <w:szCs w:val="24"/>
              </w:rPr>
              <w:t>&lt;60</w:t>
            </w:r>
          </w:p>
        </w:tc>
        <w:tc>
          <w:tcPr>
            <w:tcW w:w="2629" w:type="dxa"/>
            <w:noWrap w:val="0"/>
            <w:vAlign w:val="center"/>
          </w:tcPr>
          <w:p>
            <w:pPr>
              <w:pageBreakBefore w:val="0"/>
              <w:widowControl/>
              <w:topLinePunct w:val="0"/>
              <w:bidi w:val="0"/>
              <w:adjustRightInd w:val="0"/>
              <w:snapToGrid w:val="0"/>
              <w:spacing w:line="500" w:lineRule="exact"/>
              <w:ind w:firstLine="480" w:firstLineChars="200"/>
              <w:jc w:val="left"/>
              <w:outlineLvl w:val="9"/>
              <w:rPr>
                <w:rFonts w:hint="eastAsia" w:eastAsia="仿宋_GB2312"/>
                <w:kern w:val="0"/>
                <w:sz w:val="24"/>
                <w:szCs w:val="24"/>
              </w:rPr>
            </w:pPr>
            <w:r>
              <w:rPr>
                <w:rFonts w:hint="eastAsia" w:eastAsia="仿宋_GB2312"/>
                <w:kern w:val="0"/>
                <w:sz w:val="24"/>
                <w:szCs w:val="24"/>
              </w:rPr>
              <w:t>0</w:t>
            </w:r>
          </w:p>
        </w:tc>
      </w:tr>
    </w:tbl>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一门课程的成绩记载包括成绩分值、学分、绩点和课程性质（必修、选修、限选）等。学生成绩总表中还应包括学生修读学分总数和平均绩点，其中平均绩点的计算方法为：</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pict>
          <v:shape id="Object 302" o:spid="_x0000_s1161" o:spt="75" type="#_x0000_t75" style="position:absolute;left:0pt;margin-left:113.25pt;margin-top:21.25pt;height:45pt;width:108.7pt;mso-wrap-distance-bottom:0pt;mso-wrap-distance-left:9pt;mso-wrap-distance-right:9pt;mso-wrap-distance-top:0pt;z-index:251776000;mso-width-relative:page;mso-height-relative:page;" o:ole="t" filled="f" o:preferrelative="f" stroked="f" coordsize="21600,21600">
            <v:path/>
            <v:fill on="f" focussize="0,0"/>
            <v:stroke on="f" joinstyle="miter"/>
            <v:imagedata r:id="rId13" o:title=""/>
            <o:lock v:ext="edit" aspectratio="f"/>
            <w10:wrap type="square"/>
          </v:shape>
          <o:OLEObject Type="Embed" ProgID="" ShapeID="Object 302" DrawAspect="Content" ObjectID="_1468075728" r:id="rId18">
            <o:LockedField>false</o:LockedField>
          </o:OLEObject>
        </w:pic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平均绩点=</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（其中：课程的学分绩点＝学分×绩点）</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17.学生体育成绩评定突出过程管理，主要根据考勤、课内教学、课外锻炼活动和体质健康等情况综合评定。</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18.学生参加创新创业、社会实践等活动以及发表论文、获得专利授权等与专业学习、学业要求相关的经历、成果，由二级学院审定，可以折算为创新创业教育学分，计入学业成绩。</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19.军事理论属于必修课，学生因身体疾病或某种生理缺陷，经二级甲等以上医院诊断不能正常参加军事技能的，可在军训前向所在二级学院提出缓训、免训或半训申请，并报武装部审核批准。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20.学生旷课累计达到某门课程教学时数三分之一者，不得参加该课程的考核，必须复读该课程。</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21.为保证考试顺利进行，考试期间原则上不准请假。因故不能参加考试的学生须在考试前申请缓考，一门课程学生只准申请缓考一次，原则上补考不得申请缓考。缓考不及格者，不再予以补考，应复读该门课程。</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22.凡缺考或考试作弊者，不准补考，学生必须复读该课程，并在学籍档案的相应位置注明“旷缺”或“作弊”字样。</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23.学生应修满学校第二课堂规定的40积分并获得成绩单。</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六、选课与免修</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24.按《学分制管理规定》的要求，学生实行选课学习。学生应按专业人才培养方案的安排修读各门课程，并在规定的学习年限内取得所学专业规定修读的所有学分。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25.学生在每学期选课前应详细阅读本专业的人才培养方案和课程简介，根据本人的学习能力慎重选课。</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26.已修读过并取得学分的课程不得再修。</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27.除人才培养方案规定的思想政治教育、安全教育、创业创新教育、体育、劳动、艺术和实践性教学等课程外，其他课程满足以下几种情况可以申请免修并取得折算成绩，或参加考试，以考试成绩记分：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（1）学生转专业后，原已修读并取得学分的课程可以免修。</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持有高等教育自学考试单科合格证书或持有国家、上海市人力资源与社会保障部门颁发的职业资格证书或行企业职业技能等级证书的学生，可申请免修与教学标准要求相一致的课程。经审核批准后，给予相应学分，成绩以80分计，并在学籍档案中记录证书明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学生参加上海电子信息职业技术学院考点组织的高等学校英语应用能力考试，获取高等学校英语应用能力考试A级证书（艺术类专业学生获取B级证书），可免修或抵充考试所在学期的实用英语课程，并给予相应学分，成绩以80分计；学生参加上海电子信息职业技术学院考点组织的大学英语四级考试，成绩在425分(含425分)以上，可免修或抵充实用英语课程，并给予相应学分，成绩以80分计。</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（4）学生参加上海电子信息职业技术学院考点组织的上海市高校计算机等级考试，获得一级证书，可免修或抵充计算机应用基础课程，并给予相应学分，成绩优秀的以80分计，成绩合格的以60分计。</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（5）学生参加全国一类、全国二类、上海一类等职业技能竞赛，取得三等奖以上成绩的，可免修参加竞赛所在学期的相应课程，取得相应的学分，具体成绩折算方法为：</w:t>
      </w:r>
    </w:p>
    <w:tbl>
      <w:tblPr>
        <w:tblStyle w:val="37"/>
        <w:tblW w:w="8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959"/>
        <w:gridCol w:w="1874"/>
        <w:gridCol w:w="2259"/>
        <w:gridCol w:w="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1494" w:type="dxa"/>
            <w:noWrap w:val="0"/>
            <w:vAlign w:val="center"/>
          </w:tcPr>
          <w:p>
            <w:pPr>
              <w:pageBreakBefore w:val="0"/>
              <w:widowControl/>
              <w:topLinePunct w:val="0"/>
              <w:bidi w:val="0"/>
              <w:adjustRightInd w:val="0"/>
              <w:snapToGrid w:val="0"/>
              <w:spacing w:line="500" w:lineRule="exact"/>
              <w:jc w:val="center"/>
              <w:outlineLvl w:val="9"/>
              <w:rPr>
                <w:rFonts w:hint="eastAsia" w:eastAsia="仿宋_GB2312"/>
                <w:kern w:val="0"/>
                <w:sz w:val="21"/>
                <w:szCs w:val="21"/>
              </w:rPr>
            </w:pPr>
            <w:r>
              <w:rPr>
                <w:rFonts w:hint="eastAsia" w:eastAsia="仿宋_GB2312"/>
                <w:kern w:val="0"/>
                <w:sz w:val="21"/>
                <w:szCs w:val="21"/>
              </w:rPr>
              <w:t>等第</w:t>
            </w:r>
          </w:p>
        </w:tc>
        <w:tc>
          <w:tcPr>
            <w:tcW w:w="1959" w:type="dxa"/>
            <w:noWrap w:val="0"/>
            <w:vAlign w:val="center"/>
          </w:tcPr>
          <w:p>
            <w:pPr>
              <w:pageBreakBefore w:val="0"/>
              <w:widowControl/>
              <w:topLinePunct w:val="0"/>
              <w:bidi w:val="0"/>
              <w:adjustRightInd w:val="0"/>
              <w:snapToGrid w:val="0"/>
              <w:spacing w:line="500" w:lineRule="exact"/>
              <w:jc w:val="center"/>
              <w:outlineLvl w:val="9"/>
              <w:rPr>
                <w:rFonts w:hint="eastAsia" w:eastAsia="仿宋_GB2312"/>
                <w:kern w:val="0"/>
                <w:sz w:val="21"/>
                <w:szCs w:val="21"/>
              </w:rPr>
            </w:pPr>
            <w:r>
              <w:rPr>
                <w:rFonts w:hint="eastAsia" w:eastAsia="仿宋_GB2312"/>
                <w:kern w:val="0"/>
                <w:sz w:val="21"/>
                <w:szCs w:val="21"/>
                <w:lang w:eastAsia="zh-CN"/>
              </w:rPr>
              <w:t>全国一类二等奖及以上或</w:t>
            </w:r>
            <w:r>
              <w:rPr>
                <w:rFonts w:hint="eastAsia" w:eastAsia="仿宋_GB2312"/>
                <w:kern w:val="0"/>
                <w:sz w:val="21"/>
                <w:szCs w:val="21"/>
              </w:rPr>
              <w:t>全国二类</w:t>
            </w:r>
            <w:r>
              <w:rPr>
                <w:rFonts w:hint="eastAsia" w:eastAsia="仿宋_GB2312"/>
                <w:kern w:val="0"/>
                <w:sz w:val="21"/>
                <w:szCs w:val="21"/>
                <w:lang w:eastAsia="zh-CN"/>
              </w:rPr>
              <w:t>、上海一类</w:t>
            </w:r>
            <w:r>
              <w:rPr>
                <w:rFonts w:hint="eastAsia" w:eastAsia="仿宋_GB2312"/>
                <w:kern w:val="0"/>
                <w:sz w:val="21"/>
                <w:szCs w:val="21"/>
              </w:rPr>
              <w:t>一等奖及以上</w:t>
            </w:r>
          </w:p>
        </w:tc>
        <w:tc>
          <w:tcPr>
            <w:tcW w:w="1874" w:type="dxa"/>
            <w:noWrap w:val="0"/>
            <w:vAlign w:val="center"/>
          </w:tcPr>
          <w:p>
            <w:pPr>
              <w:pageBreakBefore w:val="0"/>
              <w:widowControl/>
              <w:topLinePunct w:val="0"/>
              <w:bidi w:val="0"/>
              <w:adjustRightInd w:val="0"/>
              <w:snapToGrid w:val="0"/>
              <w:spacing w:line="500" w:lineRule="exact"/>
              <w:jc w:val="center"/>
              <w:outlineLvl w:val="9"/>
              <w:rPr>
                <w:rFonts w:hint="eastAsia" w:eastAsia="仿宋_GB2312"/>
                <w:kern w:val="0"/>
                <w:sz w:val="21"/>
                <w:szCs w:val="21"/>
              </w:rPr>
            </w:pPr>
            <w:r>
              <w:rPr>
                <w:rFonts w:hint="eastAsia" w:eastAsia="仿宋_GB2312"/>
                <w:kern w:val="0"/>
                <w:sz w:val="21"/>
                <w:szCs w:val="21"/>
                <w:lang w:eastAsia="zh-CN"/>
              </w:rPr>
              <w:t>全国一类三等奖或</w:t>
            </w:r>
            <w:r>
              <w:rPr>
                <w:rFonts w:hint="eastAsia" w:eastAsia="仿宋_GB2312"/>
                <w:kern w:val="0"/>
                <w:sz w:val="21"/>
                <w:szCs w:val="21"/>
              </w:rPr>
              <w:t>全国二类/上海一类</w:t>
            </w:r>
            <w:r>
              <w:rPr>
                <w:rFonts w:hint="eastAsia" w:eastAsia="仿宋_GB2312"/>
                <w:kern w:val="0"/>
                <w:sz w:val="21"/>
                <w:szCs w:val="21"/>
                <w:lang w:eastAsia="zh-CN"/>
              </w:rPr>
              <w:t>二</w:t>
            </w:r>
            <w:r>
              <w:rPr>
                <w:rFonts w:hint="eastAsia" w:eastAsia="仿宋_GB2312"/>
                <w:kern w:val="0"/>
                <w:sz w:val="21"/>
                <w:szCs w:val="21"/>
              </w:rPr>
              <w:t>等奖</w:t>
            </w:r>
          </w:p>
        </w:tc>
        <w:tc>
          <w:tcPr>
            <w:tcW w:w="2259" w:type="dxa"/>
            <w:noWrap w:val="0"/>
            <w:vAlign w:val="center"/>
          </w:tcPr>
          <w:p>
            <w:pPr>
              <w:pageBreakBefore w:val="0"/>
              <w:widowControl/>
              <w:topLinePunct w:val="0"/>
              <w:bidi w:val="0"/>
              <w:adjustRightInd w:val="0"/>
              <w:snapToGrid w:val="0"/>
              <w:spacing w:line="500" w:lineRule="exact"/>
              <w:jc w:val="center"/>
              <w:outlineLvl w:val="9"/>
              <w:rPr>
                <w:rFonts w:hint="eastAsia" w:eastAsia="仿宋_GB2312"/>
                <w:kern w:val="0"/>
                <w:sz w:val="21"/>
                <w:szCs w:val="21"/>
              </w:rPr>
            </w:pPr>
            <w:r>
              <w:rPr>
                <w:rFonts w:hint="eastAsia" w:eastAsia="仿宋_GB2312"/>
                <w:kern w:val="0"/>
                <w:sz w:val="21"/>
                <w:szCs w:val="21"/>
                <w:lang w:eastAsia="zh-CN"/>
              </w:rPr>
              <w:t>全国一类参赛集训或</w:t>
            </w:r>
            <w:r>
              <w:rPr>
                <w:rFonts w:hint="eastAsia" w:eastAsia="仿宋_GB2312"/>
                <w:kern w:val="0"/>
                <w:sz w:val="21"/>
                <w:szCs w:val="21"/>
              </w:rPr>
              <w:t>全国二类/上海一类三等奖</w:t>
            </w:r>
          </w:p>
        </w:tc>
        <w:tc>
          <w:tcPr>
            <w:tcW w:w="511" w:type="dxa"/>
            <w:noWrap w:val="0"/>
            <w:vAlign w:val="center"/>
          </w:tcPr>
          <w:p>
            <w:pPr>
              <w:pageBreakBefore w:val="0"/>
              <w:widowControl/>
              <w:topLinePunct w:val="0"/>
              <w:bidi w:val="0"/>
              <w:adjustRightInd w:val="0"/>
              <w:snapToGrid w:val="0"/>
              <w:spacing w:line="500" w:lineRule="exact"/>
              <w:ind w:firstLine="480" w:firstLineChars="200"/>
              <w:jc w:val="left"/>
              <w:outlineLvl w:val="9"/>
              <w:rPr>
                <w:rFonts w:hint="eastAsia"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494" w:type="dxa"/>
            <w:noWrap w:val="0"/>
            <w:vAlign w:val="center"/>
          </w:tcPr>
          <w:p>
            <w:pPr>
              <w:pageBreakBefore w:val="0"/>
              <w:widowControl/>
              <w:topLinePunct w:val="0"/>
              <w:bidi w:val="0"/>
              <w:adjustRightInd w:val="0"/>
              <w:snapToGrid w:val="0"/>
              <w:spacing w:line="500" w:lineRule="exact"/>
              <w:jc w:val="left"/>
              <w:outlineLvl w:val="9"/>
              <w:rPr>
                <w:rFonts w:hint="eastAsia" w:eastAsia="仿宋_GB2312"/>
                <w:kern w:val="0"/>
                <w:sz w:val="21"/>
                <w:szCs w:val="21"/>
              </w:rPr>
            </w:pPr>
            <w:r>
              <w:rPr>
                <w:rFonts w:hint="eastAsia" w:eastAsia="仿宋_GB2312"/>
                <w:kern w:val="0"/>
                <w:sz w:val="21"/>
                <w:szCs w:val="21"/>
              </w:rPr>
              <w:t>分数</w:t>
            </w:r>
          </w:p>
        </w:tc>
        <w:tc>
          <w:tcPr>
            <w:tcW w:w="1959" w:type="dxa"/>
            <w:noWrap w:val="0"/>
            <w:vAlign w:val="center"/>
          </w:tcPr>
          <w:p>
            <w:pPr>
              <w:pageBreakBefore w:val="0"/>
              <w:widowControl/>
              <w:topLinePunct w:val="0"/>
              <w:bidi w:val="0"/>
              <w:adjustRightInd w:val="0"/>
              <w:snapToGrid w:val="0"/>
              <w:spacing w:line="500" w:lineRule="exact"/>
              <w:ind w:firstLine="420" w:firstLineChars="200"/>
              <w:jc w:val="left"/>
              <w:outlineLvl w:val="9"/>
              <w:rPr>
                <w:rFonts w:hint="eastAsia" w:eastAsia="仿宋_GB2312"/>
                <w:kern w:val="0"/>
                <w:sz w:val="21"/>
                <w:szCs w:val="21"/>
              </w:rPr>
            </w:pPr>
            <w:r>
              <w:rPr>
                <w:rFonts w:hint="eastAsia" w:eastAsia="仿宋_GB2312"/>
                <w:kern w:val="0"/>
                <w:sz w:val="21"/>
                <w:szCs w:val="21"/>
              </w:rPr>
              <w:t>95分</w:t>
            </w:r>
          </w:p>
        </w:tc>
        <w:tc>
          <w:tcPr>
            <w:tcW w:w="1874" w:type="dxa"/>
            <w:noWrap w:val="0"/>
            <w:vAlign w:val="center"/>
          </w:tcPr>
          <w:p>
            <w:pPr>
              <w:pageBreakBefore w:val="0"/>
              <w:widowControl/>
              <w:topLinePunct w:val="0"/>
              <w:bidi w:val="0"/>
              <w:adjustRightInd w:val="0"/>
              <w:snapToGrid w:val="0"/>
              <w:spacing w:line="500" w:lineRule="exact"/>
              <w:ind w:firstLine="420" w:firstLineChars="200"/>
              <w:jc w:val="left"/>
              <w:outlineLvl w:val="9"/>
              <w:rPr>
                <w:rFonts w:hint="eastAsia" w:eastAsia="仿宋_GB2312"/>
                <w:kern w:val="0"/>
                <w:sz w:val="21"/>
                <w:szCs w:val="21"/>
              </w:rPr>
            </w:pPr>
            <w:r>
              <w:rPr>
                <w:rFonts w:hint="eastAsia" w:eastAsia="仿宋_GB2312"/>
                <w:kern w:val="0"/>
                <w:sz w:val="21"/>
                <w:szCs w:val="21"/>
              </w:rPr>
              <w:t>90分</w:t>
            </w:r>
          </w:p>
        </w:tc>
        <w:tc>
          <w:tcPr>
            <w:tcW w:w="2259" w:type="dxa"/>
            <w:noWrap w:val="0"/>
            <w:vAlign w:val="center"/>
          </w:tcPr>
          <w:p>
            <w:pPr>
              <w:pageBreakBefore w:val="0"/>
              <w:widowControl/>
              <w:topLinePunct w:val="0"/>
              <w:bidi w:val="0"/>
              <w:adjustRightInd w:val="0"/>
              <w:snapToGrid w:val="0"/>
              <w:spacing w:line="500" w:lineRule="exact"/>
              <w:ind w:firstLine="420" w:firstLineChars="200"/>
              <w:jc w:val="left"/>
              <w:outlineLvl w:val="9"/>
              <w:rPr>
                <w:rFonts w:hint="eastAsia" w:eastAsia="仿宋_GB2312"/>
                <w:kern w:val="0"/>
                <w:sz w:val="21"/>
                <w:szCs w:val="21"/>
              </w:rPr>
            </w:pPr>
            <w:r>
              <w:rPr>
                <w:rFonts w:hint="eastAsia" w:eastAsia="仿宋_GB2312"/>
                <w:kern w:val="0"/>
                <w:sz w:val="21"/>
                <w:szCs w:val="21"/>
              </w:rPr>
              <w:t>85分</w:t>
            </w:r>
          </w:p>
        </w:tc>
        <w:tc>
          <w:tcPr>
            <w:tcW w:w="511" w:type="dxa"/>
            <w:noWrap w:val="0"/>
            <w:vAlign w:val="center"/>
          </w:tcPr>
          <w:p>
            <w:pPr>
              <w:pageBreakBefore w:val="0"/>
              <w:widowControl/>
              <w:topLinePunct w:val="0"/>
              <w:bidi w:val="0"/>
              <w:adjustRightInd w:val="0"/>
              <w:snapToGrid w:val="0"/>
              <w:spacing w:line="500" w:lineRule="exact"/>
              <w:ind w:firstLine="480" w:firstLineChars="200"/>
              <w:jc w:val="left"/>
              <w:outlineLvl w:val="9"/>
              <w:rPr>
                <w:rFonts w:hint="eastAsia" w:eastAsia="仿宋_GB2312"/>
                <w:kern w:val="0"/>
                <w:sz w:val="24"/>
                <w:szCs w:val="24"/>
              </w:rPr>
            </w:pPr>
          </w:p>
        </w:tc>
      </w:tr>
    </w:tbl>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如学生在参赛期间表现优异，各二级学院可适当上调分值。</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根据《退役士兵安置条例》（国务院令第608号）第28条规定，退役学生可以免修体育和军事理论，直接获得学分。体育以85分记，军事理论以95分记，如学生在服役期间有立功或嘉奖，各二级学院可适当上调分值。</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体育和军事理论课程免修办理流程为：退役学生在每学期开学一周内向所在二级学院提出相关课程免修申请；各二级学院在每学期开学三周内向体育和军事理论课程所在授课部门提供免修学生名单和成绩；授课部门负责通知有关任课教师按照免修办理并给予成绩。</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根据《教育部办公厅关于进一步做好高校学生参军入伍的通知》（教学厅[2015]3号）第10条规定，退役学生入伍经历可作为毕业实习经历。我校退役学生办理免听手续后，可以不用参加毕业顶岗实习，但必须撰写毕业顶岗实习报告，参加毕业顶岗实习答辩，答辩通过后方可获得学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七、学业警告</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28.一学期经考核未取得所修课程的学分累计达到或超过12学分者，二级学院应向学生或家长送达《学业警告通知单》，给予其学业警告。因家庭地址或联系方式变更导致无法送达的，可通过二级学院网站以公告方式送达，公告发布时间不得少于四周。</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29.学生受到学业警告后，应及时安排好不及格课程的复读；在无力复读的情况下可申请降级继续学习。降级学生按降级以后所在年级的收费标准缴费、注册。</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八、补考与复读</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30.学生考核不及格的课程，可参加补考，补考只有一次。公共基础选修、公共艺术选修课一般不组织补考,学生应通过复读来完成规定的学分；复读可以选修同一门课程，也可以选修其他课程。</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补考及格的课程成绩以“60分”计，补考不及格的课程必须复读。</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31.缺交实训报告或在一学期内缺交一门课程的三分之一作业者不得参加该课程的考核，补足实训报告或作业后只能参加该门课程的补考。单列课程的大型作业、课程设计、实习、实训与毕业顶岗实习等实践性教学环节不设补考，考核不及格者必须复读。学生必须按时提交毕业顶岗实习报告并参加毕业顶岗实习答辩，因故不能按时参加答辩的，须在答辩前三天向所在二级学院提交暂缓答辩书面申请，报二级学院审核批准；无故未参加答辩的必须复读毕业顶岗实习，重新参加实习，重新撰写实习报告并参加答辩。</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32.学生应根据学校有关要求参加复读选课，选课时应避免复读课程与在读课程的时间冲突，如复读课程较多也可以选择降级学习。学生应按规定缴纳复读费用，办理复读注册手续。学生在同一学期参加复读课程原则上不得超过三门。</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default"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33.复读所选的课程，必修课、选修课不能相互替代。必修课程应复读人才培养方案规定的原课程；选修课程在限定选修的范围内可选择其他未修的课程代替，但复读所选课程的学分应不低于原所修课程的学分。在最长学习年限内，同一课程在考核未通过前可以复读多次。</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34.学生复读课程考核合格，在学生成绩总表中记载成绩并标注“复读”，考核不及格的可以参加补考。</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35.学生因参加竞赛、顶岗实习等学校重大教学活动，造成复读无法跟班上课的，可选择该课程在线学习；无在线课程的，应于上课前向任课教师提交《在线课程学习申请表》办理手续，经审核同意后实行在线课程修读，并按照教师要求完成相关作业提交和课程考核。</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九、考勤</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36.学生应按时参加课程学习和其他教育教学活动，并接受考勤。因故不能参加的，应当事先请假并获得批准，无故缺席者作旷课处理。其中，人才培养方案中规定的实践性教学环节，每缺勤一天按旷课6学时计。</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37.学生迟到、早退累计3次作旷课1学时处理。对旷课的学生，二级学院应及时予以批评教育，并按有关规定进行处理。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十、转专业与转学</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38.学生应在被录取专业完成学业，一般不得转专业。学生在学习期间对其他专业有兴趣和专长的，可以申请转专业，按照学校《学生转专业管理办法》要求办理。贯通培养的学生原则上不得转专业。学生提出转专业申请后，原则上不得撤回。</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学校按规定对转专业结果进行公示。</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39.学生一般应当在被录取学校完成学业。因患病或者有特殊困难、特别需要，无法继续在学校学习或者不适应学校学习要求的，可以申请转学。有下列情形之一，不得转学：</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（1）入学未满一学期或者毕业前一年的；</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（2）高考成绩低于拟转入学校相关专业同一生源地相应年份录取成绩的；</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（3）由低学历层次转为高学历层次的；</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（4）以定向就业招生录取的；</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（5）无正当转学理由的。</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学生因学校培养条件改变等非本人原因需要转学的，学校应当出具证明，由所在地省级教育行政部门协调转学到同层次学校。</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40.学生转学由学生本人提出申请，说明理由，经所在学校和拟转入学校同意，由转入学校负责审核转学条件及相关证明，认为符合本校培养要求且学校有培养能力的，经学校校长办公会或者专题会议研究决定，可以转入。学校按规定对转学结果进行公示。</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跨省转学的，由转出地省级教育行政部门商转入地省级教育行政部门，按转学条件确认后办理转学手续。须转户口的由转入地省级教育行政部门将有关文件抄送转入学校所在地的公安机关。</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十一、休学、复学、退学</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41.学生有下列情况之一者，应予休学：</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（1）因病经二级甲等以上医院诊断，须停课治疗、休养占一学期总学时三分之一以上者；</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（2）根据考勤，一学期请假、缺课超过该学期总学时三分之一者；</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（3）学生申请自主创业的；</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（4）因某种特殊原因，本人申请或学校认为应休学者。</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42.学生提出休学的，需按规定提交休学申请表和其他证明材料（因病休学的须提供医院诊断证明等材料；因自主创业申请休学的须提供创业前期准备材料和创业计划书等）报教务处审核批准。休学学生应当办理离校手续。学生休学期间具有学籍，但不享受在校生待遇，不得参加教育教学活动。因病休学学生的医疗费按国家和当地有关规定处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休学一般以一年为期，原则上不得提前复学，学生休学期满需要续休的，应再次办理休学手续。学生在校期间累计休学不得超过两年；因自主创业申请休学的不得超过三年，最长学习年限不得超过七年(贯通培养学生不得超过五年)。休学期满不办理复学手续者，作自动退学处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43.学生申请复学的，应于休学期满一个月前按规定提交复学申请表和其他证明材料（因病休学的须提供医院出具的健康状况证明）报教务处审核批准，经批准后可进入原专业下一年级学习。如审核批准不通过的可办理继续休学或退学手续，如因专业设置调整或身体状况无法适应原专业学习的可申请转专业或办理退学手续。</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44.学生应征参加中国人民解放军、中国人民武装警察部队，需按规定提交保留学籍申请表和其他证明材料报教务处审核批准，学校为其保留其学籍至退役后两年。保留学籍学生应当办理离校手续。学生保留学籍期间，与其实际所在部队等组织建立联系、确定管理关系。</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45.学生有下列情形之一，学校可作自动退学处理：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（1）学业成绩未达到学校要求或者在学校规定学习年限内（含休学）未完成学业的；</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（2）休学期满，在学校规定期限内未提出复学申请或者申请复学经复查不合格的；</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（3）延长学业期满，未办理相关后续手续的；</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（4）经二级甲等以上医院诊断，患有疾病或者意外伤残无法继续在校学习的；</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（5）未经批准连续两周未参加学校规定的教学活动的；</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（6）超过学校规定期限未注册而又未履行暂缓注册手续的。</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学生本人申请退学的，由学校审核同意后，办理退学手续。</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46.符合自动退学条件的，由学生所在二级学院向学生本人或家长送达《自动退学告知书》；因家庭地址或联系方式变更导致无法送达的，可通过二级学院网站以公告方式送达，公告发布时间不得少于四周。</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对学生的退学申请或自动退学处理，由校长办公会议或者校长授权的专门会议研究决定。</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对退学的学生，由学校出具退学证明并送达本人，同时报上海市教育委员会备案。退学学生应按学校规定期限办理离校手续，档案、户口退回其户籍所在地。</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47.学生对自动退学有异议的，可以向学校学生申诉处理委员会提出书面申诉。</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48.学生在校期间死亡的，由学校出具学籍注销证明并送达学生家长。</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十二、毕业与结业</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49.学生修满人才培养方案规定的必修与选修课程，取得毕业要求的总学分数，且至少取得一种与所学专业相关的中级以上的职业资格证书或职业技能等级证书，准予毕业，发给毕业证书。</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若学生修满了人才培养方案所规定的必修与选修课程，取得了毕业要求的总学分数，但未取得与所学专业相关的职业资格证书或职业技能等级证书，作结业处理，发给结业证书。结业学生在最长学习年限内取得了与所学专业相关的职业资格证书或职业技能等级证书的，换发毕业证书。</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50.学生在进入第六学期（毕业教学环节）学习之前，第一～第五学期已修学分数不少于108学分（含108学分），可列入毕业生管理范围，进入毕业教学环节；否则，暂缓进入毕业教学环节，由学生本人提出延长学业申请，经教务处审核批准后作延长学业处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学生在第六学期未能符合毕（结）业要求的，由学生本人提出延长学业申请，经教务处审核批准后作延长学业处理。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贯通培养学生在进入第四学期（毕业教学环节）学习之前，第一～第三学期已修学分数不少于59学分（含59学分），可列入毕业生管理范围，进入毕业教学环节；否则，暂缓进入毕业教学环节，由学生本人提出延长学业申请，经教务处审核批准后作延长学业处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贯通培养学生在第四学期未能符合毕（结）业要求的，由学生本人提出延长学业申请，经教务处审核批准后作延长学业处理。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已满足毕（结）业要求的学生不得提出延长学业或休学申请。</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51.延长学业期限为自审批之日起一年，到期而未办理相关后续手续的，作自动退学处理。延长学业学生的管理由学生所在的二级学院负责安排。</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52.基本学制毕业时未修满毕业要求的总学分数，但已取得毕业要求的最低学分的92%（含92%）以上者，作结业处理，发给结业证书。</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结业学生可对原不及格课程申请复读，经考核成绩合格且取得了与所学专业相关的职业资格证书或职业技能等级证书者换发毕业证书。复读必须在最长学习年限内完成。</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对于退学学生，学校应该发给肄业证书或者写实性学习证明。</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53.学有余力的学生可在与当前所学课程时间不冲突的前提下提前修读人才培养方案中的后续课程，达到毕业要求（或结业要求）的，可以申请提前毕业（或结业）。</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学生可向所在二级学院提出提前修读课程申请，二级学院制定详细的后续课程安排计划后报教务处审核批准。</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54.对违反国家招生规定取得入学资格或者学籍的，学校应当取消其学籍，不得发给学历证书；已发的学历证书，学校应当依法予以撤销。对以作弊、剽窃、抄袭等学术不端行为或者其他不正当手段获得学历证书的，学校应当依法予以撤销。</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被撤销的学历证书已注册的，学校应当予以注销并报教育行政部门宣布无效。</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55.学历证书遗失或者损坏，经本人申请，学校核实后应当出具相应的学历证明书。学历证明书与原证书具有同等效力。</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十三、附则</w:t>
      </w:r>
    </w:p>
    <w:p>
      <w:pPr>
        <w:keepNext w:val="0"/>
        <w:keepLines w:val="0"/>
        <w:pageBreakBefore w:val="0"/>
        <w:widowControl w:val="0"/>
        <w:kinsoku/>
        <w:wordWrap/>
        <w:overflowPunct/>
        <w:topLinePunct w:val="0"/>
        <w:autoSpaceDE/>
        <w:autoSpaceDN/>
        <w:bidi w:val="0"/>
        <w:adjustRightInd/>
        <w:snapToGrid/>
        <w:spacing w:line="360" w:lineRule="auto"/>
        <w:ind w:firstLine="658"/>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56.本规定自2020年9月1日起施行，由教务处负责解释。</w:t>
      </w:r>
    </w:p>
    <w:p>
      <w:pPr>
        <w:pageBreakBefore w:val="0"/>
        <w:widowControl/>
        <w:topLinePunct w:val="0"/>
        <w:bidi w:val="0"/>
        <w:adjustRightInd w:val="0"/>
        <w:snapToGrid w:val="0"/>
        <w:spacing w:line="500" w:lineRule="exact"/>
        <w:ind w:firstLine="480" w:firstLineChars="200"/>
        <w:jc w:val="left"/>
        <w:outlineLvl w:val="9"/>
        <w:rPr>
          <w:rFonts w:hint="eastAsia" w:eastAsia="仿宋_GB2312"/>
          <w:kern w:val="0"/>
          <w:sz w:val="24"/>
          <w:szCs w:val="24"/>
        </w:rPr>
      </w:pPr>
    </w:p>
    <w:p>
      <w:pPr>
        <w:pageBreakBefore w:val="0"/>
        <w:widowControl/>
        <w:topLinePunct w:val="0"/>
        <w:bidi w:val="0"/>
        <w:adjustRightInd w:val="0"/>
        <w:snapToGrid w:val="0"/>
        <w:spacing w:line="500" w:lineRule="exact"/>
        <w:ind w:firstLine="480" w:firstLineChars="200"/>
        <w:jc w:val="left"/>
        <w:outlineLvl w:val="9"/>
        <w:rPr>
          <w:rFonts w:hint="eastAsia" w:eastAsia="仿宋_GB2312"/>
          <w:kern w:val="0"/>
          <w:sz w:val="24"/>
          <w:szCs w:val="24"/>
        </w:rPr>
      </w:pPr>
    </w:p>
    <w:p>
      <w:pPr>
        <w:pageBreakBefore w:val="0"/>
        <w:widowControl/>
        <w:topLinePunct w:val="0"/>
        <w:bidi w:val="0"/>
        <w:adjustRightInd w:val="0"/>
        <w:snapToGrid w:val="0"/>
        <w:spacing w:line="500" w:lineRule="exact"/>
        <w:jc w:val="left"/>
        <w:outlineLvl w:val="9"/>
        <w:rPr>
          <w:rFonts w:hint="eastAsia" w:eastAsia="仿宋_GB2312"/>
          <w:kern w:val="0"/>
          <w:sz w:val="24"/>
          <w:szCs w:val="24"/>
        </w:rPr>
      </w:pPr>
    </w:p>
    <w:p>
      <w:pPr>
        <w:pageBreakBefore w:val="0"/>
        <w:widowControl/>
        <w:topLinePunct w:val="0"/>
        <w:bidi w:val="0"/>
        <w:adjustRightInd w:val="0"/>
        <w:snapToGrid w:val="0"/>
        <w:spacing w:line="500" w:lineRule="exact"/>
        <w:jc w:val="left"/>
        <w:outlineLvl w:val="9"/>
        <w:rPr>
          <w:rFonts w:hint="eastAsia" w:eastAsia="仿宋_GB2312"/>
          <w:kern w:val="0"/>
          <w:sz w:val="24"/>
          <w:szCs w:val="24"/>
        </w:rPr>
      </w:pPr>
    </w:p>
    <w:p>
      <w:pPr>
        <w:pageBreakBefore w:val="0"/>
        <w:widowControl/>
        <w:topLinePunct w:val="0"/>
        <w:bidi w:val="0"/>
        <w:adjustRightInd w:val="0"/>
        <w:snapToGrid w:val="0"/>
        <w:spacing w:line="500" w:lineRule="exact"/>
        <w:jc w:val="left"/>
        <w:outlineLvl w:val="9"/>
        <w:rPr>
          <w:rFonts w:hint="eastAsia" w:eastAsia="仿宋_GB2312"/>
          <w:kern w:val="0"/>
          <w:sz w:val="24"/>
          <w:szCs w:val="24"/>
        </w:rPr>
      </w:pPr>
    </w:p>
    <w:p>
      <w:pPr>
        <w:pageBreakBefore w:val="0"/>
        <w:widowControl/>
        <w:topLinePunct w:val="0"/>
        <w:bidi w:val="0"/>
        <w:adjustRightInd w:val="0"/>
        <w:snapToGrid w:val="0"/>
        <w:spacing w:line="500" w:lineRule="exact"/>
        <w:jc w:val="left"/>
        <w:outlineLvl w:val="9"/>
        <w:rPr>
          <w:rFonts w:hint="eastAsia" w:eastAsia="仿宋_GB2312"/>
          <w:kern w:val="0"/>
          <w:sz w:val="24"/>
          <w:szCs w:val="24"/>
        </w:rPr>
      </w:pPr>
    </w:p>
    <w:p>
      <w:pPr>
        <w:pageBreakBefore w:val="0"/>
        <w:widowControl/>
        <w:topLinePunct w:val="0"/>
        <w:bidi w:val="0"/>
        <w:adjustRightInd w:val="0"/>
        <w:snapToGrid w:val="0"/>
        <w:spacing w:line="500" w:lineRule="exact"/>
        <w:jc w:val="left"/>
        <w:outlineLvl w:val="9"/>
        <w:rPr>
          <w:rFonts w:hint="eastAsia" w:eastAsia="仿宋_GB2312"/>
          <w:kern w:val="0"/>
          <w:sz w:val="24"/>
          <w:szCs w:val="24"/>
        </w:rPr>
      </w:pPr>
    </w:p>
    <w:p>
      <w:pPr>
        <w:pageBreakBefore w:val="0"/>
        <w:widowControl/>
        <w:topLinePunct w:val="0"/>
        <w:bidi w:val="0"/>
        <w:adjustRightInd w:val="0"/>
        <w:snapToGrid w:val="0"/>
        <w:spacing w:line="500" w:lineRule="exact"/>
        <w:jc w:val="left"/>
        <w:outlineLvl w:val="9"/>
        <w:rPr>
          <w:rFonts w:hint="eastAsia" w:eastAsia="仿宋_GB2312"/>
          <w:kern w:val="0"/>
          <w:sz w:val="24"/>
          <w:szCs w:val="24"/>
        </w:rPr>
      </w:pPr>
    </w:p>
    <w:p>
      <w:pPr>
        <w:pageBreakBefore w:val="0"/>
        <w:widowControl/>
        <w:topLinePunct w:val="0"/>
        <w:bidi w:val="0"/>
        <w:adjustRightInd w:val="0"/>
        <w:snapToGrid w:val="0"/>
        <w:spacing w:line="500" w:lineRule="exact"/>
        <w:jc w:val="left"/>
        <w:outlineLvl w:val="9"/>
        <w:rPr>
          <w:rFonts w:hint="eastAsia" w:eastAsia="仿宋_GB2312"/>
          <w:kern w:val="0"/>
          <w:sz w:val="24"/>
          <w:szCs w:val="24"/>
        </w:rPr>
      </w:pPr>
    </w:p>
    <w:p>
      <w:pPr>
        <w:pageBreakBefore w:val="0"/>
        <w:widowControl/>
        <w:topLinePunct w:val="0"/>
        <w:bidi w:val="0"/>
        <w:adjustRightInd w:val="0"/>
        <w:snapToGrid w:val="0"/>
        <w:spacing w:line="500" w:lineRule="exact"/>
        <w:jc w:val="left"/>
        <w:outlineLvl w:val="9"/>
        <w:rPr>
          <w:rFonts w:hint="eastAsia" w:eastAsia="仿宋_GB2312"/>
          <w:kern w:val="0"/>
          <w:sz w:val="24"/>
          <w:szCs w:val="24"/>
        </w:rPr>
      </w:pPr>
    </w:p>
    <w:bookmarkEnd w:id="312"/>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w:t>
      </w:r>
      <w:r>
        <w:rPr>
          <w:rFonts w:hint="eastAsia" w:ascii="仿宋_GB2312" w:eastAsia="仿宋_GB2312"/>
          <w:color w:val="000000"/>
          <w:kern w:val="0"/>
          <w:sz w:val="32"/>
          <w:szCs w:val="28"/>
          <w:lang w:val="en-US" w:eastAsia="zh-CN"/>
        </w:rPr>
        <w:t>20</w:t>
      </w:r>
      <w:r>
        <w:rPr>
          <w:rFonts w:hint="eastAsia" w:ascii="仿宋_GB2312" w:eastAsia="仿宋_GB2312"/>
          <w:color w:val="000000"/>
          <w:kern w:val="0"/>
          <w:sz w:val="32"/>
          <w:szCs w:val="28"/>
        </w:rPr>
        <w:t>〕</w:t>
      </w:r>
      <w:r>
        <w:rPr>
          <w:rFonts w:hint="eastAsia" w:ascii="仿宋_GB2312" w:eastAsia="仿宋_GB2312"/>
          <w:color w:val="000000"/>
          <w:kern w:val="0"/>
          <w:sz w:val="32"/>
          <w:szCs w:val="28"/>
          <w:lang w:val="en-US" w:eastAsia="zh-CN"/>
        </w:rPr>
        <w:t>115</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312" w:beforeLines="100"/>
        <w:ind w:firstLine="420"/>
        <w:jc w:val="center"/>
        <w:textAlignment w:val="auto"/>
        <w:outlineLvl w:val="0"/>
        <w:rPr>
          <w:rFonts w:hint="eastAsia" w:ascii="黑体" w:hAnsi="黑体" w:eastAsia="黑体" w:cs="黑体"/>
          <w:b/>
          <w:color w:val="000000"/>
          <w:sz w:val="36"/>
          <w:szCs w:val="36"/>
        </w:rPr>
      </w:pPr>
      <w:bookmarkStart w:id="313" w:name="_Toc17989"/>
      <w:r>
        <w:rPr>
          <w:rFonts w:hint="eastAsia" w:ascii="黑体" w:hAnsi="黑体" w:eastAsia="黑体" w:cs="黑体"/>
          <w:b/>
          <w:sz w:val="36"/>
          <w:szCs w:val="36"/>
        </w:rPr>
        <w:t>关于印</w:t>
      </w:r>
      <w:r>
        <w:rPr>
          <w:rFonts w:hint="eastAsia" w:ascii="黑体" w:hAnsi="黑体" w:eastAsia="黑体" w:cs="黑体"/>
          <w:b/>
          <w:kern w:val="0"/>
          <w:sz w:val="36"/>
          <w:szCs w:val="36"/>
        </w:rPr>
        <w:t>发《上海电子信息</w:t>
      </w:r>
      <w:r>
        <w:rPr>
          <w:rFonts w:hint="eastAsia" w:ascii="黑体" w:hAnsi="黑体" w:eastAsia="黑体" w:cs="黑体"/>
          <w:b/>
          <w:sz w:val="36"/>
          <w:szCs w:val="36"/>
        </w:rPr>
        <w:t>职业技术学院招生工作制度》的通知</w:t>
      </w:r>
      <w:bookmarkEnd w:id="313"/>
    </w:p>
    <w:p>
      <w:pPr>
        <w:pageBreakBefore w:val="0"/>
        <w:topLinePunct w:val="0"/>
        <w:bidi w:val="0"/>
        <w:spacing w:before="312" w:beforeLines="100"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现将《上海电子信息职业技术学院招生工作制度》印发给你们，请结合本部门工作实际，认真研究执行。</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附件：上海电子信息职业技术学院招生工作制度</w:t>
      </w:r>
    </w:p>
    <w:p>
      <w:pPr>
        <w:pageBreakBefore w:val="0"/>
        <w:topLinePunct w:val="0"/>
        <w:bidi w:val="0"/>
        <w:spacing w:line="560" w:lineRule="exact"/>
        <w:ind w:firstLine="645"/>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p>
    <w:p>
      <w:pPr>
        <w:pageBreakBefore w:val="0"/>
        <w:topLinePunct w:val="0"/>
        <w:bidi w:val="0"/>
        <w:spacing w:line="520" w:lineRule="exact"/>
        <w:ind w:right="480"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2020年9月22日</w:t>
      </w:r>
    </w:p>
    <w:p>
      <w:pPr>
        <w:pageBreakBefore w:val="0"/>
        <w:topLinePunct w:val="0"/>
        <w:bidi w:val="0"/>
        <w:spacing w:line="520" w:lineRule="exact"/>
        <w:ind w:right="480"/>
        <w:outlineLvl w:val="9"/>
        <w:rPr>
          <w:rFonts w:hint="eastAsia" w:ascii="仿宋_GB2312" w:hAnsi="宋体" w:eastAsia="仿宋_GB2312"/>
          <w:sz w:val="32"/>
          <w:szCs w:val="32"/>
        </w:rPr>
      </w:pPr>
    </w:p>
    <w:p>
      <w:pPr>
        <w:pageBreakBefore w:val="0"/>
        <w:topLinePunct w:val="0"/>
        <w:bidi w:val="0"/>
        <w:jc w:val="both"/>
        <w:outlineLvl w:val="9"/>
        <w:rPr>
          <w:rFonts w:hint="eastAsia" w:ascii="仿宋" w:hAnsi="仿宋" w:eastAsia="仿宋" w:cs="仿宋"/>
          <w:b/>
          <w:color w:val="000000"/>
          <w:sz w:val="32"/>
          <w:szCs w:val="32"/>
          <w:lang w:val="en-US" w:eastAsia="zh-CN"/>
        </w:rPr>
      </w:pPr>
      <w:bookmarkStart w:id="314" w:name="page1"/>
      <w:bookmarkEnd w:id="314"/>
      <w:r>
        <w:rPr>
          <w:rFonts w:hint="eastAsia" w:ascii="仿宋_GB2312" w:hAnsi="仿宋_GB2312" w:eastAsia="仿宋_GB2312" w:cs="仿宋_GB2312"/>
          <w:kern w:val="2"/>
          <w:sz w:val="28"/>
          <w:szCs w:val="28"/>
          <w:highlight w:val="none"/>
          <w:lang w:val="en-US" w:eastAsia="zh-CN" w:bidi="ar-SA"/>
        </w:rPr>
        <w:t>附件：</w:t>
      </w:r>
      <w:r>
        <w:rPr>
          <w:rFonts w:hint="eastAsia" w:ascii="仿宋" w:hAnsi="仿宋" w:eastAsia="仿宋" w:cs="仿宋"/>
          <w:b/>
          <w:color w:val="000000"/>
          <w:sz w:val="32"/>
          <w:szCs w:val="32"/>
          <w:lang w:val="en-US" w:eastAsia="zh-CN"/>
        </w:rPr>
        <w:t xml:space="preserve">       </w:t>
      </w:r>
    </w:p>
    <w:p>
      <w:pPr>
        <w:pageBreakBefore w:val="0"/>
        <w:topLinePunct w:val="0"/>
        <w:bidi w:val="0"/>
        <w:jc w:val="center"/>
        <w:outlineLvl w:val="9"/>
        <w:rPr>
          <w:rFonts w:hint="eastAsia" w:ascii="黑体" w:hAnsi="黑体" w:eastAsia="黑体" w:cs="黑体"/>
          <w:b/>
          <w:color w:val="000000"/>
          <w:sz w:val="36"/>
          <w:szCs w:val="36"/>
        </w:rPr>
      </w:pPr>
      <w:r>
        <w:rPr>
          <w:rFonts w:hint="eastAsia" w:ascii="黑体" w:hAnsi="黑体" w:eastAsia="黑体" w:cs="黑体"/>
          <w:b/>
          <w:color w:val="000000"/>
          <w:sz w:val="36"/>
          <w:szCs w:val="36"/>
        </w:rPr>
        <w:t>上海电子信息职业技术学院</w:t>
      </w:r>
    </w:p>
    <w:p>
      <w:pPr>
        <w:pageBreakBefore w:val="0"/>
        <w:topLinePunct w:val="0"/>
        <w:bidi w:val="0"/>
        <w:ind w:firstLine="420"/>
        <w:jc w:val="center"/>
        <w:outlineLvl w:val="9"/>
        <w:rPr>
          <w:rFonts w:hint="eastAsia" w:ascii="黑体" w:hAnsi="黑体" w:eastAsia="黑体" w:cs="黑体"/>
          <w:b/>
          <w:color w:val="000000"/>
          <w:sz w:val="36"/>
          <w:szCs w:val="36"/>
        </w:rPr>
      </w:pPr>
      <w:r>
        <w:rPr>
          <w:rFonts w:hint="eastAsia" w:ascii="黑体" w:hAnsi="黑体" w:eastAsia="黑体" w:cs="黑体"/>
          <w:b/>
          <w:color w:val="000000"/>
          <w:sz w:val="36"/>
          <w:szCs w:val="36"/>
        </w:rPr>
        <w:t>招生工作制度</w:t>
      </w:r>
    </w:p>
    <w:p>
      <w:pPr>
        <w:pageBreakBefore w:val="0"/>
        <w:topLinePunct w:val="0"/>
        <w:bidi w:val="0"/>
        <w:spacing w:line="360" w:lineRule="auto"/>
        <w:outlineLvl w:val="9"/>
        <w:rPr>
          <w:rFonts w:eastAsia="Times New Roman"/>
          <w:sz w:val="24"/>
        </w:rPr>
      </w:pP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一、组织结构</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学校成立招生委员会，主任由承担招生第一责任的校长担任，招生委员会是学校招生工作的最高决策机构；招生领导小组在招生委员会指导下领导学校招生工作开展，组长由承担招生主要责任的分管校长担任；教务处是我校组织和实施招生工作的常设机构，教务处分管领导作为招生直接责任人，具体负责学校招生日常工作；纪检监察处是学校招生工作监督机构。</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（二）招生领导小组依据有关规定和学校的实际情况，负责制定学校的招生政策、招生章程和招生计划，报校长办公会议审核。</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（三）招生办公室根据招生领导小组制定的招生政策和招生计划，负责实施。</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二、招生计划的制定</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（一）招生总计划数以上级教育主管部门下达的计划为准。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招生领导小组依据学校的发展规划和教育主管部门下达的计划，确定各学院的招生规模。各学院领导根据师资、教学设备、学生就业渠道等情况，科学、合理的编制各专业招生计划，由招生领导小组统筹后，报校长办公会议审核。</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（三）招生办公室根据学校制定的招生计划，按上级部门的具体要求，上报分阶段、分专业、分省来源计划。</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三、招生章程的制定和宣传</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（一）招生章程的制定必须符合国家有关法律法规，符合学校的实际情况，对社会负责，对学校负责，对考生负责。</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（二）招生章程必须由招生领导小组审定。</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（三）招生宣传由招生办公室组织，各部门应大力协助、积极参与。通过多种方式，让社会、让考生了解学校，扩大生源数量，努力提高生源质量。</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四、入学考试</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各类入学考试属国家级考试，各环节应按国家有关规定执行。保密室的设立应符合国家保密局的要求。考试必须在标准化考场进行。加强评卷管理，确保评卷过程安全、结果正确。工作人员应签订保密协议。</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（二）入学考试由分管校长负责，由教务处统一组织。</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五、录取工作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（一）严格遵守向社会公布的招生章程中的录取规则进行录取。坚持公平竞争、公开透明的原则。</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（二）工作人员要本着为考生负责的态度，各环节要按时、细致、准确，按程序办理。在录取过程中，严格审查考生的基本信息，加强阅档和审档环节，保证录取工作顺利进行。</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（三）录取过程中碰到的重大问题，必须及时向招生领导小组和招生委员会汇报。</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（四）做好新生及家长的接待工作，做到主动热情、有条不紊、快捷有序。</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（五）在新生入学报到时，认真复查新生入学报到资格，审核学生录取通知书和身份证。</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六、规范收费</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（一）严格按照财政局和物价局规定的项目和标准收费，杜绝乱收费。</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（二）收费项目和标准应及时公示。</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七、招生信息公开</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（一）认真落实招生信息“十公开”要求，自觉接受纪检监察部门和社会各界的监督。进一步完善信息公开的范围、内容、方式和时间，对重要信息要长期保存。</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（二）根据市教委的规定，在学校网站或有关媒体上公开招生信息，内容包括：招生政策、考生报考资格、招生计划、录取信息、考生咨询及申诉渠道和重大违规事件及处理结果。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八、招生纪律</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（一）招生工作人员须遵守招生工作“30个不得”的规定，坚持原则，秉公办事，自觉抵制招生中的各种不正之风，主动接受监察部门的监督, 保证招生录取工作的公平和公正。</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（二）遵守安全保密制度，妥善保管相关文件和资料，属保密范畴的内容应严守机密，不得泄漏。</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九、统计数据和归档</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（一）招生办公室应根据上级主管部门和学校领导的要求，做好各项数据的统计和上报工作。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（二）招生办公室须按照学校档案管理工作要求，做好有关资料的归档工作。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十、附 则</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本制度自颁布之日起正式实施，由上海电子信息职业技术学院教务处负责解释。</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注：原《上海电子信息职业技术学院招生工作制度》（沪电信职院〔2018〕18号）废止。</w:t>
      </w:r>
    </w:p>
    <w:p>
      <w:pPr>
        <w:pageBreakBefore w:val="0"/>
        <w:topLinePunct w:val="0"/>
        <w:bidi w:val="0"/>
        <w:spacing w:line="360" w:lineRule="auto"/>
        <w:ind w:firstLine="560" w:firstLineChars="200"/>
        <w:outlineLvl w:val="9"/>
        <w:rPr>
          <w:rFonts w:hint="eastAsia" w:ascii="仿宋" w:hAnsi="仿宋" w:eastAsia="仿宋" w:cs="仿宋"/>
          <w:color w:val="000000"/>
          <w:sz w:val="28"/>
          <w:szCs w:val="28"/>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400" w:lineRule="exact"/>
        <w:ind w:firstLine="420" w:firstLineChars="200"/>
        <w:outlineLvl w:val="9"/>
        <w:rPr>
          <w:rFonts w:hint="eastAsia" w:ascii="仿宋" w:hAnsi="仿宋" w:eastAsia="仿宋" w:cs="仿宋"/>
          <w:color w:val="000000"/>
          <w:szCs w:val="21"/>
        </w:rPr>
      </w:pPr>
    </w:p>
    <w:p>
      <w:pPr>
        <w:pageBreakBefore w:val="0"/>
        <w:topLinePunct w:val="0"/>
        <w:bidi w:val="0"/>
        <w:spacing w:line="20" w:lineRule="exact"/>
        <w:outlineLvl w:val="9"/>
        <w:rPr>
          <w:rFonts w:ascii="华文中宋" w:hAnsi="华文中宋" w:eastAsia="华文中宋"/>
          <w:b/>
          <w:color w:val="FF0000"/>
          <w:w w:val="66"/>
          <w:kern w:val="0"/>
          <w:sz w:val="72"/>
          <w:szCs w:val="72"/>
        </w:rPr>
      </w:pPr>
    </w:p>
    <w:p>
      <w:pPr>
        <w:pageBreakBefore w:val="0"/>
        <w:topLinePunct w:val="0"/>
        <w:bidi w:val="0"/>
        <w:jc w:val="distribute"/>
        <w:outlineLvl w:val="9"/>
        <w:rPr>
          <w:rFonts w:ascii="华文中宋" w:hAnsi="华文中宋" w:eastAsia="华文中宋"/>
          <w:b/>
          <w:color w:val="FF0000"/>
          <w:w w:val="66"/>
          <w:kern w:val="0"/>
          <w:sz w:val="72"/>
          <w:szCs w:val="72"/>
        </w:rPr>
      </w:pPr>
    </w:p>
    <w:p>
      <w:pPr>
        <w:pageBreakBefore w:val="0"/>
        <w:topLinePunct w:val="0"/>
        <w:bidi w:val="0"/>
        <w:jc w:val="distribute"/>
        <w:outlineLvl w:val="9"/>
        <w:rPr>
          <w:rFonts w:ascii="华文中宋" w:hAnsi="华文中宋" w:eastAsia="华文中宋"/>
          <w:b/>
          <w:color w:val="FF0000"/>
          <w:w w:val="66"/>
          <w:kern w:val="0"/>
          <w:sz w:val="72"/>
          <w:szCs w:val="72"/>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w:t>
      </w:r>
      <w:r>
        <w:rPr>
          <w:rFonts w:hint="eastAsia" w:ascii="仿宋_GB2312" w:eastAsia="仿宋_GB2312"/>
          <w:color w:val="000000"/>
          <w:kern w:val="0"/>
          <w:sz w:val="32"/>
          <w:szCs w:val="28"/>
        </w:rPr>
        <w:t>20〕126</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napToGrid w:val="0"/>
        <w:spacing w:before="312" w:beforeLines="100" w:line="5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pageBreakBefore w:val="0"/>
        <w:topLinePunct w:val="0"/>
        <w:bidi w:val="0"/>
        <w:spacing w:line="560" w:lineRule="exact"/>
        <w:jc w:val="center"/>
        <w:outlineLvl w:val="9"/>
        <w:rPr>
          <w:rFonts w:ascii="黑体" w:eastAsia="黑体"/>
          <w:color w:val="FF0000"/>
          <w:sz w:val="28"/>
          <w:szCs w:val="28"/>
          <w:u w:val="thick"/>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b/>
          <w:color w:val="000000"/>
          <w:kern w:val="0"/>
          <w:sz w:val="36"/>
          <w:szCs w:val="36"/>
        </w:rPr>
      </w:pPr>
      <w:bookmarkStart w:id="315" w:name="_Toc5907"/>
      <w:r>
        <w:rPr>
          <w:rFonts w:hint="eastAsia" w:ascii="黑体" w:hAnsi="黑体" w:eastAsia="黑体" w:cs="黑体"/>
          <w:b/>
          <w:color w:val="000000"/>
          <w:kern w:val="0"/>
          <w:sz w:val="36"/>
          <w:szCs w:val="36"/>
        </w:rPr>
        <w:t>关于印发《上海电子信息职业技术学院教材管理办法》的通知</w:t>
      </w:r>
      <w:bookmarkEnd w:id="315"/>
    </w:p>
    <w:p>
      <w:pPr>
        <w:pageBreakBefore w:val="0"/>
        <w:topLinePunct w:val="0"/>
        <w:bidi w:val="0"/>
        <w:outlineLvl w:val="9"/>
        <w:rPr>
          <w:sz w:val="28"/>
          <w:szCs w:val="28"/>
        </w:rPr>
      </w:pPr>
      <w:r>
        <w:rPr>
          <w:rFonts w:hint="eastAsia"/>
          <w:sz w:val="28"/>
          <w:szCs w:val="28"/>
        </w:rPr>
        <w:t xml:space="preserve">  </w:t>
      </w:r>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贯彻党中央、国务院关于加强和改进新形势下教材建设的意见,建立健全学校教材管理制度，切实提高教材建设水平，现将《上海电子信息职业技术学院教材管理办法》印发给你们，请结合本部门工作实际，认真研究执行。</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附件：上海电子信息职业技术学院教材管理办法</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2020年 10 月 29 日</w:t>
      </w:r>
    </w:p>
    <w:p>
      <w:pPr>
        <w:pageBreakBefore w:val="0"/>
        <w:topLinePunct w:val="0"/>
        <w:bidi w:val="0"/>
        <w:ind w:right="1120"/>
        <w:outlineLvl w:val="9"/>
        <w:rPr>
          <w:rFonts w:hint="eastAsia"/>
          <w:sz w:val="28"/>
          <w:szCs w:val="28"/>
        </w:rPr>
      </w:pPr>
    </w:p>
    <w:p>
      <w:pPr>
        <w:pageBreakBefore w:val="0"/>
        <w:topLinePunct w:val="0"/>
        <w:bidi w:val="0"/>
        <w:ind w:right="1120"/>
        <w:outlineLvl w:val="9"/>
        <w:rPr>
          <w:sz w:val="28"/>
          <w:szCs w:val="28"/>
        </w:rPr>
      </w:pPr>
      <w:r>
        <w:rPr>
          <w:rFonts w:hint="eastAsia" w:ascii="仿宋_GB2312" w:hAnsi="仿宋_GB2312" w:eastAsia="仿宋_GB2312" w:cs="仿宋_GB2312"/>
          <w:kern w:val="2"/>
          <w:sz w:val="28"/>
          <w:szCs w:val="28"/>
          <w:highlight w:val="none"/>
          <w:lang w:val="en-US" w:eastAsia="zh-CN" w:bidi="ar-SA"/>
        </w:rPr>
        <w:t>附件：</w:t>
      </w:r>
      <w:r>
        <w:rPr>
          <w:rFonts w:hint="eastAsia"/>
          <w:sz w:val="28"/>
          <w:szCs w:val="28"/>
        </w:rPr>
        <w:t xml:space="preserve"> </w:t>
      </w:r>
    </w:p>
    <w:p>
      <w:pPr>
        <w:pageBreakBefore w:val="0"/>
        <w:topLinePunct w:val="0"/>
        <w:bidi w:val="0"/>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jc w:val="center"/>
        <w:outlineLvl w:val="9"/>
        <w:rPr>
          <w:rFonts w:hint="eastAsia" w:ascii="黑体" w:hAnsi="黑体" w:eastAsia="黑体" w:cs="黑体"/>
          <w:sz w:val="36"/>
          <w:szCs w:val="36"/>
        </w:rPr>
      </w:pPr>
      <w:r>
        <w:rPr>
          <w:rFonts w:hint="eastAsia" w:ascii="黑体" w:hAnsi="黑体" w:eastAsia="黑体" w:cs="黑体"/>
          <w:b/>
          <w:bCs/>
          <w:sz w:val="36"/>
          <w:szCs w:val="36"/>
        </w:rPr>
        <w:t>教材管理办法</w:t>
      </w:r>
    </w:p>
    <w:p>
      <w:pPr>
        <w:pageBreakBefore w:val="0"/>
        <w:topLinePunct w:val="0"/>
        <w:bidi w:val="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第一章 总则</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第一条 为贯彻党中央、国务院关于加强和改进新形势下教材建设的意见，全面加强党的领导，落实国家事权，规范和加强职业院校教材管理，打造精品教材，切实提高教材建设水平，根据教育部关于印发《职业院校教材管理办法》和《普通高等学校教材管理办法》的通知（教材〔2019〕3 号）精神，制定本办法。</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第二条 本办法所称教材是指供学校课堂和实习实训使用的教学用书，以及作为教材内容组成部分的教学材料（如教材的配套音视频资源、图册等）。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第三条 教材必须体现党和国家意志。坚持马克思主义指导地位，体现马克思主义中国化要求，体现中国和中华民族风格，体现党和国家对教育的基本要求，体现国家和民族基本价值观，体现人类文化知识积累和创新成果。全面贯彻党的教育方针，落实立德树人根本任务，扎根中国大地，站稳中国立场，充分体现社会主义核心价值观，加强爱国主义、集体主义、社会主义教育，引导学生坚定道路自信、理论自信、制度自信、文化自信，成为担当中华民族复兴大任的时代新人。</w:t>
      </w:r>
    </w:p>
    <w:p>
      <w:pPr>
        <w:pageBreakBefore w:val="0"/>
        <w:topLinePunct w:val="0"/>
        <w:bidi w:val="0"/>
        <w:ind w:firstLine="560" w:firstLineChars="20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第四条 高等职业学校思想政治理论课教材以及其他意识形态属性较强的教材和涉及国家主权、安全、民族、宗教等内容的教材，使用国家统一编写的教材。专业课程教材在政府规划和引导下，注重发挥行业企业、教科研机构和学校的作用，更好地对接产业发展。 </w:t>
      </w:r>
    </w:p>
    <w:p>
      <w:pPr>
        <w:pageBreakBefore w:val="0"/>
        <w:topLinePunct w:val="0"/>
        <w:bidi w:val="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第二章 管理职责</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第五条 学校要严格执行国家和地方关于教材管理的政策规定，健全内部管理制度，选好用好教材。</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第六条 学校党委对教材工作负总责。在党委领导下，学校教材实行二级管理，学校成立教材委员会，各二级学院成立教材分委员会。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校教材委员会由学校分管宣传党委副书记、分管教学副校长以及党委办公室、宣传部、教师工作部、教务处、科研处负责人，教务处教材管理员、科研处相关成员构成。由分管宣传党委副书记担任教材委员会主任。</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第七条 学校教材委员会负责全校教材建设的统筹规划、宏观管理、综合协调、检查督导，制定基本制度规范。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第八条 二级学院教材分委员会一般由二级学院党支部书记、院长、教学副院长、系（教研室）主任、教学管理人员、行企业专家等成员构成。由学院党支部书记、院长担任二级学院教材分委员会主任。二级学院教材分委员会负责落实学校教材建设的相关政策，负责本学院教材的规划、管理和协调，负责本学院教材的选用、审核，以及校本教材的指导、统筹工作。委员会可邀请行业和企业等多方参与。</w:t>
      </w:r>
    </w:p>
    <w:p>
      <w:pPr>
        <w:pageBreakBefore w:val="0"/>
        <w:topLinePunct w:val="0"/>
        <w:bidi w:val="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第三章 选用与使用</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第九条 按照上级教育行政部门指导意见，制定《上海电子信息职业技术学院教材选用办法》。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第十条 教材选用须遵照以下原则：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（一）二级学院教材分委员会具体负责本学院教材的选用工作。</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（二）教材选用过程须公开、公平、公正，严格按照程序选用，并对选用结果进行公示。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第十一条 教材选用应结合区域和学校实际，切实服务人才 培养。遵循以下要求：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（一）高等职业学校必须使用国家统编的思想政治理论课教材、马克思主义理论研究和建设工程重点教材。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（二）职业院校专业核心课程和高等职业学校公共基础课程教材原则上从国家和省级教育行政部门发布的规划教材目录中选用。</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（三）国家和省级规划目录中没有的教材，可在职业院校教材信息库选用。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（四）不得以岗位培训教材取代专业课程教材。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（五）选用的教材必须是通过审核的版本，擅自更改内容的教材不得选用，未按照规定程序取得审核认定意见的教材不得选用。</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（六）不得选用盗版、盗印教材。应严格遵照选用结果使用教材。选用境外教材，按照国家有关政策执行。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第十二条 存在下列情形之一的，相应教材停止使用，视情节轻重和所造成的影响，及时上报教育主管部门。</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（一）教材内容政治方向、价值导向存在问题。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（二）教材内容出现严重的科学性错误。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（三）教材所含链接内容存在问题，产生严重后果。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（四）盗版盗印教材。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（五）违规编写出版国家统编教材及其他公共基础必修课程 教材。</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（六）用不正当手段严重影响教材审核、选用工作。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（七）未按规定程序选用，选用未经审核或审核未通过的教 材。</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（八）在教材中擅自使用国家规划教材标识，或使用可能误 导职业院校教材选用的相似标识及表述，如标注主体或范围不明 确的“规划教材”“示范教材”等字样，或擅自标注“全国”“国家”等字样。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（九）其他造成严重后果的违法违纪违规行为。</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第十三条 教材选用实行备案制度。二级学院在确定教材选用结果后，应报教务处备案。 </w:t>
      </w:r>
    </w:p>
    <w:p>
      <w:pPr>
        <w:pageBreakBefore w:val="0"/>
        <w:topLinePunct w:val="0"/>
        <w:bidi w:val="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第四章 校本教材编写</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第十四条 在国家和省级规划教材不能满足需要的情况下，学校可根据本校人才培养和教学实际需要，补充编写反映自身专业特色的校本教材。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第十五条 教材编写依据国家教学标准和职业标准（规范）等，服务学生成长成才和就业创业。教材编写应符合以下要求：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一）以马克思列宁主义、毛泽东思想、邓小平理论、“三个代表”重要思想、科学发展观、习近平新时代中国特色社会主义思想为指导，有机融入中华优秀传统文化、革命传统、法治意识和国家安全、民族团结以及生态文明教育，弘扬劳动光荣、技能宝贵、创造伟大的时代风尚，弘扬精益求精的专业精神、职业精神、工匠精神和劳模精神，努力构建中国特色、融通中外的概念范畴、理论范式和话语体系，防范错误政治观点和思潮的影响，引导学生树立正确的世界观、人生观和价值观，努力成为德智体美劳全面发展的社会主义建设者和接班人。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二）内容科学先进、针对性强，选文篇目内容积极向上、导向正确，选文作者历史评价正面，有良好的社会形象。公共基础课程教材要体现学科特点，突出职业教育特色。专业课程教材要充分反映产业发展最新进展，对接科技发展趋势和市场需求，及时吸收比较成熟的新技术、新工艺、新规范等。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三）符合技术技能人才成长规律和学生认知特点，对接国际先进职业教育理念，适应人才培养模式创新和优化课程体系的需要，专业课程教材突出理论和实践相统一，强调实践性。适应项目学习、案例学习、模块化学习等不同学习方式要求，注重以真实生产项目、典型工作任务、案例等为载体组织教学单元。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（四）编排科学合理、梯度明晰，图、文、表并茂，生动活泼，形式新颖。名称、名词、术语等符合国家有关技术质量标准和规范。倡导开发活页式、工作手册式新形态教材。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（五）符合知识产权保护等国家法律、行政法规，不得有民族、地域、性别、职业、年龄歧视等内容，不得有商业广告或变相商业广告。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第十六条 校本教材实行二级学院负责制。二级学院负责组织编写团队，审核编写人员条件，对教材编写修订工作给予协调和保障。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第十七条 校本教材编写人员应经所在二级学院党组织审核同意。编写人员应符合以下条件: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一）政治立场坚定，拥护中国共产党的领导，认同中国特色社会主义，坚定“四个自信”，自觉践行社会主义核心价值观，具有正确的世界观、人生观、价值观，坚持正确的国家观、民族观、历史观、文化观、宗教观，没有违背党的理论和路线方针政策的言行。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二）熟悉职业教育教学规律和学生身心发展特点，对本学科专业有比较深入的研究，熟悉行业企业发展与用人要求。应有丰富的教学、教科研或企业工作经验，一般应具有中级及以上专业技术职务（技术资格），新兴行业、行业紧缺技术人才、能工巧匠可适当放宽要求。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（三）遵纪守法，有良好的思想品德、社会形象和师德师风。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第十八条 教材编写实行主编负责制。主编主要负责教材整体设计，把握教材编写进度，对教材编写质量负总责。主编须符合本办法第十六条规定外，还需符合以下条件：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（一）坚持正确的学术导向，政治敏锐性强，能够辨别并自 觉抵制各种错误政治观点和思潮。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（二）在本学科专业有深入研究、较高的造诣。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（三）有较高的文字水平，熟悉教材语言风格，能够熟练运用中国特色的话语体系。审核通过后的教材原则上不更换主编。</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第十九条 校本教材编写团队应具有合理的人员结构，应邀请行业企业技术人员 和能工巧匠参与编写等。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第二十条 校本教材编写过程中应通过多种方式征求各方面特别 是一线师生和企业意见。</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第二十一条 校本教材投入使用后，应根据经济社会和产业升级新动态及时进行修订，一般按学制周期修订。</w:t>
      </w:r>
    </w:p>
    <w:p>
      <w:pPr>
        <w:pageBreakBefore w:val="0"/>
        <w:topLinePunct w:val="0"/>
        <w:bidi w:val="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第五章 教材审核</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第二十二条 二级学院教材分委会负责审核本学院选用的教材，对教材的思想性、科学性、适宜性进行把关，在二级学院党组织的领导下，对教材的意识形态进行政治把关。</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第二十三条 校本教材使用前必须经所在二级学院教材分委会经审核，审核未通过的校本教材，不得使用。修订幅度较大的校本教材 需重新审核。</w:t>
      </w:r>
    </w:p>
    <w:p>
      <w:pPr>
        <w:pageBreakBefore w:val="0"/>
        <w:topLinePunct w:val="0"/>
        <w:bidi w:val="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第六章 出版与发行</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第二十四条 校本教材至少使用一年以上，经审查审批后推荐出版。校本教材出版前由二级学院教材分委会负责审核。</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第二十五条 承担校本教材发行的机构应具有相应的资质，根据 出版发行相关管理规定，最近 5 年内未受到出版主管部门处罚，无其他违法违纪违规行为。 </w:t>
      </w:r>
    </w:p>
    <w:p>
      <w:pPr>
        <w:pageBreakBefore w:val="0"/>
        <w:topLinePunct w:val="0"/>
        <w:bidi w:val="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第七章 附则</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第二十六条 依据本办法制定学校《上海电子信息职业技术学院教材选用实施细则》，作为教材使用的讲义、教案和教参以及数字教材参照执行。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第二十七条 依据本办法制定学校《上海电子信息职业技术学院关于校本教材建设的若干意见》，校本教材编写、使用、出版和管理参照执行。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第二十八条 本办法自印发之日起施行。其他教材管理制度凡与本办法有关规定不一致的，以本办法为准。本办法由教务处负责解释。</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第二十九条 原《上海电子信息职业技术学院关于教材管理办法》的通知（沪电信职院〔2018〕25号）自行终止。</w:t>
      </w:r>
    </w:p>
    <w:p>
      <w:pPr>
        <w:pageBreakBefore w:val="0"/>
        <w:topLinePunct w:val="0"/>
        <w:bidi w:val="0"/>
        <w:ind w:firstLine="560" w:firstLineChars="200"/>
        <w:outlineLvl w:val="9"/>
        <w:rPr>
          <w:rFonts w:hint="eastAsia"/>
          <w:sz w:val="28"/>
          <w:szCs w:val="28"/>
        </w:rPr>
      </w:pPr>
    </w:p>
    <w:p>
      <w:pPr>
        <w:pageBreakBefore w:val="0"/>
        <w:topLinePunct w:val="0"/>
        <w:bidi w:val="0"/>
        <w:ind w:firstLine="560" w:firstLineChars="200"/>
        <w:outlineLvl w:val="9"/>
        <w:rPr>
          <w:sz w:val="28"/>
          <w:szCs w:val="28"/>
        </w:rPr>
      </w:pPr>
    </w:p>
    <w:p>
      <w:pPr>
        <w:pageBreakBefore w:val="0"/>
        <w:topLinePunct w:val="0"/>
        <w:bidi w:val="0"/>
        <w:ind w:firstLine="560" w:firstLineChars="200"/>
        <w:outlineLvl w:val="9"/>
        <w:rPr>
          <w:sz w:val="28"/>
          <w:szCs w:val="28"/>
        </w:rPr>
      </w:pPr>
    </w:p>
    <w:p>
      <w:pPr>
        <w:pageBreakBefore w:val="0"/>
        <w:topLinePunct w:val="0"/>
        <w:bidi w:val="0"/>
        <w:ind w:firstLine="560" w:firstLineChars="200"/>
        <w:outlineLvl w:val="9"/>
        <w:rPr>
          <w:sz w:val="28"/>
          <w:szCs w:val="28"/>
        </w:rPr>
      </w:pPr>
    </w:p>
    <w:p>
      <w:pPr>
        <w:pageBreakBefore w:val="0"/>
        <w:topLinePunct w:val="0"/>
        <w:bidi w:val="0"/>
        <w:ind w:firstLine="560" w:firstLineChars="200"/>
        <w:outlineLvl w:val="9"/>
        <w:rPr>
          <w:sz w:val="28"/>
          <w:szCs w:val="28"/>
        </w:rPr>
      </w:pPr>
    </w:p>
    <w:p>
      <w:pPr>
        <w:pageBreakBefore w:val="0"/>
        <w:topLinePunct w:val="0"/>
        <w:bidi w:val="0"/>
        <w:ind w:firstLine="560" w:firstLineChars="200"/>
        <w:outlineLvl w:val="9"/>
        <w:rPr>
          <w:sz w:val="28"/>
          <w:szCs w:val="28"/>
        </w:rPr>
      </w:pPr>
    </w:p>
    <w:p>
      <w:pPr>
        <w:pageBreakBefore w:val="0"/>
        <w:topLinePunct w:val="0"/>
        <w:bidi w:val="0"/>
        <w:ind w:firstLine="560" w:firstLineChars="200"/>
        <w:outlineLvl w:val="9"/>
        <w:rPr>
          <w:sz w:val="28"/>
          <w:szCs w:val="28"/>
        </w:rPr>
      </w:pPr>
    </w:p>
    <w:p>
      <w:pPr>
        <w:pageBreakBefore w:val="0"/>
        <w:topLinePunct w:val="0"/>
        <w:bidi w:val="0"/>
        <w:ind w:firstLine="560" w:firstLineChars="200"/>
        <w:outlineLvl w:val="9"/>
        <w:rPr>
          <w:sz w:val="28"/>
          <w:szCs w:val="28"/>
        </w:rPr>
      </w:pPr>
    </w:p>
    <w:p>
      <w:pPr>
        <w:pageBreakBefore w:val="0"/>
        <w:topLinePunct w:val="0"/>
        <w:bidi w:val="0"/>
        <w:ind w:firstLine="560" w:firstLineChars="200"/>
        <w:outlineLvl w:val="9"/>
        <w:rPr>
          <w:sz w:val="28"/>
          <w:szCs w:val="28"/>
        </w:rPr>
      </w:pPr>
    </w:p>
    <w:p>
      <w:pPr>
        <w:pageBreakBefore w:val="0"/>
        <w:topLinePunct w:val="0"/>
        <w:bidi w:val="0"/>
        <w:ind w:firstLine="560" w:firstLineChars="200"/>
        <w:outlineLvl w:val="9"/>
        <w:rPr>
          <w:sz w:val="28"/>
          <w:szCs w:val="28"/>
        </w:rPr>
      </w:pPr>
    </w:p>
    <w:p>
      <w:pPr>
        <w:pageBreakBefore w:val="0"/>
        <w:topLinePunct w:val="0"/>
        <w:bidi w:val="0"/>
        <w:ind w:firstLine="560" w:firstLineChars="200"/>
        <w:outlineLvl w:val="9"/>
        <w:rPr>
          <w:sz w:val="28"/>
          <w:szCs w:val="28"/>
        </w:rPr>
      </w:pPr>
    </w:p>
    <w:p>
      <w:pPr>
        <w:pageBreakBefore w:val="0"/>
        <w:topLinePunct w:val="0"/>
        <w:bidi w:val="0"/>
        <w:ind w:firstLine="560" w:firstLineChars="200"/>
        <w:outlineLvl w:val="9"/>
        <w:rPr>
          <w:sz w:val="28"/>
          <w:szCs w:val="28"/>
        </w:rPr>
      </w:pPr>
    </w:p>
    <w:p>
      <w:pPr>
        <w:pageBreakBefore w:val="0"/>
        <w:topLinePunct w:val="0"/>
        <w:bidi w:val="0"/>
        <w:ind w:firstLine="560" w:firstLineChars="200"/>
        <w:outlineLvl w:val="9"/>
        <w:rPr>
          <w:sz w:val="28"/>
          <w:szCs w:val="28"/>
        </w:rPr>
      </w:pPr>
    </w:p>
    <w:p>
      <w:pPr>
        <w:pageBreakBefore w:val="0"/>
        <w:topLinePunct w:val="0"/>
        <w:bidi w:val="0"/>
        <w:ind w:firstLine="560" w:firstLineChars="200"/>
        <w:outlineLvl w:val="9"/>
        <w:rPr>
          <w:sz w:val="28"/>
          <w:szCs w:val="28"/>
        </w:rPr>
      </w:pPr>
    </w:p>
    <w:p>
      <w:pPr>
        <w:pageBreakBefore w:val="0"/>
        <w:topLinePunct w:val="0"/>
        <w:bidi w:val="0"/>
        <w:ind w:firstLine="560" w:firstLineChars="200"/>
        <w:outlineLvl w:val="9"/>
        <w:rPr>
          <w:sz w:val="28"/>
          <w:szCs w:val="28"/>
        </w:rPr>
      </w:pPr>
    </w:p>
    <w:p>
      <w:pPr>
        <w:pageBreakBefore w:val="0"/>
        <w:topLinePunct w:val="0"/>
        <w:bidi w:val="0"/>
        <w:ind w:firstLine="560" w:firstLineChars="200"/>
        <w:outlineLvl w:val="9"/>
        <w:rPr>
          <w:sz w:val="28"/>
          <w:szCs w:val="28"/>
        </w:rPr>
      </w:pPr>
    </w:p>
    <w:p>
      <w:pPr>
        <w:pageBreakBefore w:val="0"/>
        <w:topLinePunct w:val="0"/>
        <w:bidi w:val="0"/>
        <w:ind w:firstLine="560" w:firstLineChars="200"/>
        <w:outlineLvl w:val="9"/>
        <w:rPr>
          <w:sz w:val="28"/>
          <w:szCs w:val="28"/>
        </w:rPr>
      </w:pPr>
    </w:p>
    <w:p>
      <w:pPr>
        <w:pageBreakBefore w:val="0"/>
        <w:topLinePunct w:val="0"/>
        <w:bidi w:val="0"/>
        <w:jc w:val="center"/>
        <w:outlineLvl w:val="9"/>
        <w:rPr>
          <w:color w:val="FF0000"/>
          <w:sz w:val="24"/>
        </w:rPr>
      </w:pPr>
      <w:bookmarkStart w:id="316" w:name="_Toc7939"/>
      <w:bookmarkStart w:id="317" w:name="_Toc17885"/>
      <w:bookmarkStart w:id="318" w:name="_Toc29457"/>
      <w:bookmarkStart w:id="319" w:name="_Toc32473"/>
      <w:bookmarkStart w:id="320" w:name="_Toc22063"/>
      <w:bookmarkStart w:id="321" w:name="_Toc5941"/>
      <w:bookmarkStart w:id="322" w:name="_Toc25610"/>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w:t>
      </w:r>
      <w:r>
        <w:rPr>
          <w:rFonts w:hint="eastAsia" w:ascii="仿宋_GB2312" w:eastAsia="仿宋_GB2312"/>
          <w:color w:val="000000"/>
          <w:kern w:val="0"/>
          <w:sz w:val="32"/>
          <w:szCs w:val="28"/>
        </w:rPr>
        <w:t xml:space="preserve">20〕127 </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312" w:beforeLines="100"/>
        <w:ind w:firstLine="420"/>
        <w:jc w:val="center"/>
        <w:textAlignment w:val="auto"/>
        <w:outlineLvl w:val="0"/>
        <w:rPr>
          <w:rFonts w:hint="eastAsia" w:ascii="黑体" w:hAnsi="黑体" w:eastAsia="黑体" w:cs="黑体"/>
          <w:b/>
          <w:bCs/>
          <w:sz w:val="36"/>
          <w:szCs w:val="36"/>
        </w:rPr>
      </w:pPr>
      <w:bookmarkStart w:id="323" w:name="_Toc13846"/>
      <w:r>
        <w:rPr>
          <w:rFonts w:hint="eastAsia" w:ascii="黑体" w:hAnsi="黑体" w:eastAsia="黑体" w:cs="黑体"/>
          <w:b/>
          <w:sz w:val="36"/>
          <w:szCs w:val="36"/>
        </w:rPr>
        <w:t>关于印</w:t>
      </w:r>
      <w:r>
        <w:rPr>
          <w:rFonts w:hint="eastAsia" w:ascii="黑体" w:hAnsi="黑体" w:eastAsia="黑体" w:cs="黑体"/>
          <w:b/>
          <w:kern w:val="0"/>
          <w:sz w:val="36"/>
          <w:szCs w:val="36"/>
        </w:rPr>
        <w:t>发《上海电子信息</w:t>
      </w:r>
      <w:r>
        <w:rPr>
          <w:rFonts w:hint="eastAsia" w:ascii="黑体" w:hAnsi="黑体" w:eastAsia="黑体" w:cs="黑体"/>
          <w:b/>
          <w:sz w:val="36"/>
          <w:szCs w:val="36"/>
        </w:rPr>
        <w:t>职业技术学院</w:t>
      </w:r>
      <w:r>
        <w:rPr>
          <w:rFonts w:hint="eastAsia" w:ascii="黑体" w:hAnsi="黑体" w:eastAsia="黑体" w:cs="黑体"/>
          <w:b/>
          <w:bCs/>
          <w:sz w:val="36"/>
          <w:szCs w:val="36"/>
        </w:rPr>
        <w:t>教材选用实施细则</w:t>
      </w:r>
      <w:r>
        <w:rPr>
          <w:rFonts w:hint="eastAsia" w:ascii="黑体" w:hAnsi="黑体" w:eastAsia="黑体" w:cs="黑体"/>
          <w:b/>
          <w:sz w:val="36"/>
          <w:szCs w:val="36"/>
        </w:rPr>
        <w:t>》的通知</w:t>
      </w:r>
      <w:bookmarkEnd w:id="323"/>
    </w:p>
    <w:p>
      <w:pPr>
        <w:pageBreakBefore w:val="0"/>
        <w:topLinePunct w:val="0"/>
        <w:bidi w:val="0"/>
        <w:spacing w:before="312" w:beforeLines="100"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现将《上海电子信息职业技术学院教材选用实施细则》印发给你们，请结合本部门工作实际，认真研究执行。</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附件：上海电子信息职业技术学院教材选用实施细则</w:t>
      </w:r>
    </w:p>
    <w:p>
      <w:pPr>
        <w:pStyle w:val="34"/>
        <w:pageBreakBefore w:val="0"/>
        <w:topLinePunct w:val="0"/>
        <w:bidi w:val="0"/>
        <w:spacing w:before="0" w:beforeAutospacing="0" w:after="0" w:afterAutospacing="0"/>
        <w:jc w:val="center"/>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p>
    <w:p>
      <w:pPr>
        <w:pageBreakBefore w:val="0"/>
        <w:topLinePunct w:val="0"/>
        <w:bidi w:val="0"/>
        <w:spacing w:line="520" w:lineRule="exact"/>
        <w:ind w:right="480"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2020年10月29 日</w:t>
      </w:r>
    </w:p>
    <w:p>
      <w:pPr>
        <w:pageBreakBefore w:val="0"/>
        <w:topLinePunct w:val="0"/>
        <w:bidi w:val="0"/>
        <w:spacing w:line="520" w:lineRule="exact"/>
        <w:ind w:firstLine="640" w:firstLineChars="200"/>
        <w:outlineLvl w:val="9"/>
        <w:rPr>
          <w:rFonts w:hint="eastAsia" w:ascii="仿宋_GB2312" w:eastAsia="仿宋_GB2312" w:cs="宋体"/>
          <w:color w:val="000000"/>
          <w:sz w:val="32"/>
          <w:szCs w:val="32"/>
        </w:rPr>
      </w:pPr>
    </w:p>
    <w:p>
      <w:pPr>
        <w:pStyle w:val="34"/>
        <w:pageBreakBefore w:val="0"/>
        <w:topLinePunct w:val="0"/>
        <w:bidi w:val="0"/>
        <w:spacing w:before="0" w:beforeAutospacing="0" w:after="0" w:afterAutospacing="0"/>
        <w:jc w:val="both"/>
        <w:outlineLvl w:val="9"/>
        <w:rPr>
          <w:rFonts w:hint="eastAsia" w:ascii="仿宋" w:hAnsi="仿宋" w:eastAsia="仿宋" w:cs="仿宋"/>
          <w:b/>
          <w:sz w:val="32"/>
          <w:szCs w:val="32"/>
        </w:rPr>
      </w:pPr>
    </w:p>
    <w:p>
      <w:pPr>
        <w:pageBreakBefore w:val="0"/>
        <w:topLinePunct w:val="0"/>
        <w:bidi w:val="0"/>
        <w:outlineLvl w:val="9"/>
        <w:rPr>
          <w:rFonts w:ascii="仿宋" w:hAnsi="仿宋" w:eastAsia="仿宋" w:cs="仿宋"/>
          <w:b/>
          <w:bCs/>
          <w:sz w:val="32"/>
          <w:szCs w:val="32"/>
        </w:rPr>
      </w:pPr>
      <w:r>
        <w:rPr>
          <w:rFonts w:hint="eastAsia" w:ascii="仿宋_GB2312" w:hAnsi="仿宋_GB2312" w:eastAsia="仿宋_GB2312" w:cs="仿宋_GB2312"/>
          <w:kern w:val="2"/>
          <w:sz w:val="28"/>
          <w:szCs w:val="28"/>
          <w:highlight w:val="none"/>
          <w:lang w:val="en-US" w:eastAsia="zh-CN" w:bidi="ar-SA"/>
        </w:rPr>
        <w:t xml:space="preserve">附件： </w:t>
      </w:r>
      <w:r>
        <w:rPr>
          <w:rFonts w:ascii="仿宋" w:hAnsi="仿宋" w:eastAsia="仿宋" w:cs="仿宋"/>
          <w:b/>
          <w:bCs/>
          <w:sz w:val="32"/>
          <w:szCs w:val="32"/>
        </w:rPr>
        <w:t xml:space="preserve">      </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bCs/>
          <w:sz w:val="36"/>
          <w:szCs w:val="36"/>
        </w:rPr>
      </w:pPr>
      <w:r>
        <w:rPr>
          <w:rFonts w:hint="eastAsia" w:ascii="黑体" w:hAnsi="黑体" w:eastAsia="黑体" w:cs="黑体"/>
          <w:b/>
          <w:bCs/>
          <w:sz w:val="36"/>
          <w:szCs w:val="36"/>
        </w:rPr>
        <w:t>教材选用</w:t>
      </w:r>
      <w:bookmarkEnd w:id="316"/>
      <w:bookmarkEnd w:id="317"/>
      <w:bookmarkEnd w:id="318"/>
      <w:bookmarkEnd w:id="319"/>
      <w:bookmarkEnd w:id="320"/>
      <w:bookmarkEnd w:id="321"/>
      <w:bookmarkEnd w:id="322"/>
      <w:r>
        <w:rPr>
          <w:rFonts w:hint="eastAsia" w:ascii="黑体" w:hAnsi="黑体" w:eastAsia="黑体" w:cs="黑体"/>
          <w:b/>
          <w:bCs/>
          <w:sz w:val="36"/>
          <w:szCs w:val="36"/>
        </w:rPr>
        <w:t>实施细则</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教材工作是教学工作的重要组成部分，为了加强教材选用管理，提高教学质量，保证教学工作正常进行，特修订教材选用实施细则。</w:t>
      </w:r>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一、教材范围界定</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本办法所指的教材，是指以纸张介质或电子介质为载体的、经过国家新闻出版管理部门批准的，公开出版发行的教科书。</w:t>
      </w:r>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二、教材采购</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教材采购按照上海市政府采购管理办法执行。</w:t>
      </w:r>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三、教材的选用与征订</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（一）教材选用</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1．教材的选用应符合高职办学层次和培养目标，并坚持“适应教学、适合学生”的原则，根据学校专业发展情况、培养方案、课程教学的需要和学生实际水平选取相应的教材，确保教材的适用性和科学性。</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2．使用高职高专专用教材，不得用本科或中职教材代替。特殊情况下选用本科教材的，应事先履行审批手续并报教务处备案。</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3．选择教材时，需选用近三年公开出版的通用教材，并优先选用国家级规划教材。严格教材选用程序，禁止选用包销的劣质教材。</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4．采用同一课程标准的课程，原则上应选择同一种版本的教材；一门课程原则上只选用一种正式出版的教材。</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根据专业人才培养方案、教学标准、课程标准的角度出发，任课教师提出2～3种拟选用的教材，由教研室讨论审议后，选择其中的一种教材，经课程归属所在二级学院教材分委会审核同意后上报学校教材委员会审批。</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6．校本教材的选用参照《关于校本教材建设的若干意见》执行。</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7．供应商在购书过程中反馈某些教材无货需加印等待，且不确定开学是否到书者，一律更换其他教材，选取原则参照上述标准。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（二）教材征订程序</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1．根据学期教学安排，教务处每年于春、秋两季预订教材前发布教材征订通知。 </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各二级学院在接到征订通知后，由系（教研室）牵头，及时组织任课教师研讨后提出选用教材的名称、版本、出版社、作者等，并填写《教材征订表》，系（教研室）负责人审核签字后交所属二级学院教材分委会审核。</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3．二级学院教材分委会通过集体讨论教材质量、内容、意识形态，审核确定本学院选用的教材清单，汇总《教材选用审批表》数据，以二级学院为单位制作《教材征订表》和《教材选用审批表》。</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教材征订表》和《教材选用审批表》经所属教材分委会成员审核签字盖章后，在规定时间内将电子稿发至教务处审核（审核纸制文档须与电子文档一致，审核合格后，交纸制文档，），教务处审核后统一报教材委员会审批。审批后的教材清单在校内进行公示，公示无异议后提交给供应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5.学校教材委员会对二级学院征订的教材进行抽查，对选用流程进行审核。</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6.供应商根据学校提供的教材信息，开通学生教材征订平台，学生在网络平台完成征订与支付。支付成功，即为教材征订成功。</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7．供应商根据教材征订平台中学生支付成功的数量进行教材采购。</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8．教材征订工作须在规定的时间内完成。若因特殊原因需要增订或补订，应及时填写“教材临时订购申请单”报教务处审批，经批准后方可增、补订。</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9．由于个人原因错过时间未进行教材征订的同学，若后期有需求征订者，可根据供应商提供的购书网站，自行购买教材。</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四、教材的发放</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供应商对学生用书以个人为单位进行打包，按照学校指定的时间和地点进行发放。</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五、教材费用支付</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学生在征订平台选购自己需要的教材后，按照供应商和学校签订的教材采购合同中议定的折扣价进行费用支付。</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六、附 则</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本办法自颁布之日起正式实施，由上海电子信息职业技术学院教务处负责解释。</w:t>
      </w:r>
    </w:p>
    <w:p>
      <w:pPr>
        <w:pageBreakBefore w:val="0"/>
        <w:topLinePunct w:val="0"/>
        <w:bidi w:val="0"/>
        <w:spacing w:line="44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附件1：教材选用管理流程图</w:t>
      </w:r>
    </w:p>
    <w:p>
      <w:pPr>
        <w:pageBreakBefore w:val="0"/>
        <w:topLinePunct w:val="0"/>
        <w:bidi w:val="0"/>
        <w:spacing w:line="44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附件2：《教材征订表》</w:t>
      </w:r>
    </w:p>
    <w:p>
      <w:pPr>
        <w:pageBreakBefore w:val="0"/>
        <w:topLinePunct w:val="0"/>
        <w:bidi w:val="0"/>
        <w:spacing w:line="440" w:lineRule="exact"/>
        <w:ind w:firstLine="560" w:firstLineChars="200"/>
        <w:outlineLvl w:val="9"/>
        <w:rPr>
          <w:rFonts w:hint="eastAsia" w:ascii="仿宋" w:hAnsi="仿宋" w:eastAsia="仿宋" w:cs="仿宋"/>
          <w:bCs/>
          <w:color w:val="000000"/>
          <w:sz w:val="28"/>
          <w:szCs w:val="28"/>
        </w:rPr>
      </w:pPr>
      <w:r>
        <w:rPr>
          <w:rFonts w:hint="eastAsia" w:ascii="仿宋_GB2312" w:hAnsi="仿宋_GB2312" w:eastAsia="仿宋_GB2312" w:cs="仿宋_GB2312"/>
          <w:kern w:val="2"/>
          <w:sz w:val="28"/>
          <w:szCs w:val="28"/>
          <w:highlight w:val="none"/>
          <w:lang w:val="en-US" w:eastAsia="zh-CN" w:bidi="ar-SA"/>
        </w:rPr>
        <w:t>附件3：《教材选用审批表》</w:t>
      </w:r>
    </w:p>
    <w:p>
      <w:pPr>
        <w:pageBreakBefore w:val="0"/>
        <w:topLinePunct w:val="0"/>
        <w:bidi w:val="0"/>
        <w:outlineLvl w:val="9"/>
        <w:rPr>
          <w:rFonts w:hint="eastAsia" w:ascii="仿宋" w:hAnsi="仿宋" w:eastAsia="仿宋" w:cs="仿宋"/>
          <w:bCs/>
          <w:color w:val="000000"/>
          <w:sz w:val="28"/>
          <w:szCs w:val="28"/>
        </w:rPr>
      </w:pPr>
      <w:r>
        <w:rPr>
          <w:sz w:val="28"/>
        </w:rPr>
        <w:pict>
          <v:group id="组合 37" o:spid="_x0000_s1162" o:spt="203" style="position:absolute;left:0pt;margin-left:107pt;margin-top:33.55pt;height:659.15pt;width:190pt;z-index:251793408;mso-width-relative:page;mso-height-relative:page;" coordorigin="8225,56218" coordsize="3800,13183">
            <o:lock v:ext="edit" aspectratio="f"/>
            <v:group id="_x0000_s1163" o:spid="_x0000_s1163" o:spt="203" style="position:absolute;left:8225;top:56218;height:10546;width:3801;" coordorigin="8214,56218" coordsize="3801,10546">
              <o:lock v:ext="edit" aspectratio="f"/>
              <v:shape id="_x0000_s1164" o:spid="_x0000_s1164" o:spt="32" type="#_x0000_t32" style="position:absolute;left:10035;top:62046;height:420;width:0;" filled="f" stroked="t" coordsize="21600,21600">
                <v:path arrowok="t"/>
                <v:fill on="f" focussize="0,0"/>
                <v:stroke endarrow="block"/>
                <v:imagedata o:title=""/>
                <o:lock v:ext="edit" aspectratio="f"/>
              </v:shape>
              <v:shape id="自选图形 60" o:spid="_x0000_s1165" o:spt="32" type="#_x0000_t32" style="position:absolute;left:12011;top:62768;flip:x y;height:2244;width:5;" filled="f" stroked="t" coordsize="21600,21600">
                <v:path arrowok="t"/>
                <v:fill on="f" focussize="0,0"/>
                <v:stroke/>
                <v:imagedata o:title=""/>
                <o:lock v:ext="edit" aspectratio="f"/>
              </v:shape>
              <v:shape id="自选图形 61" o:spid="_x0000_s1166" o:spt="32" type="#_x0000_t32" style="position:absolute;left:11312;top:62766;flip:x;height:1;width:698;" filled="f" stroked="t" coordsize="21600,21600">
                <v:path arrowok="t"/>
                <v:fill on="f" focussize="0,0"/>
                <v:stroke endarrow="block"/>
                <v:imagedata o:title=""/>
                <o:lock v:ext="edit" aspectratio="f"/>
              </v:shape>
              <v:shape id="_x0000_s1167" o:spid="_x0000_s1167" o:spt="109" type="#_x0000_t109" style="position:absolute;left:8754;top:63738;height:524;width:2515;" fillcolor="#FFFFFF" filled="t" stroked="t" coordsize="21600,21600">
                <v:path/>
                <v:fill on="t" color2="#FFFFFF" focussize="0,0"/>
                <v:stroke joinstyle="miter"/>
                <v:imagedata o:title=""/>
                <o:lock v:ext="edit" aspectratio="f"/>
                <v:textbox>
                  <w:txbxContent>
                    <w:p>
                      <w:pPr>
                        <w:jc w:val="center"/>
                        <w:rPr>
                          <w:rFonts w:hint="eastAsia"/>
                          <w:sz w:val="18"/>
                          <w:szCs w:val="18"/>
                        </w:rPr>
                      </w:pPr>
                      <w:r>
                        <w:rPr>
                          <w:rFonts w:hint="eastAsia"/>
                          <w:sz w:val="18"/>
                          <w:szCs w:val="18"/>
                        </w:rPr>
                        <w:t>教材委员会审批</w:t>
                      </w:r>
                    </w:p>
                    <w:p>
                      <w:pPr>
                        <w:jc w:val="center"/>
                        <w:rPr>
                          <w:sz w:val="18"/>
                          <w:szCs w:val="18"/>
                        </w:rPr>
                      </w:pPr>
                    </w:p>
                  </w:txbxContent>
                </v:textbox>
              </v:shape>
              <v:shape id="_x0000_s1168" o:spid="_x0000_s1168" o:spt="32" type="#_x0000_t32" style="position:absolute;left:10034;top:64285;height:345;width:1;" filled="f" stroked="t" coordsize="21600,21600">
                <v:path arrowok="t"/>
                <v:fill on="f" focussize="0,0"/>
                <v:stroke endarrow="block"/>
                <v:imagedata o:title=""/>
                <o:lock v:ext="edit" aspectratio="f"/>
              </v:shape>
              <v:shape id="_x0000_s1169" o:spid="_x0000_s1169" o:spt="32" type="#_x0000_t32" style="position:absolute;left:10034;top:65298;height:338;width:1;" filled="f" stroked="t" coordsize="21600,21600">
                <v:path arrowok="t"/>
                <v:fill on="f" focussize="0,0"/>
                <v:stroke endarrow="block"/>
                <v:imagedata o:title=""/>
                <o:lock v:ext="edit" aspectratio="f"/>
              </v:shape>
              <v:shape id="_x0000_s1170" o:spid="_x0000_s1170" o:spt="32" type="#_x0000_t32" style="position:absolute;left:10035;top:66390;height:375;width:0;" filled="f" stroked="t" coordsize="21600,21600">
                <v:path arrowok="t"/>
                <v:fill on="f" focussize="0,0"/>
                <v:stroke endarrow="block"/>
                <v:imagedata o:title=""/>
                <o:lock v:ext="edit" aspectratio="f"/>
              </v:shape>
              <v:shape id="自选图形 78" o:spid="_x0000_s1171" o:spt="32" type="#_x0000_t32" style="position:absolute;left:11022;top:65001;flip:x y;height:3;width:989;" filled="f" stroked="t" coordsize="21600,21600">
                <v:path arrowok="t"/>
                <v:fill on="f" focussize="0,0"/>
                <v:stroke/>
                <v:imagedata o:title=""/>
                <o:lock v:ext="edit" aspectratio="f"/>
              </v:shape>
              <v:shape id="_x0000_s1172" o:spid="_x0000_s1172" o:spt="32" type="#_x0000_t32" style="position:absolute;left:10035;top:63261;height:435;width:0;" filled="f" stroked="t" coordsize="21600,21600">
                <v:path arrowok="t"/>
                <v:fill on="f" focussize="0,0"/>
                <v:stroke endarrow="block"/>
                <v:imagedata o:title=""/>
                <o:lock v:ext="edit" aspectratio="f"/>
              </v:shape>
              <v:shape id="自选图形 12" o:spid="_x0000_s1173" o:spt="109" type="#_x0000_t109" style="position:absolute;left:8955;top:65616;height:774;width:2160;" fillcolor="#FFFFFF" filled="t" stroked="t" coordsize="21600,21600">
                <v:path/>
                <v:fill on="t" color2="#FFFFFF" focussize="0,0"/>
                <v:stroke joinstyle="miter"/>
                <v:imagedata o:title=""/>
                <o:lock v:ext="edit" aspectratio="f"/>
                <v:textbox>
                  <w:txbxContent>
                    <w:p>
                      <w:pPr>
                        <w:jc w:val="center"/>
                        <w:rPr>
                          <w:rFonts w:hint="eastAsia"/>
                          <w:sz w:val="18"/>
                          <w:szCs w:val="18"/>
                        </w:rPr>
                      </w:pPr>
                      <w:r>
                        <w:rPr>
                          <w:rFonts w:hint="eastAsia"/>
                          <w:sz w:val="18"/>
                          <w:szCs w:val="18"/>
                        </w:rPr>
                        <w:t>供应商向</w:t>
                      </w:r>
                      <w:r>
                        <w:rPr>
                          <w:sz w:val="18"/>
                          <w:szCs w:val="18"/>
                        </w:rPr>
                        <w:t>学生</w:t>
                      </w:r>
                      <w:r>
                        <w:rPr>
                          <w:rFonts w:hint="eastAsia"/>
                          <w:sz w:val="18"/>
                          <w:szCs w:val="18"/>
                        </w:rPr>
                        <w:t>开放</w:t>
                      </w:r>
                      <w:r>
                        <w:rPr>
                          <w:sz w:val="18"/>
                          <w:szCs w:val="18"/>
                        </w:rPr>
                        <w:t>教材征订平台</w:t>
                      </w:r>
                    </w:p>
                  </w:txbxContent>
                </v:textbox>
              </v:shape>
              <v:shape id="自选图形 13" o:spid="_x0000_s1174" o:spt="109" type="#_x0000_t109" style="position:absolute;left:8757;top:62485;height:780;width:2555;" fillcolor="#FFFFFF" filled="t" stroked="t" coordsize="21600,21600">
                <v:path/>
                <v:fill on="t" color2="#FFFFFF" focussize="0,0"/>
                <v:stroke joinstyle="miter"/>
                <v:imagedata o:title=""/>
                <o:lock v:ext="edit" aspectratio="f"/>
                <v:textbox>
                  <w:txbxContent>
                    <w:p>
                      <w:pPr>
                        <w:jc w:val="center"/>
                        <w:rPr>
                          <w:rFonts w:hint="eastAsia"/>
                          <w:sz w:val="18"/>
                          <w:szCs w:val="18"/>
                        </w:rPr>
                      </w:pPr>
                      <w:r>
                        <w:rPr>
                          <w:rFonts w:hint="eastAsia"/>
                          <w:sz w:val="18"/>
                          <w:szCs w:val="18"/>
                        </w:rPr>
                        <w:t>二级学院提交</w:t>
                      </w:r>
                      <w:r>
                        <w:rPr>
                          <w:sz w:val="18"/>
                          <w:szCs w:val="18"/>
                        </w:rPr>
                        <w:t>教材征订表</w:t>
                      </w:r>
                      <w:r>
                        <w:rPr>
                          <w:rFonts w:hint="eastAsia"/>
                          <w:sz w:val="18"/>
                          <w:szCs w:val="18"/>
                        </w:rPr>
                        <w:t>和教材选用审批表</w:t>
                      </w:r>
                    </w:p>
                    <w:p>
                      <w:pPr>
                        <w:jc w:val="center"/>
                        <w:rPr>
                          <w:sz w:val="18"/>
                          <w:szCs w:val="18"/>
                        </w:rPr>
                      </w:pPr>
                    </w:p>
                  </w:txbxContent>
                </v:textbox>
              </v:shape>
              <v:shape id="自选图形 56" o:spid="_x0000_s1175" o:spt="110" type="#_x0000_t110" style="position:absolute;left:9082;top:64597;height:825;width:1935;" fillcolor="#FFFFFF" filled="t" stroked="t" coordsize="21600,21600">
                <v:path/>
                <v:fill on="t" color2="#FFFFFF" focussize="0,0"/>
                <v:stroke joinstyle="miter"/>
                <v:imagedata o:title=""/>
                <o:lock v:ext="edit" aspectratio="f"/>
                <v:textbox>
                  <w:txbxContent>
                    <w:p>
                      <w:pPr>
                        <w:jc w:val="center"/>
                        <w:rPr>
                          <w:sz w:val="18"/>
                          <w:szCs w:val="18"/>
                        </w:rPr>
                      </w:pPr>
                      <w:r>
                        <w:rPr>
                          <w:rFonts w:hint="eastAsia"/>
                          <w:sz w:val="18"/>
                          <w:szCs w:val="18"/>
                        </w:rPr>
                        <w:t>公示通过</w:t>
                      </w:r>
                    </w:p>
                  </w:txbxContent>
                </v:textbox>
              </v:shape>
              <v:group id="组合 15" o:spid="_x0000_s1176" o:spt="203" style="position:absolute;left:8214;top:56218;height:5920;width:3062;" coordorigin="8214,56218" coordsize="3062,5920">
                <o:lock v:ext="edit" aspectratio="f"/>
                <v:shape id="_x0000_s1177" o:spid="_x0000_s1177" o:spt="32" type="#_x0000_t32" style="position:absolute;left:10035;top:59413;height:420;width:0;" filled="f" stroked="t" coordsize="21600,21600">
                  <v:path arrowok="t"/>
                  <v:fill on="f" focussize="0,0"/>
                  <v:stroke endarrow="block"/>
                  <v:imagedata o:title=""/>
                  <o:lock v:ext="edit" aspectratio="f"/>
                </v:shape>
                <v:shape id="_x0000_s1178" o:spid="_x0000_s1178" o:spt="109" type="#_x0000_t109" style="position:absolute;left:9086;top:58582;height:780;width:1898;" fillcolor="#FFFFFF" filled="t" stroked="t" coordsize="21600,21600">
                  <v:path/>
                  <v:fill on="t" color2="#FFFFFF" focussize="0,0"/>
                  <v:stroke joinstyle="miter"/>
                  <v:imagedata o:title=""/>
                  <o:lock v:ext="edit" aspectratio="f"/>
                  <v:textbox>
                    <w:txbxContent>
                      <w:p>
                        <w:pPr>
                          <w:jc w:val="center"/>
                          <w:rPr>
                            <w:rFonts w:hint="eastAsia"/>
                            <w:sz w:val="18"/>
                            <w:szCs w:val="18"/>
                          </w:rPr>
                        </w:pPr>
                        <w:r>
                          <w:rPr>
                            <w:rFonts w:hint="eastAsia"/>
                            <w:sz w:val="18"/>
                            <w:szCs w:val="18"/>
                          </w:rPr>
                          <w:t>系（教研室）组织讨论</w:t>
                        </w:r>
                        <w:r>
                          <w:rPr>
                            <w:sz w:val="18"/>
                            <w:szCs w:val="18"/>
                          </w:rPr>
                          <w:t>提交教材</w:t>
                        </w:r>
                        <w:r>
                          <w:rPr>
                            <w:rFonts w:hint="eastAsia"/>
                            <w:sz w:val="18"/>
                            <w:szCs w:val="18"/>
                          </w:rPr>
                          <w:t>征订表</w:t>
                        </w:r>
                      </w:p>
                      <w:p>
                        <w:pPr>
                          <w:jc w:val="center"/>
                          <w:rPr>
                            <w:rFonts w:hint="eastAsia"/>
                            <w:sz w:val="18"/>
                            <w:szCs w:val="18"/>
                          </w:rPr>
                        </w:pPr>
                      </w:p>
                    </w:txbxContent>
                  </v:textbox>
                </v:shape>
                <v:shape id="_x0000_s1179" o:spid="_x0000_s1179" o:spt="109" type="#_x0000_t109" style="position:absolute;left:9071;top:59827;height:854;width:1898;" fillcolor="#FFFFFF" filled="t" stroked="t" coordsize="21600,21600">
                  <v:path/>
                  <v:fill on="t" color2="#FFFFFF" focussize="0,0"/>
                  <v:stroke joinstyle="miter"/>
                  <v:imagedata o:title=""/>
                  <o:lock v:ext="edit" aspectratio="f"/>
                  <v:textbox>
                    <w:txbxContent>
                      <w:p>
                        <w:pPr>
                          <w:jc w:val="center"/>
                          <w:rPr>
                            <w:rFonts w:hint="eastAsia"/>
                            <w:sz w:val="18"/>
                            <w:szCs w:val="18"/>
                          </w:rPr>
                        </w:pPr>
                        <w:r>
                          <w:rPr>
                            <w:rFonts w:hint="eastAsia"/>
                            <w:sz w:val="18"/>
                            <w:szCs w:val="18"/>
                          </w:rPr>
                          <w:t>二级学院教材分委会讨论审核</w:t>
                        </w:r>
                      </w:p>
                    </w:txbxContent>
                  </v:textbox>
                </v:shape>
                <v:shape id="_x0000_s1180" o:spid="_x0000_s1180" o:spt="32" type="#_x0000_t32" style="position:absolute;left:8222;top:58965;flip:x y;height:2619;width:11;" filled="f" stroked="t" coordsize="21600,21600">
                  <v:path arrowok="t"/>
                  <v:fill on="f" focussize="0,0"/>
                  <v:stroke/>
                  <v:imagedata o:title=""/>
                  <o:lock v:ext="edit" aspectratio="f"/>
                </v:shape>
                <v:shape id="_x0000_s1181" o:spid="_x0000_s1181" o:spt="32" type="#_x0000_t32" style="position:absolute;left:8214;top:58954;height:0;width:899;" filled="f" stroked="t" coordsize="21600,21600">
                  <v:path arrowok="t"/>
                  <v:fill on="f" focussize="0,0"/>
                  <v:stroke endarrow="block"/>
                  <v:imagedata o:title=""/>
                  <o:lock v:ext="edit" aspectratio="f"/>
                </v:shape>
                <v:shape id="_x0000_s1182" o:spid="_x0000_s1182" o:spt="109" type="#_x0000_t109" style="position:absolute;left:9065;top:56218;height:750;width:1898;" fillcolor="#FFFFFF" filled="t" stroked="t" coordsize="21600,21600">
                  <v:path/>
                  <v:fill on="t" color2="#FFFFFF" focussize="0,0"/>
                  <v:stroke joinstyle="miter"/>
                  <v:imagedata o:title=""/>
                  <o:lock v:ext="edit" aspectratio="f"/>
                  <v:textbox>
                    <w:txbxContent>
                      <w:p>
                        <w:pPr>
                          <w:jc w:val="center"/>
                          <w:rPr>
                            <w:sz w:val="18"/>
                            <w:szCs w:val="18"/>
                          </w:rPr>
                        </w:pPr>
                        <w:r>
                          <w:rPr>
                            <w:rFonts w:hint="eastAsia"/>
                            <w:sz w:val="18"/>
                            <w:szCs w:val="18"/>
                          </w:rPr>
                          <w:t>教务处发布</w:t>
                        </w:r>
                      </w:p>
                      <w:p>
                        <w:pPr>
                          <w:jc w:val="center"/>
                          <w:rPr>
                            <w:rFonts w:hint="eastAsia"/>
                            <w:sz w:val="18"/>
                            <w:szCs w:val="18"/>
                          </w:rPr>
                        </w:pPr>
                        <w:r>
                          <w:rPr>
                            <w:rFonts w:hint="eastAsia"/>
                            <w:sz w:val="18"/>
                            <w:szCs w:val="18"/>
                          </w:rPr>
                          <w:t>教材</w:t>
                        </w:r>
                        <w:r>
                          <w:rPr>
                            <w:sz w:val="18"/>
                            <w:szCs w:val="18"/>
                          </w:rPr>
                          <w:t>征订通知</w:t>
                        </w:r>
                      </w:p>
                      <w:p>
                        <w:pPr>
                          <w:jc w:val="center"/>
                          <w:rPr>
                            <w:rFonts w:hint="eastAsia"/>
                            <w:sz w:val="18"/>
                            <w:szCs w:val="18"/>
                          </w:rPr>
                        </w:pPr>
                        <w:r>
                          <w:rPr>
                            <w:sz w:val="18"/>
                            <w:szCs w:val="18"/>
                          </w:rPr>
                          <w:t>教材征订通知</w:t>
                        </w:r>
                      </w:p>
                    </w:txbxContent>
                  </v:textbox>
                </v:shape>
                <v:shape id="_x0000_s1183" o:spid="_x0000_s1183" o:spt="32" type="#_x0000_t32" style="position:absolute;left:10035;top:58166;height:420;width:0;" filled="f" stroked="t" coordsize="21600,21600">
                  <v:path arrowok="t"/>
                  <v:fill on="f" focussize="0,0"/>
                  <v:stroke endarrow="block"/>
                  <v:imagedata o:title=""/>
                  <o:lock v:ext="edit" aspectratio="f"/>
                </v:shape>
                <v:shape id="自选图形 56" o:spid="_x0000_s1184" o:spt="110" type="#_x0000_t110" style="position:absolute;left:8732;top:61026;height:1112;width:2545;" fillcolor="#FFFFFF" filled="t" stroked="t" coordsize="21600,21600">
                  <v:path/>
                  <v:fill on="t" color2="#FFFFFF" focussize="0,0"/>
                  <v:stroke joinstyle="miter"/>
                  <v:imagedata o:title=""/>
                  <o:lock v:ext="edit" aspectratio="f"/>
                  <v:textbox>
                    <w:txbxContent>
                      <w:p>
                        <w:pPr>
                          <w:spacing w:line="240" w:lineRule="exact"/>
                          <w:jc w:val="center"/>
                          <w:rPr>
                            <w:sz w:val="18"/>
                            <w:szCs w:val="18"/>
                          </w:rPr>
                        </w:pPr>
                        <w:r>
                          <w:rPr>
                            <w:rFonts w:hint="eastAsia"/>
                            <w:sz w:val="18"/>
                            <w:szCs w:val="18"/>
                          </w:rPr>
                          <w:t>教务处规范审核通过</w:t>
                        </w:r>
                      </w:p>
                    </w:txbxContent>
                  </v:textbox>
                </v:shape>
                <v:shape id="_x0000_s1185" o:spid="_x0000_s1185" o:spt="109" type="#_x0000_t109" style="position:absolute;left:9065;top:57416;height:750;width:1898;" fillcolor="#FFFFFF" filled="t" stroked="t" coordsize="21600,21600">
                  <v:path/>
                  <v:fill on="t" color2="#FFFFFF" focussize="0,0"/>
                  <v:stroke joinstyle="miter"/>
                  <v:imagedata o:title=""/>
                  <o:lock v:ext="edit" aspectratio="f"/>
                  <v:textbox>
                    <w:txbxContent>
                      <w:p>
                        <w:pPr>
                          <w:jc w:val="center"/>
                          <w:rPr>
                            <w:rFonts w:hint="eastAsia"/>
                            <w:sz w:val="18"/>
                            <w:szCs w:val="18"/>
                          </w:rPr>
                        </w:pPr>
                        <w:r>
                          <w:rPr>
                            <w:rFonts w:hint="eastAsia"/>
                            <w:sz w:val="18"/>
                            <w:szCs w:val="18"/>
                          </w:rPr>
                          <w:t>二级学院启动教材选用征订工作</w:t>
                        </w:r>
                      </w:p>
                    </w:txbxContent>
                  </v:textbox>
                </v:shape>
                <v:shape id="_x0000_s1186" o:spid="_x0000_s1186" o:spt="32" type="#_x0000_t32" style="position:absolute;left:10035;top:56996;height:420;width:0;" filled="f" stroked="t" coordsize="21600,21600">
                  <v:path arrowok="t"/>
                  <v:fill on="f" focussize="0,0"/>
                  <v:stroke endarrow="block"/>
                  <v:imagedata o:title=""/>
                  <o:lock v:ext="edit" aspectratio="f"/>
                </v:shape>
                <v:shape id="自选图形 57" o:spid="_x0000_s1187" o:spt="32" type="#_x0000_t32" style="position:absolute;left:8222;top:61582;flip:x;height:12;width:510;" filled="f" stroked="t" coordsize="21600,21600">
                  <v:path arrowok="t"/>
                  <v:fill on="f" focussize="0,0"/>
                  <v:stroke/>
                  <v:imagedata o:title=""/>
                  <o:lock v:ext="edit" aspectratio="f"/>
                </v:shape>
              </v:group>
            </v:group>
            <v:rect id="_x0000_s1188" o:spid="_x0000_s1188" o:spt="1" style="position:absolute;left:10306;top:65215;height:390;width:390;" filled="f" stroked="f" coordsize="21600,21600">
              <v:path/>
              <v:fill on="f" focussize="0,0"/>
              <v:stroke on="f"/>
              <v:imagedata o:title=""/>
              <o:lock v:ext="edit" aspectratio="f"/>
              <v:textbox>
                <w:txbxContent>
                  <w:p>
                    <w:r>
                      <w:rPr>
                        <w:rFonts w:hint="eastAsia"/>
                      </w:rPr>
                      <w:t>Y</w:t>
                    </w:r>
                  </w:p>
                </w:txbxContent>
              </v:textbox>
            </v:rect>
            <v:shape id="_x0000_s1189" o:spid="_x0000_s1189" o:spt="116" type="#_x0000_t116" style="position:absolute;left:8899;top:68813;height:588;width:2242;" fillcolor="#FFFFFF" filled="t" stroked="t" coordsize="21600,21600">
              <v:path/>
              <v:fill on="t" color2="#FFFFFF" focussize="0,0"/>
              <v:stroke joinstyle="miter"/>
              <v:imagedata o:title=""/>
              <o:lock v:ext="edit" aspectratio="f"/>
              <v:textbox>
                <w:txbxContent>
                  <w:p>
                    <w:pPr>
                      <w:jc w:val="center"/>
                      <w:rPr>
                        <w:rFonts w:hint="eastAsia"/>
                      </w:rPr>
                    </w:pPr>
                    <w:r>
                      <w:rPr>
                        <w:rFonts w:hint="eastAsia"/>
                        <w:sz w:val="18"/>
                        <w:szCs w:val="18"/>
                      </w:rPr>
                      <w:t>学生领取、</w:t>
                    </w:r>
                    <w:r>
                      <w:rPr>
                        <w:sz w:val="18"/>
                        <w:szCs w:val="18"/>
                      </w:rPr>
                      <w:t>使用教材</w:t>
                    </w:r>
                  </w:p>
                </w:txbxContent>
              </v:textbox>
            </v:shape>
            <v:shape id="_x0000_s1190" o:spid="_x0000_s1190" o:spt="32" type="#_x0000_t32" style="position:absolute;left:10046;top:67488;height:420;width:0;" filled="f" stroked="t" coordsize="21600,21600">
              <v:path arrowok="t"/>
              <v:fill on="f" focussize="0,0"/>
              <v:stroke endarrow="block"/>
              <v:imagedata o:title=""/>
              <o:lock v:ext="edit" aspectratio="f"/>
            </v:shape>
            <v:shape id="_x0000_s1191" o:spid="_x0000_s1191" o:spt="109" type="#_x0000_t109" style="position:absolute;left:8966;top:66754;height:774;width:2160;" fillcolor="#FFFFFF" filled="t" stroked="t" coordsize="21600,21600">
              <v:path/>
              <v:fill on="t" color2="#FFFFFF" focussize="0,0"/>
              <v:stroke joinstyle="miter"/>
              <v:imagedata o:title=""/>
              <o:lock v:ext="edit" aspectratio="f"/>
              <v:textbox>
                <w:txbxContent>
                  <w:p>
                    <w:pPr>
                      <w:jc w:val="center"/>
                      <w:rPr>
                        <w:rFonts w:hint="eastAsia"/>
                        <w:sz w:val="18"/>
                        <w:szCs w:val="18"/>
                      </w:rPr>
                    </w:pPr>
                    <w:r>
                      <w:rPr>
                        <w:rFonts w:hint="eastAsia"/>
                        <w:sz w:val="18"/>
                        <w:szCs w:val="18"/>
                      </w:rPr>
                      <w:t>学生通过</w:t>
                    </w:r>
                    <w:r>
                      <w:rPr>
                        <w:sz w:val="18"/>
                        <w:szCs w:val="18"/>
                      </w:rPr>
                      <w:t>平台征订教材、完成支付</w:t>
                    </w:r>
                  </w:p>
                </w:txbxContent>
              </v:textbox>
            </v:shape>
            <v:shape id="自选图形 35" o:spid="_x0000_s1192" o:spt="32" type="#_x0000_t32" style="position:absolute;left:10045;top:68393;height:420;width:0;" filled="f" stroked="t" coordsize="21600,21600">
              <v:path arrowok="t"/>
              <v:fill on="f" focussize="0,0"/>
              <v:stroke endarrow="block"/>
              <v:imagedata o:title=""/>
              <o:lock v:ext="edit" aspectratio="f"/>
            </v:shape>
            <v:shape id="_x0000_s1193" o:spid="_x0000_s1193" o:spt="109" type="#_x0000_t109" style="position:absolute;left:8966;top:67905;height:467;width:2160;" fillcolor="#FFFFFF" filled="t" stroked="t" coordsize="21600,21600">
              <v:path/>
              <v:fill on="t" color2="#FFFFFF" focussize="0,0"/>
              <v:stroke joinstyle="miter"/>
              <v:imagedata o:title=""/>
              <o:lock v:ext="edit" aspectratio="f"/>
              <v:textbox>
                <w:txbxContent>
                  <w:p>
                    <w:pPr>
                      <w:jc w:val="center"/>
                      <w:rPr>
                        <w:rFonts w:hint="eastAsia"/>
                        <w:sz w:val="18"/>
                        <w:szCs w:val="18"/>
                      </w:rPr>
                    </w:pPr>
                    <w:r>
                      <w:rPr>
                        <w:rFonts w:hint="eastAsia"/>
                        <w:sz w:val="18"/>
                        <w:szCs w:val="18"/>
                      </w:rPr>
                      <w:t>供应商按个人打</w:t>
                    </w:r>
                    <w:r>
                      <w:rPr>
                        <w:sz w:val="18"/>
                        <w:szCs w:val="18"/>
                      </w:rPr>
                      <w:t>包发放</w:t>
                    </w:r>
                  </w:p>
                </w:txbxContent>
              </v:textbox>
            </v:shape>
          </v:group>
        </w:pict>
      </w:r>
      <w:r>
        <w:rPr>
          <w:sz w:val="28"/>
        </w:rPr>
        <w:pict>
          <v:group id="组合 95" o:spid="_x0000_s1194" o:spt="203" style="position:absolute;left:0pt;margin-left:106.45pt;margin-top:33.55pt;height:527.3pt;width:190.05pt;z-index:251788288;mso-width-relative:page;mso-height-relative:page;" coordorigin="8214,56218" coordsize="3801,10546">
            <o:lock v:ext="edit" aspectratio="f"/>
            <v:shape id="_x0000_s1195" o:spid="_x0000_s1195" o:spt="32" type="#_x0000_t32" style="position:absolute;left:10035;top:62046;height:420;width:0;" filled="f" stroked="t" coordsize="21600,21600">
              <v:path arrowok="t"/>
              <v:fill on="f" focussize="0,0"/>
              <v:stroke endarrow="block"/>
              <v:imagedata o:title=""/>
              <o:lock v:ext="edit" aspectratio="f"/>
            </v:shape>
            <v:shape id="自选图形 60" o:spid="_x0000_s1196" o:spt="32" type="#_x0000_t32" style="position:absolute;left:12011;top:62768;flip:x y;height:2244;width:5;" filled="f" stroked="t" coordsize="21600,21600">
              <v:path arrowok="t"/>
              <v:fill on="f" focussize="0,0"/>
              <v:stroke/>
              <v:imagedata o:title=""/>
              <o:lock v:ext="edit" aspectratio="f"/>
            </v:shape>
            <v:shape id="自选图形 61" o:spid="_x0000_s1197" o:spt="32" type="#_x0000_t32" style="position:absolute;left:11312;top:62766;flip:x;height:1;width:698;" filled="f" stroked="t" coordsize="21600,21600">
              <v:path arrowok="t"/>
              <v:fill on="f" focussize="0,0"/>
              <v:stroke endarrow="block"/>
              <v:imagedata o:title=""/>
              <o:lock v:ext="edit" aspectratio="f"/>
            </v:shape>
            <v:shape id="_x0000_s1198" o:spid="_x0000_s1198" o:spt="109" type="#_x0000_t109" style="position:absolute;left:8754;top:63738;height:524;width:2515;" fillcolor="#FFFFFF" filled="t" stroked="t" coordsize="21600,21600">
              <v:path/>
              <v:fill on="t" color2="#FFFFFF" focussize="0,0"/>
              <v:stroke joinstyle="miter"/>
              <v:imagedata o:title=""/>
              <o:lock v:ext="edit" aspectratio="f"/>
              <v:textbox>
                <w:txbxContent>
                  <w:p>
                    <w:pPr>
                      <w:jc w:val="center"/>
                      <w:rPr>
                        <w:rFonts w:hint="eastAsia"/>
                        <w:sz w:val="18"/>
                        <w:szCs w:val="18"/>
                      </w:rPr>
                    </w:pPr>
                    <w:r>
                      <w:rPr>
                        <w:rFonts w:hint="eastAsia"/>
                        <w:sz w:val="18"/>
                        <w:szCs w:val="18"/>
                      </w:rPr>
                      <w:t>教材委员会审批</w:t>
                    </w:r>
                  </w:p>
                  <w:p>
                    <w:pPr>
                      <w:jc w:val="center"/>
                      <w:rPr>
                        <w:sz w:val="18"/>
                        <w:szCs w:val="18"/>
                      </w:rPr>
                    </w:pPr>
                  </w:p>
                </w:txbxContent>
              </v:textbox>
            </v:shape>
            <v:shape id="_x0000_s1199" o:spid="_x0000_s1199" o:spt="32" type="#_x0000_t32" style="position:absolute;left:10034;top:64285;height:345;width:1;" filled="f" stroked="t" coordsize="21600,21600">
              <v:path arrowok="t"/>
              <v:fill on="f" focussize="0,0"/>
              <v:stroke endarrow="block"/>
              <v:imagedata o:title=""/>
              <o:lock v:ext="edit" aspectratio="f"/>
            </v:shape>
            <v:shape id="_x0000_s1200" o:spid="_x0000_s1200" o:spt="32" type="#_x0000_t32" style="position:absolute;left:10034;top:65298;height:338;width:1;" filled="f" stroked="t" coordsize="21600,21600">
              <v:path arrowok="t"/>
              <v:fill on="f" focussize="0,0"/>
              <v:stroke endarrow="block"/>
              <v:imagedata o:title=""/>
              <o:lock v:ext="edit" aspectratio="f"/>
            </v:shape>
            <v:shape id="_x0000_s1201" o:spid="_x0000_s1201" o:spt="32" type="#_x0000_t32" style="position:absolute;left:10035;top:66390;height:375;width:0;" filled="f" stroked="t" coordsize="21600,21600">
              <v:path arrowok="t"/>
              <v:fill on="f" focussize="0,0"/>
              <v:stroke endarrow="block"/>
              <v:imagedata o:title=""/>
              <o:lock v:ext="edit" aspectratio="f"/>
            </v:shape>
            <v:shape id="自选图形 78" o:spid="_x0000_s1202" o:spt="32" type="#_x0000_t32" style="position:absolute;left:11022;top:65001;flip:x y;height:3;width:989;" filled="f" stroked="t" coordsize="21600,21600">
              <v:path arrowok="t"/>
              <v:fill on="f" focussize="0,0"/>
              <v:stroke/>
              <v:imagedata o:title=""/>
              <o:lock v:ext="edit" aspectratio="f"/>
            </v:shape>
            <v:shape id="_x0000_s1203" o:spid="_x0000_s1203" o:spt="32" type="#_x0000_t32" style="position:absolute;left:10035;top:63261;height:435;width:0;" filled="f" stroked="t" coordsize="21600,21600">
              <v:path arrowok="t"/>
              <v:fill on="f" focussize="0,0"/>
              <v:stroke endarrow="block"/>
              <v:imagedata o:title=""/>
              <o:lock v:ext="edit" aspectratio="f"/>
            </v:shape>
            <v:shape id="_x0000_s1204" o:spid="_x0000_s1204" o:spt="109" type="#_x0000_t109" style="position:absolute;left:8955;top:65616;height:774;width:2160;" fillcolor="#FFFFFF" filled="t" stroked="t" coordsize="21600,21600">
              <v:path/>
              <v:fill on="t" color2="#FFFFFF" focussize="0,0"/>
              <v:stroke joinstyle="miter"/>
              <v:imagedata o:title=""/>
              <o:lock v:ext="edit" aspectratio="f"/>
              <v:textbox>
                <w:txbxContent>
                  <w:p>
                    <w:pPr>
                      <w:jc w:val="center"/>
                      <w:rPr>
                        <w:rFonts w:hint="eastAsia"/>
                        <w:sz w:val="18"/>
                        <w:szCs w:val="18"/>
                      </w:rPr>
                    </w:pPr>
                    <w:r>
                      <w:rPr>
                        <w:rFonts w:hint="eastAsia"/>
                        <w:sz w:val="18"/>
                        <w:szCs w:val="18"/>
                      </w:rPr>
                      <w:t>供应商向</w:t>
                    </w:r>
                    <w:r>
                      <w:rPr>
                        <w:sz w:val="18"/>
                        <w:szCs w:val="18"/>
                      </w:rPr>
                      <w:t>学生</w:t>
                    </w:r>
                    <w:r>
                      <w:rPr>
                        <w:rFonts w:hint="eastAsia"/>
                        <w:sz w:val="18"/>
                        <w:szCs w:val="18"/>
                      </w:rPr>
                      <w:t>开放</w:t>
                    </w:r>
                    <w:r>
                      <w:rPr>
                        <w:sz w:val="18"/>
                        <w:szCs w:val="18"/>
                      </w:rPr>
                      <w:t>教材征订平台</w:t>
                    </w:r>
                  </w:p>
                </w:txbxContent>
              </v:textbox>
            </v:shape>
            <v:shape id="_x0000_s1205" o:spid="_x0000_s1205" o:spt="109" type="#_x0000_t109" style="position:absolute;left:8757;top:62485;height:780;width:2555;" fillcolor="#FFFFFF" filled="t" stroked="t" coordsize="21600,21600">
              <v:path/>
              <v:fill on="t" color2="#FFFFFF" focussize="0,0"/>
              <v:stroke joinstyle="miter"/>
              <v:imagedata o:title=""/>
              <o:lock v:ext="edit" aspectratio="f"/>
              <v:textbox>
                <w:txbxContent>
                  <w:p>
                    <w:pPr>
                      <w:jc w:val="center"/>
                      <w:rPr>
                        <w:rFonts w:hint="eastAsia"/>
                        <w:sz w:val="18"/>
                        <w:szCs w:val="18"/>
                      </w:rPr>
                    </w:pPr>
                    <w:r>
                      <w:rPr>
                        <w:rFonts w:hint="eastAsia"/>
                        <w:sz w:val="18"/>
                        <w:szCs w:val="18"/>
                      </w:rPr>
                      <w:t>二级学院提交</w:t>
                    </w:r>
                    <w:r>
                      <w:rPr>
                        <w:sz w:val="18"/>
                        <w:szCs w:val="18"/>
                      </w:rPr>
                      <w:t>教材征订表</w:t>
                    </w:r>
                    <w:r>
                      <w:rPr>
                        <w:rFonts w:hint="eastAsia"/>
                        <w:sz w:val="18"/>
                        <w:szCs w:val="18"/>
                      </w:rPr>
                      <w:t>和教材选用审批表</w:t>
                    </w:r>
                  </w:p>
                  <w:p>
                    <w:pPr>
                      <w:jc w:val="center"/>
                      <w:rPr>
                        <w:sz w:val="18"/>
                        <w:szCs w:val="18"/>
                      </w:rPr>
                    </w:pPr>
                  </w:p>
                </w:txbxContent>
              </v:textbox>
            </v:shape>
            <v:shape id="自选图形 351" o:spid="_x0000_s1206" o:spt="110" type="#_x0000_t110" style="position:absolute;left:9082;top:64597;height:825;width:1935;" fillcolor="#FFFFFF" filled="t" stroked="t" coordsize="21600,21600">
              <v:path/>
              <v:fill on="t" color2="#FFFFFF" focussize="0,0"/>
              <v:stroke joinstyle="miter"/>
              <v:imagedata o:title=""/>
              <o:lock v:ext="edit" aspectratio="f"/>
              <v:textbox>
                <w:txbxContent>
                  <w:p>
                    <w:pPr>
                      <w:jc w:val="center"/>
                      <w:rPr>
                        <w:sz w:val="18"/>
                        <w:szCs w:val="18"/>
                      </w:rPr>
                    </w:pPr>
                    <w:r>
                      <w:rPr>
                        <w:rFonts w:hint="eastAsia"/>
                        <w:sz w:val="18"/>
                        <w:szCs w:val="18"/>
                      </w:rPr>
                      <w:t>公示通过</w:t>
                    </w:r>
                  </w:p>
                </w:txbxContent>
              </v:textbox>
            </v:shape>
            <v:group id="组合 94" o:spid="_x0000_s1207" o:spt="203" style="position:absolute;left:8214;top:56218;height:5920;width:3062;" coordorigin="8214,56218" coordsize="3062,5920">
              <o:lock v:ext="edit" aspectratio="f"/>
              <v:shape id="_x0000_s1208" o:spid="_x0000_s1208" o:spt="32" type="#_x0000_t32" style="position:absolute;left:10035;top:59413;height:420;width:0;" filled="f" stroked="t" coordsize="21600,21600">
                <v:path arrowok="t"/>
                <v:fill on="f" focussize="0,0"/>
                <v:stroke endarrow="block"/>
                <v:imagedata o:title=""/>
                <o:lock v:ext="edit" aspectratio="f"/>
              </v:shape>
              <v:shape id="_x0000_s1209" o:spid="_x0000_s1209" o:spt="109" type="#_x0000_t109" style="position:absolute;left:9086;top:58582;height:780;width:1898;" fillcolor="#FFFFFF" filled="t" stroked="t" coordsize="21600,21600">
                <v:path/>
                <v:fill on="t" color2="#FFFFFF" focussize="0,0"/>
                <v:stroke joinstyle="miter"/>
                <v:imagedata o:title=""/>
                <o:lock v:ext="edit" aspectratio="f"/>
                <v:textbox>
                  <w:txbxContent>
                    <w:p>
                      <w:pPr>
                        <w:jc w:val="center"/>
                        <w:rPr>
                          <w:rFonts w:hint="eastAsia"/>
                          <w:sz w:val="18"/>
                          <w:szCs w:val="18"/>
                        </w:rPr>
                      </w:pPr>
                      <w:r>
                        <w:rPr>
                          <w:rFonts w:hint="eastAsia"/>
                          <w:sz w:val="18"/>
                          <w:szCs w:val="18"/>
                        </w:rPr>
                        <w:t>系（教研室）组织讨论</w:t>
                      </w:r>
                      <w:r>
                        <w:rPr>
                          <w:sz w:val="18"/>
                          <w:szCs w:val="18"/>
                        </w:rPr>
                        <w:t>提交教材</w:t>
                      </w:r>
                      <w:r>
                        <w:rPr>
                          <w:rFonts w:hint="eastAsia"/>
                          <w:sz w:val="18"/>
                          <w:szCs w:val="18"/>
                        </w:rPr>
                        <w:t>征订表</w:t>
                      </w:r>
                    </w:p>
                    <w:p>
                      <w:pPr>
                        <w:jc w:val="center"/>
                        <w:rPr>
                          <w:rFonts w:hint="eastAsia"/>
                          <w:sz w:val="18"/>
                          <w:szCs w:val="18"/>
                        </w:rPr>
                      </w:pPr>
                    </w:p>
                  </w:txbxContent>
                </v:textbox>
              </v:shape>
              <v:shape id="_x0000_s1210" o:spid="_x0000_s1210" o:spt="109" type="#_x0000_t109" style="position:absolute;left:9071;top:59827;height:854;width:1898;" fillcolor="#FFFFFF" filled="t" stroked="t" coordsize="21600,21600">
                <v:path/>
                <v:fill on="t" color2="#FFFFFF" focussize="0,0"/>
                <v:stroke joinstyle="miter"/>
                <v:imagedata o:title=""/>
                <o:lock v:ext="edit" aspectratio="f"/>
                <v:textbox>
                  <w:txbxContent>
                    <w:p>
                      <w:pPr>
                        <w:jc w:val="center"/>
                        <w:rPr>
                          <w:rFonts w:hint="eastAsia"/>
                          <w:sz w:val="18"/>
                          <w:szCs w:val="18"/>
                        </w:rPr>
                      </w:pPr>
                      <w:r>
                        <w:rPr>
                          <w:rFonts w:hint="eastAsia"/>
                          <w:sz w:val="18"/>
                          <w:szCs w:val="18"/>
                        </w:rPr>
                        <w:t>二级学院教材分委会讨论审核</w:t>
                      </w:r>
                    </w:p>
                  </w:txbxContent>
                </v:textbox>
              </v:shape>
              <v:shape id="_x0000_s1211" o:spid="_x0000_s1211" o:spt="32" type="#_x0000_t32" style="position:absolute;left:8222;top:58965;flip:x y;height:2619;width:11;" filled="f" stroked="t" coordsize="21600,21600">
                <v:path arrowok="t"/>
                <v:fill on="f" focussize="0,0"/>
                <v:stroke/>
                <v:imagedata o:title=""/>
                <o:lock v:ext="edit" aspectratio="f"/>
              </v:shape>
              <v:shape id="_x0000_s1212" o:spid="_x0000_s1212" o:spt="32" type="#_x0000_t32" style="position:absolute;left:8214;top:58954;height:0;width:899;" filled="f" stroked="t" coordsize="21600,21600">
                <v:path arrowok="t"/>
                <v:fill on="f" focussize="0,0"/>
                <v:stroke endarrow="block"/>
                <v:imagedata o:title=""/>
                <o:lock v:ext="edit" aspectratio="f"/>
              </v:shape>
              <v:shape id="_x0000_s1213" o:spid="_x0000_s1213" o:spt="109" type="#_x0000_t109" style="position:absolute;left:9065;top:56218;height:750;width:1898;" fillcolor="#FFFFFF" filled="t" stroked="t" coordsize="21600,21600">
                <v:path/>
                <v:fill on="t" color2="#FFFFFF" focussize="0,0"/>
                <v:stroke joinstyle="miter"/>
                <v:imagedata o:title=""/>
                <o:lock v:ext="edit" aspectratio="f"/>
                <v:textbox>
                  <w:txbxContent>
                    <w:p>
                      <w:pPr>
                        <w:jc w:val="center"/>
                        <w:rPr>
                          <w:sz w:val="18"/>
                          <w:szCs w:val="18"/>
                        </w:rPr>
                      </w:pPr>
                      <w:r>
                        <w:rPr>
                          <w:rFonts w:hint="eastAsia"/>
                          <w:sz w:val="18"/>
                          <w:szCs w:val="18"/>
                        </w:rPr>
                        <w:t>教务处发布</w:t>
                      </w:r>
                    </w:p>
                    <w:p>
                      <w:pPr>
                        <w:jc w:val="center"/>
                        <w:rPr>
                          <w:rFonts w:hint="eastAsia"/>
                          <w:sz w:val="18"/>
                          <w:szCs w:val="18"/>
                        </w:rPr>
                      </w:pPr>
                      <w:r>
                        <w:rPr>
                          <w:rFonts w:hint="eastAsia"/>
                          <w:sz w:val="18"/>
                          <w:szCs w:val="18"/>
                        </w:rPr>
                        <w:t>教材</w:t>
                      </w:r>
                      <w:r>
                        <w:rPr>
                          <w:sz w:val="18"/>
                          <w:szCs w:val="18"/>
                        </w:rPr>
                        <w:t>征订通知</w:t>
                      </w:r>
                    </w:p>
                    <w:p>
                      <w:pPr>
                        <w:jc w:val="center"/>
                        <w:rPr>
                          <w:rFonts w:hint="eastAsia"/>
                          <w:sz w:val="18"/>
                          <w:szCs w:val="18"/>
                        </w:rPr>
                      </w:pPr>
                      <w:r>
                        <w:rPr>
                          <w:sz w:val="18"/>
                          <w:szCs w:val="18"/>
                        </w:rPr>
                        <w:t>教材征订通知</w:t>
                      </w:r>
                    </w:p>
                  </w:txbxContent>
                </v:textbox>
              </v:shape>
              <v:shape id="_x0000_s1214" o:spid="_x0000_s1214" o:spt="32" type="#_x0000_t32" style="position:absolute;left:10035;top:58166;height:420;width:0;" filled="f" stroked="t" coordsize="21600,21600">
                <v:path arrowok="t"/>
                <v:fill on="f" focussize="0,0"/>
                <v:stroke endarrow="block"/>
                <v:imagedata o:title=""/>
                <o:lock v:ext="edit" aspectratio="f"/>
              </v:shape>
              <v:shape id="自选图形 56" o:spid="_x0000_s1215" o:spt="110" type="#_x0000_t110" style="position:absolute;left:8732;top:61026;height:1112;width:2545;" fillcolor="#FFFFFF" filled="t" stroked="t" coordsize="21600,21600">
                <v:path/>
                <v:fill on="t" color2="#FFFFFF" focussize="0,0"/>
                <v:stroke joinstyle="miter"/>
                <v:imagedata o:title=""/>
                <o:lock v:ext="edit" aspectratio="f"/>
                <v:textbox>
                  <w:txbxContent>
                    <w:p>
                      <w:pPr>
                        <w:spacing w:line="240" w:lineRule="exact"/>
                        <w:jc w:val="center"/>
                        <w:rPr>
                          <w:sz w:val="18"/>
                          <w:szCs w:val="18"/>
                        </w:rPr>
                      </w:pPr>
                      <w:r>
                        <w:rPr>
                          <w:rFonts w:hint="eastAsia"/>
                          <w:sz w:val="18"/>
                          <w:szCs w:val="18"/>
                        </w:rPr>
                        <w:t>教务处规范审核通过</w:t>
                      </w:r>
                    </w:p>
                  </w:txbxContent>
                </v:textbox>
              </v:shape>
              <v:shape id="_x0000_s1216" o:spid="_x0000_s1216" o:spt="109" type="#_x0000_t109" style="position:absolute;left:9065;top:57416;height:750;width:1898;" fillcolor="#FFFFFF" filled="t" stroked="t" coordsize="21600,21600">
                <v:path/>
                <v:fill on="t" color2="#FFFFFF" focussize="0,0"/>
                <v:stroke joinstyle="miter"/>
                <v:imagedata o:title=""/>
                <o:lock v:ext="edit" aspectratio="f"/>
                <v:textbox>
                  <w:txbxContent>
                    <w:p>
                      <w:pPr>
                        <w:jc w:val="center"/>
                        <w:rPr>
                          <w:rFonts w:hint="eastAsia"/>
                          <w:sz w:val="18"/>
                          <w:szCs w:val="18"/>
                        </w:rPr>
                      </w:pPr>
                      <w:r>
                        <w:rPr>
                          <w:rFonts w:hint="eastAsia"/>
                          <w:sz w:val="18"/>
                          <w:szCs w:val="18"/>
                        </w:rPr>
                        <w:t>二级学院启动教材选用征订工作</w:t>
                      </w:r>
                    </w:p>
                  </w:txbxContent>
                </v:textbox>
              </v:shape>
              <v:shape id="_x0000_s1217" o:spid="_x0000_s1217" o:spt="32" type="#_x0000_t32" style="position:absolute;left:10035;top:56996;height:420;width:0;" filled="f" stroked="t" coordsize="21600,21600">
                <v:path arrowok="t"/>
                <v:fill on="f" focussize="0,0"/>
                <v:stroke endarrow="block"/>
                <v:imagedata o:title=""/>
                <o:lock v:ext="edit" aspectratio="f"/>
              </v:shape>
              <v:shape id="自选图形 57" o:spid="_x0000_s1218" o:spt="32" type="#_x0000_t32" style="position:absolute;left:8222;top:61582;flip:x;height:12;width:510;" filled="f" stroked="t" coordsize="21600,21600">
                <v:path arrowok="t"/>
                <v:fill on="f" focussize="0,0"/>
                <v:stroke/>
                <v:imagedata o:title=""/>
                <o:lock v:ext="edit" aspectratio="f"/>
              </v:shape>
            </v:group>
          </v:group>
        </w:pict>
      </w:r>
      <w:r>
        <w:rPr>
          <w:rFonts w:hint="eastAsia" w:ascii="仿宋" w:hAnsi="仿宋" w:eastAsia="仿宋" w:cs="仿宋"/>
          <w:bCs/>
          <w:color w:val="000000"/>
          <w:sz w:val="28"/>
          <w:szCs w:val="28"/>
        </w:rPr>
        <w:t>附件1 教材选用管理流程图</w:t>
      </w:r>
    </w:p>
    <w:p>
      <w:pPr>
        <w:pageBreakBefore w:val="0"/>
        <w:topLinePunct w:val="0"/>
        <w:bidi w:val="0"/>
        <w:ind w:firstLine="3080" w:firstLineChars="1100"/>
        <w:outlineLvl w:val="9"/>
        <w:rPr>
          <w:rFonts w:hint="eastAsia" w:ascii="仿宋" w:hAnsi="仿宋" w:eastAsia="仿宋" w:cs="仿宋"/>
          <w:b/>
          <w:color w:val="000000"/>
          <w:sz w:val="24"/>
        </w:rPr>
      </w:pPr>
      <w:r>
        <w:rPr>
          <w:rFonts w:hint="eastAsia" w:ascii="仿宋" w:hAnsi="仿宋" w:eastAsia="仿宋" w:cs="仿宋"/>
          <w:bCs/>
          <w:color w:val="000000"/>
          <w:sz w:val="28"/>
          <w:szCs w:val="28"/>
        </w:rPr>
        <w:t xml:space="preserve"> </w:t>
      </w: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r>
        <w:rPr>
          <w:rFonts w:hint="eastAsia" w:ascii="仿宋" w:hAnsi="仿宋" w:eastAsia="仿宋" w:cs="仿宋"/>
          <w:b/>
          <w:color w:val="000000"/>
          <w:sz w:val="24"/>
        </w:rPr>
        <w:pict>
          <v:rect id="矩形 62" o:spid="_x0000_s1219" o:spt="1" style="position:absolute;left:0pt;margin-left:209.25pt;margin-top:167.45pt;height:19.5pt;width:22.5pt;z-index:251777024;mso-width-relative:page;mso-height-relative:page;" filled="f" stroked="f" coordsize="21600,21600">
            <v:path/>
            <v:fill on="f" focussize="0,0"/>
            <v:stroke on="f"/>
            <v:imagedata o:title=""/>
            <o:lock v:ext="edit"/>
            <v:textbox>
              <w:txbxContent>
                <w:p>
                  <w:r>
                    <w:rPr>
                      <w:rFonts w:hint="eastAsia"/>
                    </w:rPr>
                    <w:t>Y</w:t>
                  </w:r>
                </w:p>
              </w:txbxContent>
            </v:textbox>
          </v:rect>
        </w:pict>
      </w:r>
      <w:r>
        <w:rPr>
          <w:sz w:val="24"/>
        </w:rPr>
        <w:pict>
          <v:shape id="_x0000_s1220" o:spid="_x0000_s1220" o:spt="109" type="#_x0000_t109" style="position:absolute;left:0pt;margin-left:143.5pt;margin-top:404.9pt;height:38.7pt;width:108pt;z-index:251784192;mso-width-relative:page;mso-height-relative:page;" fillcolor="#FFFFFF" filled="t" stroked="t" coordsize="21600,21600">
            <v:path/>
            <v:fill on="t" focussize="0,0"/>
            <v:stroke/>
            <v:imagedata o:title=""/>
            <o:lock v:ext="edit" aspectratio="f"/>
            <v:textbox>
              <w:txbxContent>
                <w:p>
                  <w:pPr>
                    <w:jc w:val="center"/>
                    <w:rPr>
                      <w:rFonts w:hint="eastAsia"/>
                      <w:sz w:val="18"/>
                      <w:szCs w:val="18"/>
                    </w:rPr>
                  </w:pPr>
                  <w:r>
                    <w:rPr>
                      <w:rFonts w:hint="eastAsia"/>
                      <w:sz w:val="18"/>
                      <w:szCs w:val="18"/>
                    </w:rPr>
                    <w:t>学生通过</w:t>
                  </w:r>
                  <w:r>
                    <w:rPr>
                      <w:sz w:val="18"/>
                      <w:szCs w:val="18"/>
                    </w:rPr>
                    <w:t>平台征订教材、完成支付</w:t>
                  </w:r>
                </w:p>
              </w:txbxContent>
            </v:textbox>
          </v:shape>
        </w:pict>
      </w:r>
      <w:r>
        <w:rPr>
          <w:rFonts w:hint="eastAsia" w:ascii="仿宋" w:hAnsi="仿宋" w:eastAsia="仿宋" w:cs="仿宋"/>
          <w:b/>
          <w:color w:val="000000"/>
          <w:sz w:val="24"/>
        </w:rPr>
        <w:pict>
          <v:rect id="矩形 84" o:spid="_x0000_s1221" o:spt="1" style="position:absolute;left:0pt;margin-left:253.45pt;margin-top:291.05pt;height:19.5pt;width:18.75pt;z-index:251779072;mso-width-relative:page;mso-height-relative:page;" filled="f" stroked="f" coordsize="21600,21600">
            <v:path/>
            <v:fill on="f" focussize="0,0"/>
            <v:stroke on="f"/>
            <v:imagedata o:title=""/>
            <o:lock v:ext="edit"/>
            <v:textbox>
              <w:txbxContent>
                <w:p>
                  <w:r>
                    <w:rPr>
                      <w:rFonts w:hint="eastAsia"/>
                    </w:rPr>
                    <w:t>N</w:t>
                  </w:r>
                </w:p>
              </w:txbxContent>
            </v:textbox>
          </v:rect>
        </w:pict>
      </w:r>
      <w:r>
        <w:rPr>
          <w:rFonts w:hint="eastAsia" w:ascii="仿宋" w:hAnsi="仿宋" w:eastAsia="仿宋" w:cs="仿宋"/>
          <w:b/>
          <w:color w:val="000000"/>
          <w:sz w:val="24"/>
        </w:rPr>
        <w:pict>
          <v:rect id="矩形 82" o:spid="_x0000_s1222" o:spt="1" style="position:absolute;left:0pt;margin-left:211.05pt;margin-top:327.95pt;height:19.5pt;width:19.5pt;z-index:251780096;mso-width-relative:page;mso-height-relative:page;" filled="f" stroked="f" coordsize="21600,21600">
            <v:path/>
            <v:fill on="f" focussize="0,0"/>
            <v:stroke on="f"/>
            <v:imagedata o:title=""/>
            <o:lock v:ext="edit"/>
            <v:textbox>
              <w:txbxContent>
                <w:p>
                  <w:r>
                    <w:rPr>
                      <w:rFonts w:hint="eastAsia"/>
                    </w:rPr>
                    <w:t>Y</w:t>
                  </w:r>
                </w:p>
              </w:txbxContent>
            </v:textbox>
          </v:rect>
        </w:pict>
      </w:r>
      <w:r>
        <w:rPr>
          <w:sz w:val="24"/>
        </w:rPr>
        <w:pict>
          <v:shape id="自选图形 368" o:spid="_x0000_s1223" o:spt="109" type="#_x0000_t109" style="position:absolute;left:0pt;margin-left:143.5pt;margin-top:462.45pt;height:23.35pt;width:108pt;z-index:251786240;mso-width-relative:page;mso-height-relative:page;" fillcolor="#FFFFFF" filled="t" stroked="t" coordsize="21600,21600">
            <v:path/>
            <v:fill on="t" focussize="0,0"/>
            <v:stroke/>
            <v:imagedata o:title=""/>
            <o:lock v:ext="edit" aspectratio="f"/>
            <v:textbox>
              <w:txbxContent>
                <w:p>
                  <w:pPr>
                    <w:jc w:val="center"/>
                    <w:rPr>
                      <w:rFonts w:hint="eastAsia"/>
                      <w:sz w:val="18"/>
                      <w:szCs w:val="18"/>
                    </w:rPr>
                  </w:pPr>
                  <w:r>
                    <w:rPr>
                      <w:rFonts w:hint="eastAsia"/>
                      <w:sz w:val="18"/>
                      <w:szCs w:val="18"/>
                    </w:rPr>
                    <w:t>供应商按个人打</w:t>
                  </w:r>
                  <w:r>
                    <w:rPr>
                      <w:sz w:val="18"/>
                      <w:szCs w:val="18"/>
                    </w:rPr>
                    <w:t>包发放</w:t>
                  </w:r>
                </w:p>
              </w:txbxContent>
            </v:textbox>
          </v:shape>
        </w:pict>
      </w: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r>
        <w:rPr>
          <w:sz w:val="24"/>
        </w:rPr>
        <w:pict>
          <v:shape id="自选图形 52" o:spid="_x0000_s1224" o:spt="32" type="#_x0000_t32" style="position:absolute;left:0pt;margin-left:196.95pt;margin-top:7.6pt;height:21pt;width:0pt;z-index:251787264;mso-width-relative:page;mso-height-relative:page;" filled="f" stroked="t" coordsize="21600,21600">
            <v:path arrowok="t"/>
            <v:fill on="f" focussize="0,0"/>
            <v:stroke endarrow="block"/>
            <v:imagedata o:title=""/>
            <o:lock v:ext="edit" aspectratio="f"/>
          </v:shape>
        </w:pict>
      </w:r>
    </w:p>
    <w:p>
      <w:pPr>
        <w:pageBreakBefore w:val="0"/>
        <w:topLinePunct w:val="0"/>
        <w:bidi w:val="0"/>
        <w:outlineLvl w:val="9"/>
        <w:rPr>
          <w:rFonts w:hint="eastAsia" w:ascii="仿宋" w:hAnsi="仿宋" w:eastAsia="仿宋" w:cs="仿宋"/>
          <w:b/>
          <w:color w:val="000000"/>
          <w:sz w:val="24"/>
        </w:rPr>
      </w:pPr>
      <w:r>
        <w:rPr>
          <w:rFonts w:hint="eastAsia" w:ascii="仿宋" w:hAnsi="仿宋" w:eastAsia="仿宋" w:cs="仿宋"/>
          <w:b/>
          <w:color w:val="000000"/>
          <w:sz w:val="24"/>
        </w:rPr>
        <w:pict>
          <v:rect id="_x0000_s1225" o:spid="_x0000_s1225" o:spt="1" style="position:absolute;left:0pt;margin-left:137.95pt;margin-top:10.55pt;height:19.5pt;width:18.75pt;z-index:251778048;mso-width-relative:page;mso-height-relative:page;" filled="f" stroked="f" coordsize="21600,21600">
            <v:path/>
            <v:fill on="f" focussize="0,0"/>
            <v:stroke on="f"/>
            <v:imagedata o:title=""/>
            <o:lock v:ext="edit" aspectratio="f"/>
            <v:textbox>
              <w:txbxContent>
                <w:p>
                  <w:r>
                    <w:rPr>
                      <w:rFonts w:hint="eastAsia"/>
                    </w:rPr>
                    <w:t>N</w:t>
                  </w:r>
                </w:p>
              </w:txbxContent>
            </v:textbox>
          </v:rect>
        </w:pict>
      </w: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r>
        <w:rPr>
          <w:rFonts w:hint="eastAsia" w:ascii="仿宋" w:hAnsi="仿宋" w:eastAsia="仿宋" w:cs="仿宋"/>
          <w:b/>
          <w:color w:val="000000"/>
          <w:sz w:val="24"/>
        </w:rPr>
        <w:pict>
          <v:rect id="_x0000_s1226" o:spid="_x0000_s1226" o:spt="1" style="position:absolute;left:0pt;margin-left:142.45pt;margin-top:7.95pt;height:19.5pt;width:18.75pt;z-index:251781120;mso-width-relative:page;mso-height-relative:page;" filled="f" stroked="f" coordsize="21600,21600">
            <v:path/>
            <v:fill on="f" focussize="0,0"/>
            <v:stroke on="f"/>
            <v:imagedata o:title=""/>
            <o:lock v:ext="edit"/>
            <v:textbox>
              <w:txbxContent>
                <w:p/>
              </w:txbxContent>
            </v:textbox>
          </v:rect>
        </w:pict>
      </w:r>
    </w:p>
    <w:p>
      <w:pPr>
        <w:pageBreakBefore w:val="0"/>
        <w:topLinePunct w:val="0"/>
        <w:bidi w:val="0"/>
        <w:outlineLvl w:val="9"/>
        <w:rPr>
          <w:rFonts w:hint="eastAsia" w:ascii="仿宋" w:hAnsi="仿宋" w:eastAsia="仿宋" w:cs="仿宋"/>
          <w:b/>
          <w:color w:val="000000"/>
          <w:sz w:val="24"/>
        </w:rPr>
      </w:pPr>
    </w:p>
    <w:p>
      <w:pPr>
        <w:pageBreakBefore w:val="0"/>
        <w:topLinePunct w:val="0"/>
        <w:bidi w:val="0"/>
        <w:outlineLvl w:val="9"/>
        <w:rPr>
          <w:rFonts w:hint="eastAsia" w:ascii="仿宋" w:hAnsi="仿宋" w:eastAsia="仿宋" w:cs="仿宋"/>
          <w:b/>
          <w:color w:val="000000"/>
          <w:sz w:val="24"/>
        </w:rPr>
      </w:pPr>
      <w:r>
        <w:rPr>
          <w:sz w:val="24"/>
        </w:rPr>
        <w:pict>
          <v:shape id="自选图形 372" o:spid="_x0000_s1227" o:spt="109" type="#_x0000_t109" style="position:absolute;left:0pt;margin-left:144.05pt;margin-top:14.9pt;height:38.7pt;width:108pt;z-index:251790336;mso-width-relative:page;mso-height-relative:page;" fillcolor="#FFFFFF" filled="t" stroked="t" coordsize="21600,21600">
            <v:path/>
            <v:fill on="t" focussize="0,0"/>
            <v:stroke/>
            <v:imagedata o:title=""/>
            <o:lock v:ext="edit" aspectratio="f"/>
            <v:textbox>
              <w:txbxContent>
                <w:p>
                  <w:pPr>
                    <w:jc w:val="center"/>
                    <w:rPr>
                      <w:rFonts w:hint="eastAsia"/>
                      <w:sz w:val="18"/>
                      <w:szCs w:val="18"/>
                    </w:rPr>
                  </w:pPr>
                  <w:r>
                    <w:rPr>
                      <w:rFonts w:hint="eastAsia"/>
                      <w:sz w:val="18"/>
                      <w:szCs w:val="18"/>
                    </w:rPr>
                    <w:t>学生通过</w:t>
                  </w:r>
                  <w:r>
                    <w:rPr>
                      <w:sz w:val="18"/>
                      <w:szCs w:val="18"/>
                    </w:rPr>
                    <w:t>平台征订教材、完成支付</w:t>
                  </w:r>
                </w:p>
              </w:txbxContent>
            </v:textbox>
          </v:shape>
        </w:pict>
      </w:r>
    </w:p>
    <w:p>
      <w:pPr>
        <w:pageBreakBefore w:val="0"/>
        <w:topLinePunct w:val="0"/>
        <w:bidi w:val="0"/>
        <w:outlineLvl w:val="9"/>
        <w:rPr>
          <w:rFonts w:hint="eastAsia" w:ascii="仿宋" w:hAnsi="仿宋" w:eastAsia="仿宋" w:cs="仿宋"/>
          <w:b/>
          <w:color w:val="000000"/>
          <w:sz w:val="24"/>
        </w:rPr>
      </w:pPr>
    </w:p>
    <w:p>
      <w:pPr>
        <w:pageBreakBefore w:val="0"/>
        <w:tabs>
          <w:tab w:val="left" w:pos="5055"/>
        </w:tabs>
        <w:topLinePunct w:val="0"/>
        <w:bidi w:val="0"/>
        <w:outlineLvl w:val="9"/>
        <w:rPr>
          <w:rFonts w:hint="eastAsia" w:ascii="仿宋" w:hAnsi="仿宋" w:eastAsia="仿宋" w:cs="仿宋"/>
          <w:b/>
          <w:color w:val="000000"/>
          <w:sz w:val="24"/>
        </w:rPr>
      </w:pPr>
      <w:r>
        <w:rPr>
          <w:rFonts w:ascii="仿宋" w:hAnsi="仿宋" w:eastAsia="仿宋" w:cs="仿宋"/>
          <w:b/>
          <w:color w:val="000000"/>
          <w:sz w:val="24"/>
        </w:rPr>
        <w:tab/>
      </w:r>
    </w:p>
    <w:p>
      <w:pPr>
        <w:pageBreakBefore w:val="0"/>
        <w:topLinePunct w:val="0"/>
        <w:bidi w:val="0"/>
        <w:outlineLvl w:val="9"/>
        <w:rPr>
          <w:rFonts w:hint="eastAsia" w:ascii="仿宋" w:hAnsi="仿宋" w:eastAsia="仿宋" w:cs="仿宋"/>
          <w:b/>
          <w:color w:val="000000"/>
          <w:sz w:val="24"/>
        </w:rPr>
      </w:pPr>
      <w:r>
        <w:rPr>
          <w:sz w:val="24"/>
        </w:rPr>
        <w:pict>
          <v:shape id="_x0000_s1228" o:spid="_x0000_s1228" o:spt="32" type="#_x0000_t32" style="position:absolute;left:0pt;margin-left:198.05pt;margin-top:4.8pt;height:21pt;width:0pt;z-index:251789312;mso-width-relative:page;mso-height-relative:page;" filled="f" stroked="t" coordsize="21600,21600">
            <v:path arrowok="t"/>
            <v:fill on="f" focussize="0,0"/>
            <v:stroke endarrow="block"/>
            <v:imagedata o:title=""/>
            <o:lock v:ext="edit" aspectratio="f"/>
          </v:shape>
        </w:pict>
      </w:r>
      <w:r>
        <w:rPr>
          <w:sz w:val="24"/>
        </w:rPr>
        <w:pict>
          <v:shape id="自选图形 374" o:spid="_x0000_s1229" o:spt="32" type="#_x0000_t32" style="position:absolute;left:0pt;margin-left:197.5pt;margin-top:4.8pt;height:21pt;width:0pt;z-index:251782144;mso-width-relative:page;mso-height-relative:page;" filled="f" stroked="t" coordsize="21600,21600">
            <v:path arrowok="t"/>
            <v:fill on="f" focussize="0,0"/>
            <v:stroke endarrow="block"/>
            <v:imagedata o:title=""/>
            <o:lock v:ext="edit" aspectratio="f"/>
          </v:shape>
        </w:pict>
      </w:r>
    </w:p>
    <w:p>
      <w:pPr>
        <w:pageBreakBefore w:val="0"/>
        <w:topLinePunct w:val="0"/>
        <w:bidi w:val="0"/>
        <w:outlineLvl w:val="9"/>
        <w:rPr>
          <w:rFonts w:hint="eastAsia" w:ascii="仿宋" w:hAnsi="仿宋" w:eastAsia="仿宋" w:cs="仿宋"/>
          <w:b/>
          <w:color w:val="000000"/>
          <w:sz w:val="24"/>
        </w:rPr>
      </w:pPr>
      <w:r>
        <w:rPr>
          <w:sz w:val="24"/>
        </w:rPr>
        <w:pict>
          <v:shape id="自选图形 28" o:spid="_x0000_s1230" o:spt="109" type="#_x0000_t109" style="position:absolute;left:0pt;margin-left:144.05pt;margin-top:10.05pt;height:23.35pt;width:108pt;z-index:251792384;mso-width-relative:page;mso-height-relative:page;" fillcolor="#FFFFFF" filled="t" stroked="t" coordsize="21600,21600">
            <v:path/>
            <v:fill on="t" focussize="0,0"/>
            <v:stroke/>
            <v:imagedata o:title=""/>
            <o:lock v:ext="edit" aspectratio="f"/>
            <v:textbox>
              <w:txbxContent>
                <w:p>
                  <w:pPr>
                    <w:jc w:val="center"/>
                    <w:rPr>
                      <w:rFonts w:hint="eastAsia"/>
                      <w:sz w:val="18"/>
                      <w:szCs w:val="18"/>
                    </w:rPr>
                  </w:pPr>
                  <w:r>
                    <w:rPr>
                      <w:rFonts w:hint="eastAsia"/>
                      <w:sz w:val="18"/>
                      <w:szCs w:val="18"/>
                    </w:rPr>
                    <w:t>供应商按个人打</w:t>
                  </w:r>
                  <w:r>
                    <w:rPr>
                      <w:sz w:val="18"/>
                      <w:szCs w:val="18"/>
                    </w:rPr>
                    <w:t>包发放</w:t>
                  </w:r>
                </w:p>
              </w:txbxContent>
            </v:textbox>
          </v:shape>
        </w:pict>
      </w:r>
    </w:p>
    <w:p>
      <w:pPr>
        <w:pageBreakBefore w:val="0"/>
        <w:widowControl/>
        <w:topLinePunct w:val="0"/>
        <w:bidi w:val="0"/>
        <w:spacing w:line="380" w:lineRule="exact"/>
        <w:ind w:firstLine="480" w:firstLineChars="200"/>
        <w:outlineLvl w:val="9"/>
        <w:rPr>
          <w:rFonts w:hint="eastAsia" w:ascii="仿宋" w:hAnsi="仿宋" w:eastAsia="仿宋" w:cs="仿宋"/>
          <w:color w:val="000000"/>
        </w:rPr>
      </w:pPr>
      <w:r>
        <w:rPr>
          <w:sz w:val="24"/>
        </w:rPr>
        <w:pict>
          <v:shape id="自选图形 30" o:spid="_x0000_s1231" o:spt="32" type="#_x0000_t32" style="position:absolute;left:0pt;margin-left:198pt;margin-top:18.85pt;height:21pt;width:0pt;z-index:251791360;mso-width-relative:page;mso-height-relative:page;" filled="f" stroked="t" coordsize="21600,21600">
            <v:path arrowok="t"/>
            <v:fill on="f" focussize="0,0"/>
            <v:stroke endarrow="block"/>
            <v:imagedata o:title=""/>
            <o:lock v:ext="edit" aspectratio="f"/>
          </v:shape>
        </w:pict>
      </w:r>
      <w:r>
        <w:rPr>
          <w:sz w:val="24"/>
        </w:rPr>
        <w:pict>
          <v:shape id="自选图形 377" o:spid="_x0000_s1232" o:spt="32" type="#_x0000_t32" style="position:absolute;left:0pt;margin-left:197.45pt;margin-top:18.85pt;height:21pt;width:0pt;z-index:251785216;mso-width-relative:page;mso-height-relative:page;" filled="f" stroked="t" coordsize="21600,21600">
            <v:path arrowok="t"/>
            <v:fill on="f" focussize="0,0"/>
            <v:stroke endarrow="block"/>
            <v:imagedata o:title=""/>
            <o:lock v:ext="edit" aspectratio="f"/>
          </v:shape>
        </w:pict>
      </w:r>
      <w:r>
        <w:rPr>
          <w:sz w:val="24"/>
        </w:rPr>
        <w:pict>
          <v:shape id="_x0000_s1233" o:spid="_x0000_s1233" o:spt="116" type="#_x0000_t116" style="position:absolute;left:0pt;margin-left:140.7pt;margin-top:39.85pt;height:29.4pt;width:112.1pt;z-index:251783168;mso-width-relative:page;mso-height-relative:page;" fillcolor="#FFFFFF" filled="t" stroked="t" coordsize="21600,21600">
            <v:path/>
            <v:fill on="t" focussize="0,0"/>
            <v:stroke/>
            <v:imagedata o:title=""/>
            <o:lock v:ext="edit" aspectratio="f"/>
            <v:textbox>
              <w:txbxContent>
                <w:p>
                  <w:pPr>
                    <w:jc w:val="center"/>
                    <w:rPr>
                      <w:rFonts w:hint="eastAsia"/>
                    </w:rPr>
                  </w:pPr>
                  <w:r>
                    <w:rPr>
                      <w:rFonts w:hint="eastAsia"/>
                      <w:sz w:val="18"/>
                      <w:szCs w:val="18"/>
                    </w:rPr>
                    <w:t>学生领取、</w:t>
                  </w:r>
                  <w:r>
                    <w:rPr>
                      <w:sz w:val="18"/>
                      <w:szCs w:val="18"/>
                    </w:rPr>
                    <w:t>使用教材</w:t>
                  </w:r>
                </w:p>
              </w:txbxContent>
            </v:textbox>
          </v:shape>
        </w:pict>
      </w:r>
    </w:p>
    <w:p>
      <w:pPr>
        <w:pageBreakBefore w:val="0"/>
        <w:widowControl/>
        <w:topLinePunct w:val="0"/>
        <w:bidi w:val="0"/>
        <w:spacing w:line="400" w:lineRule="exact"/>
        <w:outlineLvl w:val="9"/>
        <w:rPr>
          <w:rFonts w:hint="eastAsia" w:ascii="仿宋" w:hAnsi="仿宋" w:eastAsia="仿宋" w:cs="仿宋"/>
          <w:b/>
          <w:bCs/>
          <w:color w:val="000000"/>
          <w:kern w:val="0"/>
          <w:sz w:val="32"/>
          <w:szCs w:val="32"/>
          <w:lang w:eastAsia="zh-CN"/>
        </w:rPr>
      </w:pPr>
    </w:p>
    <w:p>
      <w:pPr>
        <w:pageBreakBefore w:val="0"/>
        <w:topLinePunct w:val="0"/>
        <w:bidi w:val="0"/>
        <w:outlineLvl w:val="9"/>
        <w:rPr>
          <w:rFonts w:hint="eastAsia" w:ascii="仿宋" w:hAnsi="仿宋" w:eastAsia="仿宋" w:cs="仿宋"/>
          <w:bCs/>
          <w:color w:val="000000"/>
          <w:sz w:val="28"/>
          <w:szCs w:val="28"/>
        </w:rPr>
      </w:pPr>
    </w:p>
    <w:p>
      <w:pPr>
        <w:pageBreakBefore w:val="0"/>
        <w:topLinePunct w:val="0"/>
        <w:bidi w:val="0"/>
        <w:outlineLvl w:val="9"/>
        <w:rPr>
          <w:rFonts w:hint="eastAsia" w:ascii="仿宋" w:hAnsi="仿宋" w:eastAsia="仿宋" w:cs="仿宋"/>
          <w:bCs/>
          <w:color w:val="000000"/>
          <w:sz w:val="28"/>
          <w:szCs w:val="28"/>
        </w:rPr>
        <w:sectPr>
          <w:pgSz w:w="11906" w:h="16838"/>
          <w:pgMar w:top="1440" w:right="1803" w:bottom="1440" w:left="1803" w:header="851" w:footer="992" w:gutter="0"/>
          <w:pgNumType w:fmt="decimal"/>
          <w:cols w:space="425" w:num="1"/>
          <w:docGrid w:type="lines" w:linePitch="312" w:charSpace="0"/>
        </w:sectPr>
      </w:pPr>
    </w:p>
    <w:p>
      <w:pPr>
        <w:pageBreakBefore w:val="0"/>
        <w:topLinePunct w:val="0"/>
        <w:bidi w:val="0"/>
        <w:outlineLvl w:val="9"/>
        <w:rPr>
          <w:rFonts w:ascii="仿宋" w:hAnsi="仿宋" w:eastAsia="仿宋" w:cs="仿宋"/>
          <w:bCs/>
          <w:color w:val="000000"/>
          <w:sz w:val="28"/>
          <w:szCs w:val="28"/>
        </w:rPr>
      </w:pPr>
      <w:r>
        <w:rPr>
          <w:rFonts w:hint="eastAsia" w:ascii="仿宋" w:hAnsi="仿宋" w:eastAsia="仿宋" w:cs="仿宋"/>
          <w:bCs/>
          <w:color w:val="000000"/>
          <w:sz w:val="28"/>
          <w:szCs w:val="28"/>
        </w:rPr>
        <w:t>附件2</w:t>
      </w:r>
    </w:p>
    <w:p>
      <w:pPr>
        <w:pageBreakBefore w:val="0"/>
        <w:widowControl/>
        <w:topLinePunct w:val="0"/>
        <w:bidi w:val="0"/>
        <w:spacing w:line="400" w:lineRule="exact"/>
        <w:jc w:val="center"/>
        <w:outlineLvl w:val="9"/>
        <w:rPr>
          <w:rFonts w:hint="eastAsia" w:ascii="仿宋" w:hAnsi="仿宋" w:eastAsia="仿宋" w:cs="仿宋"/>
          <w:b/>
          <w:bCs/>
          <w:color w:val="000000"/>
          <w:kern w:val="0"/>
          <w:sz w:val="32"/>
          <w:szCs w:val="32"/>
        </w:rPr>
      </w:pPr>
    </w:p>
    <w:tbl>
      <w:tblPr>
        <w:tblStyle w:val="37"/>
        <w:tblW w:w="13365" w:type="dxa"/>
        <w:tblInd w:w="0" w:type="dxa"/>
        <w:tblLayout w:type="autofit"/>
        <w:tblCellMar>
          <w:top w:w="0" w:type="dxa"/>
          <w:left w:w="0" w:type="dxa"/>
          <w:bottom w:w="0" w:type="dxa"/>
          <w:right w:w="0" w:type="dxa"/>
        </w:tblCellMar>
      </w:tblPr>
      <w:tblGrid>
        <w:gridCol w:w="1166"/>
        <w:gridCol w:w="1166"/>
        <w:gridCol w:w="1141"/>
        <w:gridCol w:w="1541"/>
        <w:gridCol w:w="1617"/>
        <w:gridCol w:w="1052"/>
        <w:gridCol w:w="1754"/>
        <w:gridCol w:w="1355"/>
        <w:gridCol w:w="919"/>
        <w:gridCol w:w="574"/>
        <w:gridCol w:w="1080"/>
      </w:tblGrid>
      <w:tr>
        <w:tblPrEx>
          <w:tblCellMar>
            <w:top w:w="0" w:type="dxa"/>
            <w:left w:w="0" w:type="dxa"/>
            <w:bottom w:w="0" w:type="dxa"/>
            <w:right w:w="0" w:type="dxa"/>
          </w:tblCellMar>
        </w:tblPrEx>
        <w:trPr>
          <w:trHeight w:val="375" w:hRule="atLeast"/>
        </w:trPr>
        <w:tc>
          <w:tcPr>
            <w:tcW w:w="12285" w:type="dxa"/>
            <w:gridSpan w:val="10"/>
            <w:tcBorders>
              <w:top w:val="nil"/>
              <w:left w:val="nil"/>
              <w:bottom w:val="nil"/>
              <w:right w:val="nil"/>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8"/>
                <w:szCs w:val="28"/>
              </w:rPr>
            </w:pPr>
            <w:r>
              <w:rPr>
                <w:rFonts w:hint="eastAsia" w:ascii="宋体" w:hAnsi="宋体" w:cs="宋体"/>
                <w:b/>
                <w:color w:val="000000"/>
                <w:kern w:val="0"/>
                <w:sz w:val="28"/>
                <w:szCs w:val="28"/>
                <w:lang w:bidi="ar"/>
              </w:rPr>
              <w:t xml:space="preserve">    </w:t>
            </w:r>
            <w:r>
              <w:rPr>
                <w:rFonts w:hint="eastAsia" w:ascii="宋体" w:hAnsi="宋体" w:cs="宋体"/>
                <w:b/>
                <w:color w:val="000000"/>
                <w:kern w:val="0"/>
                <w:sz w:val="28"/>
                <w:szCs w:val="28"/>
                <w:u w:val="single"/>
                <w:lang w:bidi="ar"/>
              </w:rPr>
              <w:t xml:space="preserve">         </w:t>
            </w:r>
            <w:r>
              <w:rPr>
                <w:rFonts w:hint="eastAsia" w:ascii="宋体" w:hAnsi="宋体" w:cs="宋体"/>
                <w:b/>
                <w:color w:val="000000"/>
                <w:kern w:val="0"/>
                <w:sz w:val="28"/>
                <w:szCs w:val="28"/>
                <w:lang w:bidi="ar"/>
              </w:rPr>
              <w:t>学年第</w:t>
            </w:r>
            <w:r>
              <w:rPr>
                <w:rFonts w:hint="eastAsia" w:ascii="宋体" w:hAnsi="宋体" w:cs="宋体"/>
                <w:b/>
                <w:color w:val="000000"/>
                <w:kern w:val="0"/>
                <w:sz w:val="28"/>
                <w:szCs w:val="28"/>
                <w:u w:val="single"/>
                <w:lang w:bidi="ar"/>
              </w:rPr>
              <w:t xml:space="preserve">    </w:t>
            </w:r>
            <w:r>
              <w:rPr>
                <w:rFonts w:hint="eastAsia" w:ascii="宋体" w:hAnsi="宋体" w:cs="宋体"/>
                <w:b/>
                <w:color w:val="000000"/>
                <w:kern w:val="0"/>
                <w:sz w:val="28"/>
                <w:szCs w:val="28"/>
                <w:lang w:bidi="ar"/>
              </w:rPr>
              <w:t>学期必修课教材征订单（</w:t>
            </w:r>
            <w:r>
              <w:rPr>
                <w:rFonts w:hint="eastAsia" w:ascii="宋体" w:hAnsi="宋体" w:cs="宋体"/>
                <w:b/>
                <w:color w:val="000000"/>
                <w:kern w:val="0"/>
                <w:sz w:val="28"/>
                <w:szCs w:val="28"/>
                <w:u w:val="single"/>
                <w:lang w:bidi="ar"/>
              </w:rPr>
              <w:t xml:space="preserve">              </w:t>
            </w:r>
            <w:r>
              <w:rPr>
                <w:rFonts w:hint="eastAsia" w:ascii="宋体" w:hAnsi="宋体" w:cs="宋体"/>
                <w:b/>
                <w:color w:val="000000"/>
                <w:kern w:val="0"/>
                <w:sz w:val="28"/>
                <w:szCs w:val="28"/>
                <w:lang w:bidi="ar"/>
              </w:rPr>
              <w:t>学院）</w:t>
            </w:r>
          </w:p>
        </w:tc>
        <w:tc>
          <w:tcPr>
            <w:tcW w:w="1080" w:type="dxa"/>
            <w:tcBorders>
              <w:top w:val="nil"/>
              <w:left w:val="nil"/>
              <w:bottom w:val="nil"/>
              <w:right w:val="nil"/>
            </w:tcBorders>
            <w:noWrap/>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0" w:type="dxa"/>
            <w:left w:w="0" w:type="dxa"/>
            <w:bottom w:w="0" w:type="dxa"/>
            <w:right w:w="0" w:type="dxa"/>
          </w:tblCellMar>
        </w:tblPrEx>
        <w:trPr>
          <w:trHeight w:val="240" w:hRule="atLeast"/>
        </w:trPr>
        <w:tc>
          <w:tcPr>
            <w:tcW w:w="0" w:type="auto"/>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0" w:type="auto"/>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0" w:type="auto"/>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0" w:type="auto"/>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0" w:type="auto"/>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0" w:type="auto"/>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0" w:type="auto"/>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0" w:type="auto"/>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16"/>
                <w:szCs w:val="16"/>
              </w:rPr>
            </w:pPr>
          </w:p>
        </w:tc>
        <w:tc>
          <w:tcPr>
            <w:tcW w:w="0" w:type="auto"/>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0" w:type="auto"/>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0" w:type="auto"/>
            <w:tcBorders>
              <w:top w:val="nil"/>
              <w:left w:val="nil"/>
              <w:bottom w:val="nil"/>
              <w:right w:val="nil"/>
            </w:tcBorders>
            <w:noWrap/>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0" w:type="dxa"/>
            <w:left w:w="0" w:type="dxa"/>
            <w:bottom w:w="0" w:type="dxa"/>
            <w:right w:w="0" w:type="dxa"/>
          </w:tblCellMar>
        </w:tblPrEx>
        <w:trPr>
          <w:trHeight w:val="480"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kern w:val="0"/>
                <w:sz w:val="20"/>
                <w:szCs w:val="20"/>
                <w:lang w:bidi="ar"/>
              </w:rPr>
              <w:t>开课部门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kern w:val="0"/>
                <w:sz w:val="20"/>
                <w:szCs w:val="20"/>
                <w:lang w:bidi="ar"/>
              </w:rPr>
              <w:t>适用范围</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kern w:val="0"/>
                <w:sz w:val="20"/>
                <w:szCs w:val="20"/>
                <w:lang w:bidi="ar"/>
              </w:rPr>
              <w:t>课程</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kern w:val="0"/>
                <w:sz w:val="20"/>
                <w:szCs w:val="20"/>
                <w:lang w:bidi="ar"/>
              </w:rPr>
              <w:t>教材名称</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kern w:val="0"/>
                <w:sz w:val="20"/>
                <w:szCs w:val="20"/>
                <w:lang w:bidi="ar"/>
              </w:rPr>
              <w:t>书号ISBN</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kern w:val="0"/>
                <w:sz w:val="20"/>
                <w:szCs w:val="20"/>
                <w:lang w:bidi="ar"/>
              </w:rPr>
              <w:t>作者</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kern w:val="0"/>
                <w:sz w:val="20"/>
                <w:szCs w:val="20"/>
                <w:lang w:bidi="ar"/>
              </w:rPr>
              <w:t>出版社</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16"/>
                <w:szCs w:val="16"/>
              </w:rPr>
            </w:pPr>
            <w:r>
              <w:rPr>
                <w:rFonts w:hint="eastAsia" w:ascii="宋体" w:hAnsi="宋体" w:cs="宋体"/>
                <w:b/>
                <w:color w:val="000000"/>
                <w:kern w:val="0"/>
                <w:sz w:val="20"/>
                <w:szCs w:val="20"/>
                <w:lang w:bidi="ar"/>
              </w:rPr>
              <w:t>版本</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kern w:val="0"/>
                <w:sz w:val="20"/>
                <w:szCs w:val="20"/>
                <w:lang w:bidi="ar"/>
              </w:rPr>
              <w:t>单价</w:t>
            </w:r>
          </w:p>
        </w:tc>
        <w:tc>
          <w:tcPr>
            <w:tcW w:w="59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kern w:val="0"/>
                <w:sz w:val="20"/>
                <w:szCs w:val="20"/>
                <w:lang w:bidi="ar"/>
              </w:rPr>
              <w:t>教师</w:t>
            </w:r>
            <w:r>
              <w:rPr>
                <w:rFonts w:hint="eastAsia" w:ascii="宋体" w:hAnsi="宋体" w:cs="宋体"/>
                <w:b/>
                <w:color w:val="000000"/>
                <w:kern w:val="0"/>
                <w:sz w:val="20"/>
                <w:szCs w:val="20"/>
                <w:lang w:bidi="ar"/>
              </w:rPr>
              <w:br w:type="textWrapping"/>
            </w:r>
            <w:r>
              <w:rPr>
                <w:rFonts w:hint="eastAsia" w:ascii="宋体" w:hAnsi="宋体" w:cs="宋体"/>
                <w:b/>
                <w:color w:val="000000"/>
                <w:kern w:val="0"/>
                <w:sz w:val="20"/>
                <w:szCs w:val="20"/>
                <w:lang w:bidi="ar"/>
              </w:rPr>
              <w:t>用书</w:t>
            </w:r>
          </w:p>
        </w:tc>
        <w:tc>
          <w:tcPr>
            <w:tcW w:w="108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widowControl/>
              <w:topLinePunct w:val="0"/>
              <w:bidi w:val="0"/>
              <w:jc w:val="left"/>
              <w:textAlignment w:val="center"/>
              <w:outlineLvl w:val="9"/>
              <w:rPr>
                <w:rFonts w:hint="eastAsia" w:ascii="宋体" w:hAnsi="宋体" w:cs="宋体"/>
                <w:b/>
                <w:color w:val="000000"/>
                <w:sz w:val="22"/>
                <w:szCs w:val="22"/>
              </w:rPr>
            </w:pPr>
            <w:r>
              <w:rPr>
                <w:rFonts w:hint="eastAsia" w:ascii="宋体" w:hAnsi="宋体" w:cs="宋体"/>
                <w:b/>
                <w:color w:val="000000"/>
                <w:kern w:val="0"/>
                <w:sz w:val="22"/>
                <w:szCs w:val="22"/>
                <w:lang w:bidi="ar"/>
              </w:rPr>
              <w:t>备注</w:t>
            </w:r>
          </w:p>
        </w:tc>
      </w:tr>
      <w:tr>
        <w:tblPrEx>
          <w:tblCellMar>
            <w:top w:w="0" w:type="dxa"/>
            <w:left w:w="0" w:type="dxa"/>
            <w:bottom w:w="0" w:type="dxa"/>
            <w:right w:w="0"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1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14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1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4"/>
              </w:rPr>
            </w:pPr>
          </w:p>
        </w:tc>
      </w:tr>
      <w:tr>
        <w:tblPrEx>
          <w:tblCellMar>
            <w:top w:w="0" w:type="dxa"/>
            <w:left w:w="0" w:type="dxa"/>
            <w:bottom w:w="0" w:type="dxa"/>
            <w:right w:w="0"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13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14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18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1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88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4"/>
              </w:rPr>
            </w:pPr>
          </w:p>
        </w:tc>
      </w:tr>
    </w:tbl>
    <w:p>
      <w:pPr>
        <w:pageBreakBefore w:val="0"/>
        <w:widowControl/>
        <w:topLinePunct w:val="0"/>
        <w:bidi w:val="0"/>
        <w:spacing w:line="400" w:lineRule="exact"/>
        <w:outlineLvl w:val="9"/>
        <w:rPr>
          <w:rFonts w:hint="eastAsia" w:ascii="仿宋" w:hAnsi="仿宋" w:eastAsia="仿宋" w:cs="仿宋"/>
          <w:b/>
          <w:bCs/>
          <w:color w:val="000000"/>
          <w:kern w:val="0"/>
          <w:sz w:val="32"/>
          <w:szCs w:val="32"/>
        </w:rPr>
      </w:pPr>
    </w:p>
    <w:p>
      <w:pPr>
        <w:pageBreakBefore w:val="0"/>
        <w:widowControl/>
        <w:topLinePunct w:val="0"/>
        <w:bidi w:val="0"/>
        <w:spacing w:line="400" w:lineRule="exact"/>
        <w:outlineLvl w:val="9"/>
        <w:rPr>
          <w:rFonts w:hint="eastAsia" w:ascii="仿宋" w:hAnsi="仿宋" w:eastAsia="仿宋" w:cs="仿宋"/>
          <w:b/>
          <w:bCs/>
          <w:color w:val="000000"/>
          <w:kern w:val="0"/>
          <w:sz w:val="32"/>
          <w:szCs w:val="32"/>
        </w:rPr>
      </w:pPr>
    </w:p>
    <w:p>
      <w:pPr>
        <w:pageBreakBefore w:val="0"/>
        <w:widowControl/>
        <w:topLinePunct w:val="0"/>
        <w:bidi w:val="0"/>
        <w:spacing w:line="400" w:lineRule="exact"/>
        <w:outlineLvl w:val="9"/>
        <w:rPr>
          <w:rFonts w:hint="eastAsia" w:ascii="仿宋" w:hAnsi="仿宋" w:eastAsia="仿宋" w:cs="仿宋"/>
          <w:b/>
          <w:bCs/>
          <w:color w:val="000000"/>
          <w:kern w:val="0"/>
          <w:sz w:val="32"/>
          <w:szCs w:val="32"/>
        </w:rPr>
      </w:pPr>
    </w:p>
    <w:tbl>
      <w:tblPr>
        <w:tblStyle w:val="37"/>
        <w:tblW w:w="13635" w:type="dxa"/>
        <w:tblInd w:w="0" w:type="dxa"/>
        <w:tblLayout w:type="fixed"/>
        <w:tblCellMar>
          <w:top w:w="0" w:type="dxa"/>
          <w:left w:w="0" w:type="dxa"/>
          <w:bottom w:w="0" w:type="dxa"/>
          <w:right w:w="0" w:type="dxa"/>
        </w:tblCellMar>
      </w:tblPr>
      <w:tblGrid>
        <w:gridCol w:w="1003"/>
        <w:gridCol w:w="1016"/>
        <w:gridCol w:w="1759"/>
        <w:gridCol w:w="1843"/>
        <w:gridCol w:w="1231"/>
        <w:gridCol w:w="2366"/>
        <w:gridCol w:w="1134"/>
        <w:gridCol w:w="1067"/>
        <w:gridCol w:w="967"/>
        <w:gridCol w:w="1118"/>
        <w:gridCol w:w="131"/>
      </w:tblGrid>
      <w:tr>
        <w:tblPrEx>
          <w:tblCellMar>
            <w:top w:w="0" w:type="dxa"/>
            <w:left w:w="0" w:type="dxa"/>
            <w:bottom w:w="0" w:type="dxa"/>
            <w:right w:w="0" w:type="dxa"/>
          </w:tblCellMar>
        </w:tblPrEx>
        <w:trPr>
          <w:trHeight w:val="375" w:hRule="atLeast"/>
        </w:trPr>
        <w:tc>
          <w:tcPr>
            <w:tcW w:w="13635" w:type="dxa"/>
            <w:gridSpan w:val="11"/>
            <w:tcBorders>
              <w:top w:val="nil"/>
              <w:left w:val="nil"/>
              <w:bottom w:val="nil"/>
              <w:right w:val="nil"/>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8"/>
                <w:szCs w:val="28"/>
              </w:rPr>
            </w:pPr>
            <w:r>
              <w:rPr>
                <w:rFonts w:hint="eastAsia" w:ascii="宋体" w:hAnsi="宋体" w:cs="宋体"/>
                <w:b/>
                <w:color w:val="000000"/>
                <w:kern w:val="0"/>
                <w:sz w:val="28"/>
                <w:szCs w:val="28"/>
                <w:lang w:bidi="ar"/>
              </w:rPr>
              <w:t xml:space="preserve">    </w:t>
            </w:r>
            <w:r>
              <w:rPr>
                <w:rFonts w:hint="eastAsia" w:ascii="宋体" w:hAnsi="宋体" w:cs="宋体"/>
                <w:b/>
                <w:color w:val="000000"/>
                <w:kern w:val="0"/>
                <w:sz w:val="28"/>
                <w:szCs w:val="28"/>
                <w:u w:val="single"/>
                <w:lang w:bidi="ar"/>
              </w:rPr>
              <w:t xml:space="preserve">         </w:t>
            </w:r>
            <w:r>
              <w:rPr>
                <w:rStyle w:val="132"/>
                <w:rFonts w:hint="default"/>
                <w:lang w:bidi="ar"/>
              </w:rPr>
              <w:t>学年第</w:t>
            </w:r>
            <w:r>
              <w:rPr>
                <w:rFonts w:hint="eastAsia" w:ascii="宋体" w:hAnsi="宋体" w:cs="宋体"/>
                <w:b/>
                <w:color w:val="000000"/>
                <w:kern w:val="0"/>
                <w:sz w:val="28"/>
                <w:szCs w:val="28"/>
                <w:u w:val="single"/>
                <w:lang w:bidi="ar"/>
              </w:rPr>
              <w:t xml:space="preserve">    </w:t>
            </w:r>
            <w:r>
              <w:rPr>
                <w:rStyle w:val="132"/>
                <w:rFonts w:hint="default"/>
                <w:lang w:bidi="ar"/>
              </w:rPr>
              <w:t>学期必修课教材征订单（</w:t>
            </w:r>
            <w:r>
              <w:rPr>
                <w:rFonts w:hint="eastAsia" w:ascii="宋体" w:hAnsi="宋体" w:cs="宋体"/>
                <w:b/>
                <w:color w:val="000000"/>
                <w:kern w:val="0"/>
                <w:sz w:val="28"/>
                <w:szCs w:val="28"/>
                <w:u w:val="single"/>
                <w:lang w:bidi="ar"/>
              </w:rPr>
              <w:t xml:space="preserve">              </w:t>
            </w:r>
            <w:r>
              <w:rPr>
                <w:rStyle w:val="132"/>
                <w:rFonts w:hint="default"/>
                <w:lang w:bidi="ar"/>
              </w:rPr>
              <w:t>学院）</w:t>
            </w:r>
          </w:p>
        </w:tc>
      </w:tr>
      <w:tr>
        <w:tblPrEx>
          <w:tblCellMar>
            <w:top w:w="0" w:type="dxa"/>
            <w:left w:w="0" w:type="dxa"/>
            <w:bottom w:w="0" w:type="dxa"/>
            <w:right w:w="0" w:type="dxa"/>
          </w:tblCellMar>
        </w:tblPrEx>
        <w:trPr>
          <w:trHeight w:val="240" w:hRule="atLeast"/>
        </w:trPr>
        <w:tc>
          <w:tcPr>
            <w:tcW w:w="1003" w:type="dxa"/>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016" w:type="dxa"/>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759" w:type="dxa"/>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843" w:type="dxa"/>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231" w:type="dxa"/>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3500" w:type="dxa"/>
            <w:gridSpan w:val="2"/>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067" w:type="dxa"/>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16"/>
                <w:szCs w:val="16"/>
              </w:rPr>
            </w:pPr>
          </w:p>
        </w:tc>
        <w:tc>
          <w:tcPr>
            <w:tcW w:w="967" w:type="dxa"/>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118" w:type="dxa"/>
            <w:tcBorders>
              <w:top w:val="nil"/>
              <w:left w:val="nil"/>
              <w:bottom w:val="nil"/>
              <w:right w:val="nil"/>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31" w:type="dxa"/>
            <w:tcBorders>
              <w:top w:val="nil"/>
              <w:left w:val="nil"/>
              <w:bottom w:val="nil"/>
              <w:right w:val="nil"/>
            </w:tcBorders>
            <w:noWrap/>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0" w:type="dxa"/>
            <w:left w:w="0" w:type="dxa"/>
            <w:bottom w:w="0" w:type="dxa"/>
            <w:right w:w="0" w:type="dxa"/>
          </w:tblCellMar>
        </w:tblPrEx>
        <w:trPr>
          <w:trHeight w:val="480" w:hRule="atLeast"/>
        </w:trPr>
        <w:tc>
          <w:tcPr>
            <w:tcW w:w="10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kern w:val="0"/>
                <w:sz w:val="20"/>
                <w:szCs w:val="20"/>
                <w:lang w:bidi="ar"/>
              </w:rPr>
              <w:t>开课部门</w:t>
            </w:r>
          </w:p>
        </w:tc>
        <w:tc>
          <w:tcPr>
            <w:tcW w:w="10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kern w:val="0"/>
                <w:sz w:val="20"/>
                <w:szCs w:val="20"/>
                <w:lang w:bidi="ar"/>
              </w:rPr>
              <w:t>课程</w:t>
            </w:r>
          </w:p>
        </w:tc>
        <w:tc>
          <w:tcPr>
            <w:tcW w:w="175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kern w:val="0"/>
                <w:sz w:val="20"/>
                <w:szCs w:val="20"/>
                <w:lang w:bidi="ar"/>
              </w:rPr>
              <w:t>教材名称</w:t>
            </w:r>
          </w:p>
        </w:tc>
        <w:tc>
          <w:tcPr>
            <w:tcW w:w="18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kern w:val="0"/>
                <w:sz w:val="20"/>
                <w:szCs w:val="20"/>
                <w:lang w:bidi="ar"/>
              </w:rPr>
              <w:t>书号ISBN</w:t>
            </w:r>
          </w:p>
        </w:tc>
        <w:tc>
          <w:tcPr>
            <w:tcW w:w="12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kern w:val="0"/>
                <w:sz w:val="20"/>
                <w:szCs w:val="20"/>
                <w:lang w:bidi="ar"/>
              </w:rPr>
              <w:t>作者</w:t>
            </w:r>
          </w:p>
        </w:tc>
        <w:tc>
          <w:tcPr>
            <w:tcW w:w="2366"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kern w:val="0"/>
                <w:sz w:val="20"/>
                <w:szCs w:val="20"/>
                <w:lang w:bidi="ar"/>
              </w:rPr>
              <w:t>出版社</w:t>
            </w:r>
          </w:p>
        </w:tc>
        <w:tc>
          <w:tcPr>
            <w:tcW w:w="1134" w:type="dxa"/>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kern w:val="0"/>
                <w:sz w:val="20"/>
                <w:szCs w:val="20"/>
                <w:lang w:bidi="ar"/>
              </w:rPr>
            </w:pPr>
            <w:r>
              <w:rPr>
                <w:rFonts w:hint="eastAsia" w:ascii="宋体" w:hAnsi="宋体" w:cs="宋体"/>
                <w:b/>
                <w:color w:val="000000"/>
                <w:kern w:val="0"/>
                <w:sz w:val="20"/>
                <w:szCs w:val="20"/>
                <w:lang w:bidi="ar"/>
              </w:rPr>
              <w:t>版本</w:t>
            </w:r>
          </w:p>
        </w:tc>
        <w:tc>
          <w:tcPr>
            <w:tcW w:w="10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16"/>
                <w:szCs w:val="16"/>
              </w:rPr>
            </w:pPr>
            <w:r>
              <w:rPr>
                <w:rFonts w:hint="eastAsia" w:ascii="宋体" w:hAnsi="宋体" w:cs="宋体"/>
                <w:b/>
                <w:color w:val="000000"/>
                <w:kern w:val="0"/>
                <w:sz w:val="20"/>
                <w:szCs w:val="20"/>
                <w:lang w:bidi="ar"/>
              </w:rPr>
              <w:t>单价</w:t>
            </w:r>
          </w:p>
        </w:tc>
        <w:tc>
          <w:tcPr>
            <w:tcW w:w="9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kern w:val="0"/>
                <w:sz w:val="20"/>
                <w:szCs w:val="20"/>
                <w:lang w:bidi="ar"/>
              </w:rPr>
              <w:t>教师</w:t>
            </w:r>
            <w:r>
              <w:rPr>
                <w:rFonts w:hint="eastAsia" w:ascii="宋体" w:hAnsi="宋体" w:cs="宋体"/>
                <w:b/>
                <w:color w:val="000000"/>
                <w:kern w:val="0"/>
                <w:sz w:val="20"/>
                <w:szCs w:val="20"/>
                <w:lang w:bidi="ar"/>
              </w:rPr>
              <w:br w:type="textWrapping"/>
            </w:r>
            <w:r>
              <w:rPr>
                <w:rFonts w:hint="eastAsia" w:ascii="宋体" w:hAnsi="宋体" w:cs="宋体"/>
                <w:b/>
                <w:color w:val="000000"/>
                <w:kern w:val="0"/>
                <w:sz w:val="20"/>
                <w:szCs w:val="20"/>
                <w:lang w:bidi="ar"/>
              </w:rPr>
              <w:t>用书</w:t>
            </w:r>
          </w:p>
        </w:tc>
        <w:tc>
          <w:tcPr>
            <w:tcW w:w="11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widowControl/>
              <w:topLinePunct w:val="0"/>
              <w:bidi w:val="0"/>
              <w:jc w:val="center"/>
              <w:textAlignment w:val="center"/>
              <w:outlineLvl w:val="9"/>
              <w:rPr>
                <w:rFonts w:hint="eastAsia" w:ascii="宋体" w:hAnsi="宋体" w:cs="宋体"/>
                <w:b/>
                <w:color w:val="000000"/>
                <w:sz w:val="20"/>
                <w:szCs w:val="20"/>
              </w:rPr>
            </w:pPr>
            <w:r>
              <w:rPr>
                <w:rFonts w:hint="eastAsia" w:ascii="宋体" w:hAnsi="宋体" w:cs="宋体"/>
                <w:b/>
                <w:color w:val="000000"/>
                <w:sz w:val="20"/>
                <w:szCs w:val="20"/>
              </w:rPr>
              <w:t>备注</w:t>
            </w:r>
          </w:p>
        </w:tc>
        <w:tc>
          <w:tcPr>
            <w:tcW w:w="131" w:type="dxa"/>
            <w:tcBorders>
              <w:top w:val="nil"/>
              <w:left w:val="nil"/>
              <w:bottom w:val="nil"/>
              <w:right w:val="nil"/>
            </w:tcBorders>
            <w:noWrap/>
            <w:tcMar>
              <w:top w:w="15" w:type="dxa"/>
              <w:left w:w="15" w:type="dxa"/>
              <w:right w:w="15" w:type="dxa"/>
            </w:tcMar>
            <w:vAlign w:val="center"/>
          </w:tcPr>
          <w:p>
            <w:pPr>
              <w:pageBreakBefore w:val="0"/>
              <w:topLinePunct w:val="0"/>
              <w:bidi w:val="0"/>
              <w:jc w:val="center"/>
              <w:outlineLvl w:val="9"/>
              <w:rPr>
                <w:rFonts w:hint="eastAsia" w:ascii="宋体" w:hAnsi="宋体" w:cs="宋体"/>
                <w:b/>
                <w:color w:val="000000"/>
                <w:sz w:val="20"/>
                <w:szCs w:val="20"/>
              </w:rPr>
            </w:pPr>
          </w:p>
        </w:tc>
      </w:tr>
      <w:tr>
        <w:tblPrEx>
          <w:tblCellMar>
            <w:top w:w="0" w:type="dxa"/>
            <w:left w:w="0" w:type="dxa"/>
            <w:bottom w:w="0" w:type="dxa"/>
            <w:right w:w="0" w:type="dxa"/>
          </w:tblCellMar>
        </w:tblPrEx>
        <w:trPr>
          <w:trHeight w:val="319" w:hRule="atLeast"/>
        </w:trPr>
        <w:tc>
          <w:tcPr>
            <w:tcW w:w="10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0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7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23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2366"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134" w:type="dxa"/>
            <w:tcBorders>
              <w:top w:val="single" w:color="000000" w:sz="4" w:space="0"/>
              <w:left w:val="single" w:color="auto" w:sz="4" w:space="0"/>
              <w:bottom w:val="single" w:color="000000" w:sz="4" w:space="0"/>
              <w:right w:val="single" w:color="000000" w:sz="4" w:space="0"/>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0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9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1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8000"/>
                <w:sz w:val="20"/>
                <w:szCs w:val="20"/>
              </w:rPr>
            </w:pPr>
          </w:p>
        </w:tc>
        <w:tc>
          <w:tcPr>
            <w:tcW w:w="131" w:type="dxa"/>
            <w:tcBorders>
              <w:top w:val="nil"/>
              <w:left w:val="nil"/>
              <w:bottom w:val="nil"/>
              <w:right w:val="nil"/>
            </w:tcBorders>
            <w:noWrap/>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r>
      <w:tr>
        <w:tblPrEx>
          <w:tblCellMar>
            <w:top w:w="0" w:type="dxa"/>
            <w:left w:w="0" w:type="dxa"/>
            <w:bottom w:w="0" w:type="dxa"/>
            <w:right w:w="0" w:type="dxa"/>
          </w:tblCellMar>
        </w:tblPrEx>
        <w:trPr>
          <w:trHeight w:val="342" w:hRule="atLeast"/>
        </w:trPr>
        <w:tc>
          <w:tcPr>
            <w:tcW w:w="10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0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7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84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23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2366"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134"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0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9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pageBreakBefore w:val="0"/>
              <w:topLinePunct w:val="0"/>
              <w:bidi w:val="0"/>
              <w:jc w:val="left"/>
              <w:outlineLvl w:val="9"/>
              <w:rPr>
                <w:rFonts w:hint="eastAsia" w:ascii="宋体" w:hAnsi="宋体" w:cs="宋体"/>
                <w:color w:val="000000"/>
                <w:sz w:val="20"/>
                <w:szCs w:val="20"/>
              </w:rPr>
            </w:pPr>
          </w:p>
        </w:tc>
        <w:tc>
          <w:tcPr>
            <w:tcW w:w="11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pageBreakBefore w:val="0"/>
              <w:topLinePunct w:val="0"/>
              <w:bidi w:val="0"/>
              <w:jc w:val="left"/>
              <w:outlineLvl w:val="9"/>
              <w:rPr>
                <w:rFonts w:hint="eastAsia" w:ascii="宋体" w:hAnsi="宋体" w:cs="宋体"/>
                <w:color w:val="008000"/>
                <w:sz w:val="20"/>
                <w:szCs w:val="20"/>
              </w:rPr>
            </w:pPr>
          </w:p>
        </w:tc>
        <w:tc>
          <w:tcPr>
            <w:tcW w:w="131" w:type="dxa"/>
            <w:tcBorders>
              <w:top w:val="nil"/>
              <w:left w:val="nil"/>
              <w:bottom w:val="nil"/>
              <w:right w:val="nil"/>
            </w:tcBorders>
            <w:noWrap/>
            <w:tcMar>
              <w:top w:w="15" w:type="dxa"/>
              <w:left w:w="15" w:type="dxa"/>
              <w:right w:w="15" w:type="dxa"/>
            </w:tcMar>
            <w:vAlign w:val="center"/>
          </w:tcPr>
          <w:p>
            <w:pPr>
              <w:pageBreakBefore w:val="0"/>
              <w:topLinePunct w:val="0"/>
              <w:bidi w:val="0"/>
              <w:jc w:val="center"/>
              <w:outlineLvl w:val="9"/>
              <w:rPr>
                <w:rFonts w:hint="eastAsia" w:ascii="宋体" w:hAnsi="宋体" w:cs="宋体"/>
                <w:color w:val="000000"/>
                <w:sz w:val="20"/>
                <w:szCs w:val="20"/>
              </w:rPr>
            </w:pPr>
          </w:p>
        </w:tc>
      </w:tr>
    </w:tbl>
    <w:p>
      <w:pPr>
        <w:pageBreakBefore w:val="0"/>
        <w:topLinePunct w:val="0"/>
        <w:bidi w:val="0"/>
        <w:outlineLvl w:val="9"/>
        <w:rPr>
          <w:rFonts w:hint="eastAsia" w:ascii="仿宋" w:hAnsi="仿宋" w:eastAsia="仿宋" w:cs="仿宋"/>
          <w:bCs/>
          <w:color w:val="000000"/>
          <w:sz w:val="28"/>
          <w:szCs w:val="28"/>
        </w:rPr>
      </w:pPr>
    </w:p>
    <w:p>
      <w:pPr>
        <w:pageBreakBefore w:val="0"/>
        <w:topLinePunct w:val="0"/>
        <w:bidi w:val="0"/>
        <w:outlineLvl w:val="9"/>
        <w:rPr>
          <w:rFonts w:hint="eastAsia" w:ascii="仿宋" w:hAnsi="仿宋" w:eastAsia="仿宋" w:cs="仿宋"/>
          <w:bCs/>
          <w:color w:val="000000"/>
          <w:sz w:val="28"/>
          <w:szCs w:val="28"/>
        </w:rPr>
      </w:pPr>
    </w:p>
    <w:p>
      <w:pPr>
        <w:pageBreakBefore w:val="0"/>
        <w:topLinePunct w:val="0"/>
        <w:bidi w:val="0"/>
        <w:outlineLvl w:val="9"/>
        <w:rPr>
          <w:rFonts w:hint="eastAsia" w:ascii="仿宋" w:hAnsi="仿宋" w:eastAsia="仿宋" w:cs="仿宋"/>
          <w:bCs/>
          <w:color w:val="000000"/>
          <w:sz w:val="28"/>
          <w:szCs w:val="28"/>
        </w:rPr>
        <w:sectPr>
          <w:pgSz w:w="16838" w:h="11906" w:orient="landscape"/>
          <w:pgMar w:top="1803" w:right="1440" w:bottom="1803" w:left="1440" w:header="851" w:footer="992" w:gutter="0"/>
          <w:pgNumType w:fmt="decimal"/>
          <w:cols w:space="425" w:num="1"/>
          <w:docGrid w:type="lines" w:linePitch="312" w:charSpace="0"/>
        </w:sectPr>
      </w:pPr>
    </w:p>
    <w:p>
      <w:pPr>
        <w:pageBreakBefore w:val="0"/>
        <w:topLinePunct w:val="0"/>
        <w:bidi w:val="0"/>
        <w:outlineLvl w:val="9"/>
        <w:rPr>
          <w:rFonts w:ascii="仿宋" w:hAnsi="仿宋" w:eastAsia="仿宋" w:cs="仿宋"/>
          <w:bCs/>
          <w:color w:val="000000"/>
          <w:sz w:val="28"/>
          <w:szCs w:val="28"/>
        </w:rPr>
      </w:pPr>
      <w:r>
        <w:rPr>
          <w:rFonts w:hint="eastAsia" w:ascii="仿宋" w:hAnsi="仿宋" w:eastAsia="仿宋" w:cs="仿宋"/>
          <w:bCs/>
          <w:color w:val="000000"/>
          <w:sz w:val="28"/>
          <w:szCs w:val="28"/>
        </w:rPr>
        <w:t>附件3：</w:t>
      </w:r>
    </w:p>
    <w:p>
      <w:pPr>
        <w:pageBreakBefore w:val="0"/>
        <w:widowControl/>
        <w:topLinePunct w:val="0"/>
        <w:bidi w:val="0"/>
        <w:spacing w:line="400" w:lineRule="exact"/>
        <w:jc w:val="center"/>
        <w:outlineLvl w:val="9"/>
        <w:rPr>
          <w:rFonts w:hint="eastAsia" w:ascii="方正舒体" w:hAnsi="仿宋" w:eastAsia="方正舒体" w:cs="仿宋"/>
          <w:b/>
          <w:bCs/>
          <w:color w:val="000000"/>
          <w:kern w:val="0"/>
          <w:sz w:val="36"/>
          <w:szCs w:val="36"/>
        </w:rPr>
      </w:pPr>
    </w:p>
    <w:p>
      <w:pPr>
        <w:pageBreakBefore w:val="0"/>
        <w:widowControl/>
        <w:topLinePunct w:val="0"/>
        <w:bidi w:val="0"/>
        <w:spacing w:line="400" w:lineRule="exact"/>
        <w:jc w:val="center"/>
        <w:outlineLvl w:val="9"/>
        <w:rPr>
          <w:rFonts w:hint="eastAsia" w:ascii="方正舒体" w:hAnsi="仿宋" w:eastAsia="方正舒体" w:cs="仿宋"/>
          <w:b/>
          <w:bCs/>
          <w:color w:val="000000"/>
          <w:kern w:val="0"/>
          <w:sz w:val="36"/>
          <w:szCs w:val="36"/>
        </w:rPr>
      </w:pPr>
    </w:p>
    <w:p>
      <w:pPr>
        <w:pageBreakBefore w:val="0"/>
        <w:widowControl/>
        <w:topLinePunct w:val="0"/>
        <w:bidi w:val="0"/>
        <w:spacing w:line="400" w:lineRule="exact"/>
        <w:jc w:val="center"/>
        <w:outlineLvl w:val="9"/>
        <w:rPr>
          <w:rFonts w:ascii="方正舒体" w:hAnsi="仿宋" w:eastAsia="方正舒体" w:cs="仿宋"/>
          <w:b/>
          <w:bCs/>
          <w:color w:val="000000"/>
          <w:kern w:val="0"/>
          <w:sz w:val="36"/>
          <w:szCs w:val="36"/>
        </w:rPr>
      </w:pPr>
      <w:r>
        <w:rPr>
          <w:rFonts w:hint="eastAsia" w:ascii="方正舒体" w:hAnsi="仿宋" w:eastAsia="方正舒体" w:cs="仿宋"/>
          <w:b/>
          <w:bCs/>
          <w:color w:val="000000"/>
          <w:kern w:val="0"/>
          <w:sz w:val="36"/>
          <w:szCs w:val="36"/>
        </w:rPr>
        <w:t>上海电子信息职业技术学院</w:t>
      </w:r>
    </w:p>
    <w:p>
      <w:pPr>
        <w:pageBreakBefore w:val="0"/>
        <w:widowControl/>
        <w:topLinePunct w:val="0"/>
        <w:bidi w:val="0"/>
        <w:spacing w:line="400" w:lineRule="exact"/>
        <w:jc w:val="center"/>
        <w:outlineLvl w:val="9"/>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rPr>
        <w:t>教材选用审批表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4392"/>
        <w:gridCol w:w="3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gridSpan w:val="2"/>
            <w:noWrap w:val="0"/>
            <w:vAlign w:val="top"/>
          </w:tcPr>
          <w:p>
            <w:pPr>
              <w:pageBreakBefore w:val="0"/>
              <w:widowControl/>
              <w:topLinePunct w:val="0"/>
              <w:bidi w:val="0"/>
              <w:spacing w:line="400" w:lineRule="exact"/>
              <w:outlineLvl w:val="9"/>
              <w:rPr>
                <w:rFonts w:hint="eastAsia" w:ascii="仿宋" w:hAnsi="仿宋" w:eastAsia="仿宋" w:cs="仿宋"/>
                <w:b/>
                <w:bCs/>
                <w:color w:val="000000"/>
                <w:kern w:val="0"/>
                <w:sz w:val="32"/>
                <w:szCs w:val="32"/>
                <w:u w:val="single"/>
              </w:rPr>
            </w:pPr>
            <w:r>
              <w:rPr>
                <w:rFonts w:hint="eastAsia" w:ascii="仿宋" w:hAnsi="仿宋" w:eastAsia="仿宋" w:cs="仿宋"/>
                <w:b/>
                <w:bCs/>
                <w:color w:val="000000"/>
                <w:kern w:val="0"/>
                <w:sz w:val="32"/>
                <w:szCs w:val="32"/>
              </w:rPr>
              <w:t>二级学院</w:t>
            </w:r>
            <w:r>
              <w:rPr>
                <w:rFonts w:ascii="仿宋" w:hAnsi="仿宋" w:eastAsia="仿宋" w:cs="仿宋"/>
                <w:b/>
                <w:bCs/>
                <w:color w:val="000000"/>
                <w:kern w:val="0"/>
                <w:sz w:val="32"/>
                <w:szCs w:val="32"/>
              </w:rPr>
              <w:t>：</w:t>
            </w:r>
            <w:r>
              <w:rPr>
                <w:rFonts w:hint="eastAsia" w:ascii="仿宋" w:hAnsi="仿宋" w:eastAsia="仿宋" w:cs="仿宋"/>
                <w:b/>
                <w:bCs/>
                <w:color w:val="000000"/>
                <w:kern w:val="0"/>
                <w:sz w:val="32"/>
                <w:szCs w:val="32"/>
                <w:u w:val="single"/>
              </w:rPr>
              <w:t xml:space="preserve">                    </w:t>
            </w:r>
          </w:p>
        </w:tc>
        <w:tc>
          <w:tcPr>
            <w:tcW w:w="3452" w:type="dxa"/>
            <w:noWrap w:val="0"/>
            <w:vAlign w:val="top"/>
          </w:tcPr>
          <w:p>
            <w:pPr>
              <w:pageBreakBefore w:val="0"/>
              <w:widowControl/>
              <w:topLinePunct w:val="0"/>
              <w:bidi w:val="0"/>
              <w:spacing w:line="400" w:lineRule="exact"/>
              <w:outlineLvl w:val="9"/>
              <w:rPr>
                <w:rFonts w:hint="eastAsia" w:ascii="仿宋" w:hAnsi="仿宋" w:eastAsia="仿宋" w:cs="仿宋"/>
                <w:b/>
                <w:bCs/>
                <w:color w:val="000000"/>
                <w:kern w:val="0"/>
                <w:sz w:val="32"/>
                <w:szCs w:val="32"/>
              </w:rPr>
            </w:pPr>
            <w:r>
              <w:rPr>
                <w:rFonts w:hint="eastAsia" w:ascii="仿宋" w:hAnsi="仿宋" w:eastAsia="仿宋" w:cs="仿宋"/>
                <w:b/>
                <w:bCs/>
                <w:color w:val="000000"/>
                <w:kern w:val="0"/>
                <w:sz w:val="32"/>
                <w:szCs w:val="32"/>
                <w:u w:val="single"/>
              </w:rPr>
              <w:t xml:space="preserve">       </w:t>
            </w:r>
            <w:r>
              <w:rPr>
                <w:rFonts w:hint="eastAsia" w:ascii="仿宋" w:hAnsi="仿宋" w:eastAsia="仿宋" w:cs="仿宋"/>
                <w:b/>
                <w:bCs/>
                <w:color w:val="000000"/>
                <w:kern w:val="0"/>
                <w:sz w:val="32"/>
                <w:szCs w:val="32"/>
              </w:rPr>
              <w:t>学年第</w:t>
            </w:r>
            <w:r>
              <w:rPr>
                <w:rFonts w:hint="eastAsia" w:ascii="仿宋" w:hAnsi="仿宋" w:eastAsia="仿宋" w:cs="仿宋"/>
                <w:b/>
                <w:bCs/>
                <w:color w:val="000000"/>
                <w:kern w:val="0"/>
                <w:sz w:val="32"/>
                <w:szCs w:val="32"/>
                <w:u w:val="single"/>
              </w:rPr>
              <w:t xml:space="preserve">  </w:t>
            </w:r>
            <w:r>
              <w:rPr>
                <w:rFonts w:hint="eastAsia" w:ascii="仿宋" w:hAnsi="仿宋" w:eastAsia="仿宋" w:cs="仿宋"/>
                <w:b/>
                <w:bCs/>
                <w:color w:val="000000"/>
                <w:kern w:val="0"/>
                <w:sz w:val="32"/>
                <w:szCs w:val="32"/>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top"/>
          </w:tcPr>
          <w:p>
            <w:pPr>
              <w:pageBreakBefore w:val="0"/>
              <w:widowControl/>
              <w:topLinePunct w:val="0"/>
              <w:bidi w:val="0"/>
              <w:spacing w:line="400" w:lineRule="exact"/>
              <w:outlineLvl w:val="9"/>
              <w:rPr>
                <w:rFonts w:ascii="仿宋" w:hAnsi="仿宋" w:eastAsia="仿宋" w:cs="仿宋"/>
                <w:b/>
                <w:bCs/>
                <w:color w:val="000000"/>
                <w:kern w:val="0"/>
                <w:sz w:val="30"/>
                <w:szCs w:val="30"/>
                <w:u w:val="single"/>
              </w:rPr>
            </w:pPr>
          </w:p>
          <w:p>
            <w:pPr>
              <w:pageBreakBefore w:val="0"/>
              <w:widowControl/>
              <w:topLinePunct w:val="0"/>
              <w:bidi w:val="0"/>
              <w:spacing w:line="400" w:lineRule="exact"/>
              <w:outlineLvl w:val="9"/>
              <w:rPr>
                <w:rFonts w:ascii="仿宋" w:hAnsi="仿宋" w:eastAsia="仿宋" w:cs="仿宋"/>
                <w:b/>
                <w:bCs/>
                <w:color w:val="000000"/>
                <w:kern w:val="0"/>
                <w:sz w:val="30"/>
                <w:szCs w:val="30"/>
              </w:rPr>
            </w:pPr>
            <w:r>
              <w:rPr>
                <w:rFonts w:hint="eastAsia" w:ascii="仿宋" w:hAnsi="仿宋" w:eastAsia="仿宋" w:cs="仿宋"/>
                <w:b/>
                <w:bCs/>
                <w:color w:val="000000"/>
                <w:kern w:val="0"/>
                <w:sz w:val="30"/>
                <w:szCs w:val="30"/>
              </w:rPr>
              <w:t>教材</w:t>
            </w:r>
          </w:p>
          <w:p>
            <w:pPr>
              <w:pageBreakBefore w:val="0"/>
              <w:widowControl/>
              <w:topLinePunct w:val="0"/>
              <w:bidi w:val="0"/>
              <w:spacing w:line="400" w:lineRule="exact"/>
              <w:outlineLvl w:val="9"/>
              <w:rPr>
                <w:rFonts w:hint="eastAsia" w:ascii="仿宋" w:hAnsi="仿宋" w:eastAsia="仿宋" w:cs="仿宋"/>
                <w:b/>
                <w:bCs/>
                <w:color w:val="000000"/>
                <w:kern w:val="0"/>
                <w:sz w:val="30"/>
                <w:szCs w:val="30"/>
              </w:rPr>
            </w:pPr>
            <w:r>
              <w:rPr>
                <w:rFonts w:hint="eastAsia" w:ascii="仿宋" w:hAnsi="仿宋" w:eastAsia="仿宋" w:cs="仿宋"/>
                <w:b/>
                <w:bCs/>
                <w:color w:val="000000"/>
                <w:kern w:val="0"/>
                <w:sz w:val="30"/>
                <w:szCs w:val="30"/>
              </w:rPr>
              <w:t>申</w:t>
            </w:r>
          </w:p>
          <w:p>
            <w:pPr>
              <w:pageBreakBefore w:val="0"/>
              <w:widowControl/>
              <w:topLinePunct w:val="0"/>
              <w:bidi w:val="0"/>
              <w:spacing w:line="400" w:lineRule="exact"/>
              <w:outlineLvl w:val="9"/>
              <w:rPr>
                <w:rFonts w:hint="eastAsia" w:ascii="仿宋" w:hAnsi="仿宋" w:eastAsia="仿宋" w:cs="仿宋"/>
                <w:b/>
                <w:bCs/>
                <w:color w:val="000000"/>
                <w:kern w:val="0"/>
                <w:sz w:val="30"/>
                <w:szCs w:val="30"/>
                <w:u w:val="single"/>
              </w:rPr>
            </w:pPr>
            <w:r>
              <w:rPr>
                <w:rFonts w:hint="eastAsia" w:ascii="仿宋" w:hAnsi="仿宋" w:eastAsia="仿宋" w:cs="仿宋"/>
                <w:b/>
                <w:bCs/>
                <w:color w:val="000000"/>
                <w:kern w:val="0"/>
                <w:sz w:val="30"/>
                <w:szCs w:val="30"/>
              </w:rPr>
              <w:t>请</w:t>
            </w:r>
          </w:p>
        </w:tc>
        <w:tc>
          <w:tcPr>
            <w:tcW w:w="7847" w:type="dxa"/>
            <w:gridSpan w:val="2"/>
            <w:noWrap w:val="0"/>
            <w:vAlign w:val="top"/>
          </w:tcPr>
          <w:p>
            <w:pPr>
              <w:pageBreakBefore w:val="0"/>
              <w:widowControl/>
              <w:topLinePunct w:val="0"/>
              <w:bidi w:val="0"/>
              <w:spacing w:line="400" w:lineRule="exact"/>
              <w:outlineLvl w:val="9"/>
              <w:rPr>
                <w:rFonts w:hint="eastAsia" w:ascii="仿宋" w:hAnsi="仿宋" w:eastAsia="仿宋" w:cs="仿宋"/>
                <w:b/>
                <w:bCs/>
                <w:color w:val="000000"/>
                <w:kern w:val="0"/>
                <w:sz w:val="30"/>
                <w:szCs w:val="30"/>
                <w:u w:val="single"/>
              </w:rPr>
            </w:pPr>
            <w:r>
              <w:rPr>
                <w:rFonts w:hint="eastAsia" w:ascii="仿宋" w:hAnsi="仿宋" w:eastAsia="仿宋" w:cs="仿宋"/>
                <w:b/>
                <w:bCs/>
                <w:color w:val="000000"/>
                <w:kern w:val="0"/>
                <w:sz w:val="30"/>
                <w:szCs w:val="30"/>
                <w:u w:val="single"/>
              </w:rPr>
              <w:t>具体征订内容</w:t>
            </w:r>
            <w:r>
              <w:rPr>
                <w:rFonts w:ascii="仿宋" w:hAnsi="仿宋" w:eastAsia="仿宋" w:cs="仿宋"/>
                <w:b/>
                <w:bCs/>
                <w:color w:val="000000"/>
                <w:kern w:val="0"/>
                <w:sz w:val="30"/>
                <w:szCs w:val="30"/>
                <w:u w:val="single"/>
              </w:rPr>
              <w:t>请附教材征订</w:t>
            </w:r>
            <w:r>
              <w:rPr>
                <w:rFonts w:hint="eastAsia" w:ascii="仿宋" w:hAnsi="仿宋" w:eastAsia="仿宋" w:cs="仿宋"/>
                <w:b/>
                <w:bCs/>
                <w:color w:val="000000"/>
                <w:kern w:val="0"/>
                <w:sz w:val="30"/>
                <w:szCs w:val="30"/>
                <w:u w:val="single"/>
              </w:rPr>
              <w:t>表</w:t>
            </w:r>
            <w:r>
              <w:rPr>
                <w:rFonts w:ascii="仿宋" w:hAnsi="仿宋" w:eastAsia="仿宋" w:cs="仿宋"/>
                <w:b/>
                <w:bCs/>
                <w:color w:val="000000"/>
                <w:kern w:val="0"/>
                <w:sz w:val="30"/>
                <w:szCs w:val="30"/>
                <w:u w:val="single"/>
              </w:rPr>
              <w:t>在后面</w:t>
            </w:r>
            <w:r>
              <w:rPr>
                <w:rFonts w:hint="eastAsia" w:ascii="仿宋" w:hAnsi="仿宋" w:eastAsia="仿宋" w:cs="仿宋"/>
                <w:b/>
                <w:bCs/>
                <w:color w:val="000000"/>
                <w:kern w:val="0"/>
                <w:sz w:val="30"/>
                <w:szCs w:val="30"/>
                <w:u w:val="single"/>
              </w:rPr>
              <w:t>盖骑缝章</w:t>
            </w:r>
          </w:p>
          <w:p>
            <w:pPr>
              <w:pageBreakBefore w:val="0"/>
              <w:widowControl/>
              <w:topLinePunct w:val="0"/>
              <w:bidi w:val="0"/>
              <w:spacing w:line="400" w:lineRule="exact"/>
              <w:outlineLvl w:val="9"/>
              <w:rPr>
                <w:rFonts w:ascii="仿宋" w:hAnsi="仿宋" w:eastAsia="仿宋" w:cs="仿宋"/>
                <w:b/>
                <w:bCs/>
                <w:color w:val="000000"/>
                <w:kern w:val="0"/>
                <w:sz w:val="30"/>
                <w:szCs w:val="30"/>
                <w:u w:val="single"/>
              </w:rPr>
            </w:pPr>
          </w:p>
          <w:p>
            <w:pPr>
              <w:pageBreakBefore w:val="0"/>
              <w:widowControl/>
              <w:topLinePunct w:val="0"/>
              <w:bidi w:val="0"/>
              <w:spacing w:line="400" w:lineRule="exact"/>
              <w:outlineLvl w:val="9"/>
              <w:rPr>
                <w:rFonts w:ascii="仿宋" w:hAnsi="仿宋" w:eastAsia="仿宋" w:cs="仿宋"/>
                <w:b/>
                <w:bCs/>
                <w:color w:val="000000"/>
                <w:kern w:val="0"/>
                <w:sz w:val="30"/>
                <w:szCs w:val="30"/>
                <w:u w:val="single"/>
              </w:rPr>
            </w:pPr>
          </w:p>
          <w:p>
            <w:pPr>
              <w:pageBreakBefore w:val="0"/>
              <w:widowControl/>
              <w:topLinePunct w:val="0"/>
              <w:bidi w:val="0"/>
              <w:spacing w:line="400" w:lineRule="exact"/>
              <w:outlineLvl w:val="9"/>
              <w:rPr>
                <w:rFonts w:ascii="仿宋" w:hAnsi="仿宋" w:eastAsia="仿宋" w:cs="仿宋"/>
                <w:b/>
                <w:bCs/>
                <w:color w:val="000000"/>
                <w:kern w:val="0"/>
                <w:sz w:val="30"/>
                <w:szCs w:val="30"/>
                <w:u w:val="single"/>
              </w:rPr>
            </w:pPr>
          </w:p>
          <w:p>
            <w:pPr>
              <w:pageBreakBefore w:val="0"/>
              <w:widowControl/>
              <w:topLinePunct w:val="0"/>
              <w:bidi w:val="0"/>
              <w:spacing w:line="400" w:lineRule="exact"/>
              <w:ind w:firstLine="3162" w:firstLineChars="1050"/>
              <w:outlineLvl w:val="9"/>
              <w:rPr>
                <w:rFonts w:ascii="仿宋" w:hAnsi="仿宋" w:eastAsia="仿宋" w:cs="仿宋"/>
                <w:b/>
                <w:bCs/>
                <w:color w:val="000000"/>
                <w:kern w:val="0"/>
                <w:sz w:val="30"/>
                <w:szCs w:val="30"/>
              </w:rPr>
            </w:pPr>
            <w:r>
              <w:rPr>
                <w:rFonts w:ascii="仿宋" w:hAnsi="仿宋" w:eastAsia="仿宋" w:cs="仿宋"/>
                <w:b/>
                <w:bCs/>
                <w:color w:val="000000"/>
                <w:kern w:val="0"/>
                <w:sz w:val="30"/>
                <w:szCs w:val="30"/>
              </w:rPr>
              <w:t>学院</w:t>
            </w:r>
            <w:r>
              <w:rPr>
                <w:rFonts w:hint="eastAsia" w:ascii="仿宋" w:hAnsi="仿宋" w:eastAsia="仿宋" w:cs="仿宋"/>
                <w:b/>
                <w:bCs/>
                <w:color w:val="000000"/>
                <w:kern w:val="0"/>
                <w:sz w:val="30"/>
                <w:szCs w:val="30"/>
              </w:rPr>
              <w:t>教务秘书：</w:t>
            </w:r>
            <w:r>
              <w:rPr>
                <w:rFonts w:ascii="仿宋" w:hAnsi="仿宋" w:eastAsia="仿宋" w:cs="仿宋"/>
                <w:b/>
                <w:bCs/>
                <w:color w:val="000000"/>
                <w:kern w:val="0"/>
                <w:sz w:val="30"/>
                <w:szCs w:val="30"/>
              </w:rPr>
              <w:t xml:space="preserve"> </w:t>
            </w:r>
          </w:p>
          <w:p>
            <w:pPr>
              <w:pageBreakBefore w:val="0"/>
              <w:widowControl/>
              <w:topLinePunct w:val="0"/>
              <w:bidi w:val="0"/>
              <w:spacing w:line="400" w:lineRule="exact"/>
              <w:ind w:firstLine="4367" w:firstLineChars="1450"/>
              <w:outlineLvl w:val="9"/>
              <w:rPr>
                <w:rFonts w:hint="eastAsia" w:ascii="仿宋" w:hAnsi="仿宋" w:eastAsia="仿宋" w:cs="仿宋"/>
                <w:b/>
                <w:bCs/>
                <w:color w:val="000000"/>
                <w:kern w:val="0"/>
                <w:sz w:val="30"/>
                <w:szCs w:val="30"/>
                <w:u w:val="single"/>
              </w:rPr>
            </w:pPr>
            <w:r>
              <w:rPr>
                <w:rFonts w:hint="eastAsia" w:ascii="仿宋" w:hAnsi="仿宋" w:eastAsia="仿宋" w:cs="仿宋"/>
                <w:b/>
                <w:bCs/>
                <w:color w:val="000000"/>
                <w:kern w:val="0"/>
                <w:sz w:val="30"/>
                <w:szCs w:val="30"/>
              </w:rPr>
              <w:t>时间</w:t>
            </w:r>
            <w:r>
              <w:rPr>
                <w:rFonts w:ascii="仿宋" w:hAnsi="仿宋" w:eastAsia="仿宋" w:cs="仿宋"/>
                <w:b/>
                <w:bCs/>
                <w:color w:val="000000"/>
                <w:kern w:val="0"/>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0" w:hRule="atLeast"/>
        </w:trPr>
        <w:tc>
          <w:tcPr>
            <w:tcW w:w="675" w:type="dxa"/>
            <w:noWrap w:val="0"/>
            <w:vAlign w:val="top"/>
          </w:tcPr>
          <w:p>
            <w:pPr>
              <w:pageBreakBefore w:val="0"/>
              <w:widowControl/>
              <w:topLinePunct w:val="0"/>
              <w:bidi w:val="0"/>
              <w:spacing w:line="400" w:lineRule="exact"/>
              <w:outlineLvl w:val="9"/>
              <w:rPr>
                <w:rFonts w:ascii="仿宋" w:hAnsi="仿宋" w:eastAsia="仿宋" w:cs="仿宋"/>
                <w:b/>
                <w:bCs/>
                <w:color w:val="000000"/>
                <w:kern w:val="0"/>
                <w:sz w:val="30"/>
                <w:szCs w:val="30"/>
              </w:rPr>
            </w:pPr>
          </w:p>
          <w:p>
            <w:pPr>
              <w:pageBreakBefore w:val="0"/>
              <w:widowControl/>
              <w:topLinePunct w:val="0"/>
              <w:bidi w:val="0"/>
              <w:spacing w:line="400" w:lineRule="exact"/>
              <w:outlineLvl w:val="9"/>
              <w:rPr>
                <w:rFonts w:hint="eastAsia" w:ascii="仿宋" w:hAnsi="仿宋" w:eastAsia="仿宋" w:cs="仿宋"/>
                <w:b/>
                <w:bCs/>
                <w:color w:val="000000"/>
                <w:kern w:val="0"/>
                <w:sz w:val="30"/>
                <w:szCs w:val="30"/>
              </w:rPr>
            </w:pPr>
            <w:r>
              <w:rPr>
                <w:rFonts w:hint="eastAsia" w:ascii="仿宋" w:hAnsi="仿宋" w:eastAsia="仿宋" w:cs="仿宋"/>
                <w:b/>
                <w:bCs/>
                <w:color w:val="000000"/>
                <w:kern w:val="0"/>
                <w:sz w:val="30"/>
                <w:szCs w:val="30"/>
              </w:rPr>
              <w:t>教材</w:t>
            </w:r>
          </w:p>
          <w:p>
            <w:pPr>
              <w:pageBreakBefore w:val="0"/>
              <w:widowControl/>
              <w:topLinePunct w:val="0"/>
              <w:bidi w:val="0"/>
              <w:spacing w:line="400" w:lineRule="exact"/>
              <w:outlineLvl w:val="9"/>
              <w:rPr>
                <w:rFonts w:ascii="仿宋" w:hAnsi="仿宋" w:eastAsia="仿宋" w:cs="仿宋"/>
                <w:b/>
                <w:bCs/>
                <w:color w:val="000000"/>
                <w:kern w:val="0"/>
                <w:sz w:val="30"/>
                <w:szCs w:val="30"/>
              </w:rPr>
            </w:pPr>
            <w:r>
              <w:rPr>
                <w:rFonts w:hint="eastAsia" w:ascii="仿宋" w:hAnsi="仿宋" w:eastAsia="仿宋" w:cs="仿宋"/>
                <w:b/>
                <w:bCs/>
                <w:color w:val="000000"/>
                <w:kern w:val="0"/>
                <w:sz w:val="30"/>
                <w:szCs w:val="30"/>
              </w:rPr>
              <w:t>分委会意见</w:t>
            </w:r>
          </w:p>
          <w:p>
            <w:pPr>
              <w:pageBreakBefore w:val="0"/>
              <w:widowControl/>
              <w:topLinePunct w:val="0"/>
              <w:bidi w:val="0"/>
              <w:spacing w:line="400" w:lineRule="exact"/>
              <w:outlineLvl w:val="9"/>
              <w:rPr>
                <w:rFonts w:hint="eastAsia" w:ascii="仿宋" w:hAnsi="仿宋" w:eastAsia="仿宋" w:cs="仿宋"/>
                <w:b/>
                <w:bCs/>
                <w:color w:val="000000"/>
                <w:kern w:val="0"/>
                <w:sz w:val="30"/>
                <w:szCs w:val="30"/>
              </w:rPr>
            </w:pPr>
          </w:p>
        </w:tc>
        <w:tc>
          <w:tcPr>
            <w:tcW w:w="7847" w:type="dxa"/>
            <w:gridSpan w:val="2"/>
            <w:noWrap w:val="0"/>
            <w:vAlign w:val="top"/>
          </w:tcPr>
          <w:p>
            <w:pPr>
              <w:pageBreakBefore w:val="0"/>
              <w:widowControl/>
              <w:topLinePunct w:val="0"/>
              <w:bidi w:val="0"/>
              <w:spacing w:line="400" w:lineRule="exact"/>
              <w:outlineLvl w:val="9"/>
              <w:rPr>
                <w:rFonts w:ascii="仿宋" w:hAnsi="仿宋" w:eastAsia="仿宋" w:cs="仿宋"/>
                <w:b/>
                <w:bCs/>
                <w:color w:val="000000"/>
                <w:kern w:val="0"/>
                <w:sz w:val="30"/>
                <w:szCs w:val="30"/>
              </w:rPr>
            </w:pPr>
            <w:r>
              <w:rPr>
                <w:rFonts w:hint="eastAsia" w:ascii="仿宋" w:hAnsi="仿宋" w:eastAsia="仿宋" w:cs="仿宋"/>
                <w:b/>
                <w:bCs/>
                <w:color w:val="000000"/>
                <w:kern w:val="0"/>
                <w:sz w:val="30"/>
                <w:szCs w:val="30"/>
              </w:rPr>
              <w:t>（教材分委会</w:t>
            </w:r>
            <w:r>
              <w:rPr>
                <w:rFonts w:ascii="仿宋" w:hAnsi="仿宋" w:eastAsia="仿宋" w:cs="仿宋"/>
                <w:b/>
                <w:bCs/>
                <w:color w:val="000000"/>
                <w:kern w:val="0"/>
                <w:sz w:val="30"/>
                <w:szCs w:val="30"/>
              </w:rPr>
              <w:t>对教材质量、内容方面进行审核</w:t>
            </w:r>
            <w:r>
              <w:rPr>
                <w:rFonts w:hint="eastAsia" w:ascii="仿宋" w:hAnsi="仿宋" w:eastAsia="仿宋" w:cs="仿宋"/>
                <w:b/>
                <w:bCs/>
                <w:color w:val="000000"/>
                <w:kern w:val="0"/>
                <w:sz w:val="30"/>
                <w:szCs w:val="30"/>
              </w:rPr>
              <w:t>，</w:t>
            </w:r>
            <w:r>
              <w:rPr>
                <w:rFonts w:ascii="仿宋" w:hAnsi="仿宋" w:eastAsia="仿宋" w:cs="仿宋"/>
                <w:b/>
                <w:bCs/>
                <w:color w:val="000000"/>
                <w:kern w:val="0"/>
                <w:sz w:val="30"/>
                <w:szCs w:val="30"/>
              </w:rPr>
              <w:t>分管领导</w:t>
            </w:r>
            <w:r>
              <w:rPr>
                <w:rFonts w:hint="eastAsia" w:ascii="仿宋" w:hAnsi="仿宋" w:eastAsia="仿宋" w:cs="仿宋"/>
                <w:b/>
                <w:bCs/>
                <w:color w:val="000000"/>
                <w:kern w:val="0"/>
                <w:sz w:val="30"/>
                <w:szCs w:val="30"/>
              </w:rPr>
              <w:t>签署</w:t>
            </w:r>
            <w:r>
              <w:rPr>
                <w:rFonts w:ascii="仿宋" w:hAnsi="仿宋" w:eastAsia="仿宋" w:cs="仿宋"/>
                <w:b/>
                <w:bCs/>
                <w:color w:val="000000"/>
                <w:kern w:val="0"/>
                <w:sz w:val="30"/>
                <w:szCs w:val="30"/>
              </w:rPr>
              <w:t>意见）</w:t>
            </w:r>
          </w:p>
          <w:p>
            <w:pPr>
              <w:pageBreakBefore w:val="0"/>
              <w:widowControl/>
              <w:topLinePunct w:val="0"/>
              <w:bidi w:val="0"/>
              <w:spacing w:line="400" w:lineRule="exact"/>
              <w:outlineLvl w:val="9"/>
              <w:rPr>
                <w:rFonts w:ascii="仿宋" w:hAnsi="仿宋" w:eastAsia="仿宋" w:cs="仿宋"/>
                <w:b/>
                <w:bCs/>
                <w:color w:val="000000"/>
                <w:kern w:val="0"/>
                <w:sz w:val="30"/>
                <w:szCs w:val="30"/>
              </w:rPr>
            </w:pPr>
          </w:p>
          <w:p>
            <w:pPr>
              <w:pageBreakBefore w:val="0"/>
              <w:widowControl/>
              <w:topLinePunct w:val="0"/>
              <w:bidi w:val="0"/>
              <w:spacing w:line="400" w:lineRule="exact"/>
              <w:outlineLvl w:val="9"/>
              <w:rPr>
                <w:rFonts w:ascii="仿宋" w:hAnsi="仿宋" w:eastAsia="仿宋" w:cs="仿宋"/>
                <w:b/>
                <w:bCs/>
                <w:color w:val="000000"/>
                <w:kern w:val="0"/>
                <w:sz w:val="30"/>
                <w:szCs w:val="30"/>
              </w:rPr>
            </w:pPr>
          </w:p>
          <w:p>
            <w:pPr>
              <w:pageBreakBefore w:val="0"/>
              <w:widowControl/>
              <w:topLinePunct w:val="0"/>
              <w:bidi w:val="0"/>
              <w:spacing w:line="400" w:lineRule="exact"/>
              <w:ind w:firstLine="3313" w:firstLineChars="1100"/>
              <w:outlineLvl w:val="9"/>
              <w:rPr>
                <w:rFonts w:hint="eastAsia" w:ascii="仿宋" w:hAnsi="仿宋" w:eastAsia="仿宋" w:cs="仿宋"/>
                <w:b/>
                <w:bCs/>
                <w:color w:val="000000"/>
                <w:kern w:val="0"/>
                <w:sz w:val="30"/>
                <w:szCs w:val="30"/>
              </w:rPr>
            </w:pPr>
          </w:p>
          <w:p>
            <w:pPr>
              <w:pageBreakBefore w:val="0"/>
              <w:widowControl/>
              <w:topLinePunct w:val="0"/>
              <w:bidi w:val="0"/>
              <w:spacing w:line="400" w:lineRule="exact"/>
              <w:ind w:left="2247" w:leftChars="1070"/>
              <w:outlineLvl w:val="9"/>
              <w:rPr>
                <w:rFonts w:hint="eastAsia" w:ascii="仿宋" w:hAnsi="仿宋" w:eastAsia="仿宋" w:cs="仿宋"/>
                <w:b/>
                <w:bCs/>
                <w:color w:val="000000"/>
                <w:kern w:val="0"/>
                <w:sz w:val="30"/>
                <w:szCs w:val="30"/>
              </w:rPr>
            </w:pPr>
            <w:r>
              <w:rPr>
                <w:rFonts w:hint="eastAsia" w:ascii="仿宋" w:hAnsi="仿宋" w:eastAsia="仿宋" w:cs="仿宋"/>
                <w:b/>
                <w:bCs/>
                <w:color w:val="000000"/>
                <w:kern w:val="0"/>
                <w:sz w:val="30"/>
                <w:szCs w:val="30"/>
              </w:rPr>
              <w:t>二级学院教材分委会主任</w:t>
            </w:r>
            <w:r>
              <w:rPr>
                <w:rFonts w:ascii="仿宋" w:hAnsi="仿宋" w:eastAsia="仿宋" w:cs="仿宋"/>
                <w:b/>
                <w:bCs/>
                <w:color w:val="000000"/>
                <w:kern w:val="0"/>
                <w:sz w:val="30"/>
                <w:szCs w:val="30"/>
              </w:rPr>
              <w:t>：</w:t>
            </w:r>
          </w:p>
          <w:p>
            <w:pPr>
              <w:pageBreakBefore w:val="0"/>
              <w:widowControl/>
              <w:topLinePunct w:val="0"/>
              <w:bidi w:val="0"/>
              <w:spacing w:line="400" w:lineRule="exact"/>
              <w:ind w:left="2247" w:leftChars="1070"/>
              <w:outlineLvl w:val="9"/>
              <w:rPr>
                <w:rFonts w:ascii="仿宋" w:hAnsi="仿宋" w:eastAsia="仿宋" w:cs="仿宋"/>
                <w:b/>
                <w:bCs/>
                <w:color w:val="000000"/>
                <w:kern w:val="0"/>
                <w:sz w:val="30"/>
                <w:szCs w:val="30"/>
              </w:rPr>
            </w:pPr>
            <w:r>
              <w:rPr>
                <w:rFonts w:hint="eastAsia" w:ascii="仿宋" w:hAnsi="仿宋" w:eastAsia="仿宋" w:cs="仿宋"/>
                <w:b/>
                <w:bCs/>
                <w:color w:val="000000"/>
                <w:kern w:val="0"/>
                <w:sz w:val="30"/>
                <w:szCs w:val="30"/>
              </w:rPr>
              <w:t>(签字)</w:t>
            </w:r>
            <w:r>
              <w:rPr>
                <w:rFonts w:ascii="仿宋" w:hAnsi="仿宋" w:eastAsia="仿宋" w:cs="仿宋"/>
                <w:b/>
                <w:bCs/>
                <w:color w:val="000000"/>
                <w:kern w:val="0"/>
                <w:sz w:val="30"/>
                <w:szCs w:val="30"/>
              </w:rPr>
              <w:t xml:space="preserve"> </w:t>
            </w:r>
          </w:p>
          <w:p>
            <w:pPr>
              <w:pageBreakBefore w:val="0"/>
              <w:widowControl/>
              <w:topLinePunct w:val="0"/>
              <w:bidi w:val="0"/>
              <w:spacing w:line="400" w:lineRule="exact"/>
              <w:ind w:firstLine="4518" w:firstLineChars="1500"/>
              <w:outlineLvl w:val="9"/>
              <w:rPr>
                <w:rFonts w:hint="eastAsia" w:ascii="仿宋" w:hAnsi="仿宋" w:eastAsia="仿宋" w:cs="仿宋"/>
                <w:b/>
                <w:bCs/>
                <w:color w:val="000000"/>
                <w:kern w:val="0"/>
                <w:sz w:val="30"/>
                <w:szCs w:val="30"/>
              </w:rPr>
            </w:pPr>
          </w:p>
          <w:p>
            <w:pPr>
              <w:pageBreakBefore w:val="0"/>
              <w:widowControl/>
              <w:topLinePunct w:val="0"/>
              <w:bidi w:val="0"/>
              <w:spacing w:line="400" w:lineRule="exact"/>
              <w:ind w:firstLine="4518" w:firstLineChars="1500"/>
              <w:outlineLvl w:val="9"/>
              <w:rPr>
                <w:rFonts w:hint="eastAsia" w:ascii="仿宋" w:hAnsi="仿宋" w:eastAsia="仿宋" w:cs="仿宋"/>
                <w:b/>
                <w:bCs/>
                <w:color w:val="000000"/>
                <w:kern w:val="0"/>
                <w:sz w:val="30"/>
                <w:szCs w:val="30"/>
              </w:rPr>
            </w:pPr>
          </w:p>
          <w:p>
            <w:pPr>
              <w:pageBreakBefore w:val="0"/>
              <w:widowControl/>
              <w:topLinePunct w:val="0"/>
              <w:bidi w:val="0"/>
              <w:spacing w:line="400" w:lineRule="exact"/>
              <w:ind w:firstLine="4518" w:firstLineChars="1500"/>
              <w:outlineLvl w:val="9"/>
              <w:rPr>
                <w:rFonts w:hint="eastAsia" w:ascii="仿宋" w:hAnsi="仿宋" w:eastAsia="仿宋" w:cs="仿宋"/>
                <w:b/>
                <w:bCs/>
                <w:color w:val="000000"/>
                <w:kern w:val="0"/>
                <w:sz w:val="30"/>
                <w:szCs w:val="30"/>
              </w:rPr>
            </w:pPr>
          </w:p>
          <w:p>
            <w:pPr>
              <w:pageBreakBefore w:val="0"/>
              <w:widowControl/>
              <w:topLinePunct w:val="0"/>
              <w:bidi w:val="0"/>
              <w:spacing w:line="400" w:lineRule="exact"/>
              <w:ind w:firstLine="4518" w:firstLineChars="1500"/>
              <w:outlineLvl w:val="9"/>
              <w:rPr>
                <w:rFonts w:hint="eastAsia" w:ascii="仿宋" w:hAnsi="仿宋" w:eastAsia="仿宋" w:cs="仿宋"/>
                <w:b/>
                <w:bCs/>
                <w:color w:val="000000"/>
                <w:kern w:val="0"/>
                <w:sz w:val="30"/>
                <w:szCs w:val="30"/>
              </w:rPr>
            </w:pPr>
            <w:r>
              <w:rPr>
                <w:rFonts w:hint="eastAsia" w:ascii="仿宋" w:hAnsi="仿宋" w:eastAsia="仿宋" w:cs="仿宋"/>
                <w:b/>
                <w:bCs/>
                <w:color w:val="000000"/>
                <w:kern w:val="0"/>
                <w:sz w:val="30"/>
                <w:szCs w:val="30"/>
              </w:rPr>
              <w:t>时间</w:t>
            </w:r>
            <w:r>
              <w:rPr>
                <w:rFonts w:ascii="仿宋" w:hAnsi="仿宋" w:eastAsia="仿宋" w:cs="仿宋"/>
                <w:b/>
                <w:bCs/>
                <w:color w:val="000000"/>
                <w:kern w:val="0"/>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top"/>
          </w:tcPr>
          <w:p>
            <w:pPr>
              <w:pageBreakBefore w:val="0"/>
              <w:widowControl/>
              <w:topLinePunct w:val="0"/>
              <w:bidi w:val="0"/>
              <w:spacing w:line="400" w:lineRule="exact"/>
              <w:outlineLvl w:val="9"/>
              <w:rPr>
                <w:rFonts w:hint="eastAsia" w:ascii="仿宋" w:hAnsi="仿宋" w:eastAsia="仿宋" w:cs="仿宋"/>
                <w:b/>
                <w:bCs/>
                <w:color w:val="000000"/>
                <w:kern w:val="0"/>
                <w:sz w:val="30"/>
                <w:szCs w:val="30"/>
              </w:rPr>
            </w:pPr>
          </w:p>
          <w:p>
            <w:pPr>
              <w:pageBreakBefore w:val="0"/>
              <w:widowControl/>
              <w:topLinePunct w:val="0"/>
              <w:bidi w:val="0"/>
              <w:spacing w:line="400" w:lineRule="exact"/>
              <w:outlineLvl w:val="9"/>
              <w:rPr>
                <w:rFonts w:hint="eastAsia" w:ascii="仿宋" w:hAnsi="仿宋" w:eastAsia="仿宋" w:cs="仿宋"/>
                <w:b/>
                <w:bCs/>
                <w:color w:val="000000"/>
                <w:kern w:val="0"/>
                <w:sz w:val="30"/>
                <w:szCs w:val="30"/>
              </w:rPr>
            </w:pPr>
            <w:r>
              <w:rPr>
                <w:rFonts w:hint="eastAsia" w:ascii="仿宋" w:hAnsi="仿宋" w:eastAsia="仿宋" w:cs="仿宋"/>
                <w:b/>
                <w:bCs/>
                <w:color w:val="000000"/>
                <w:kern w:val="0"/>
                <w:sz w:val="30"/>
                <w:szCs w:val="30"/>
              </w:rPr>
              <w:t>教材委员会意见</w:t>
            </w:r>
          </w:p>
        </w:tc>
        <w:tc>
          <w:tcPr>
            <w:tcW w:w="7847" w:type="dxa"/>
            <w:gridSpan w:val="2"/>
            <w:noWrap w:val="0"/>
            <w:vAlign w:val="top"/>
          </w:tcPr>
          <w:p>
            <w:pPr>
              <w:pageBreakBefore w:val="0"/>
              <w:widowControl/>
              <w:topLinePunct w:val="0"/>
              <w:bidi w:val="0"/>
              <w:spacing w:line="400" w:lineRule="exact"/>
              <w:outlineLvl w:val="9"/>
              <w:rPr>
                <w:rFonts w:ascii="仿宋" w:hAnsi="仿宋" w:eastAsia="仿宋" w:cs="仿宋"/>
                <w:b/>
                <w:bCs/>
                <w:color w:val="000000"/>
                <w:kern w:val="0"/>
                <w:sz w:val="30"/>
                <w:szCs w:val="30"/>
              </w:rPr>
            </w:pPr>
            <w:r>
              <w:rPr>
                <w:rFonts w:ascii="仿宋" w:hAnsi="仿宋" w:eastAsia="仿宋" w:cs="仿宋"/>
                <w:b/>
                <w:bCs/>
                <w:color w:val="000000"/>
                <w:kern w:val="0"/>
                <w:sz w:val="30"/>
                <w:szCs w:val="30"/>
              </w:rPr>
              <w:t>签署意见</w:t>
            </w:r>
          </w:p>
          <w:p>
            <w:pPr>
              <w:pageBreakBefore w:val="0"/>
              <w:widowControl/>
              <w:topLinePunct w:val="0"/>
              <w:bidi w:val="0"/>
              <w:spacing w:line="400" w:lineRule="exact"/>
              <w:jc w:val="right"/>
              <w:outlineLvl w:val="9"/>
              <w:rPr>
                <w:rFonts w:ascii="仿宋" w:hAnsi="仿宋" w:eastAsia="仿宋" w:cs="仿宋"/>
                <w:b/>
                <w:bCs/>
                <w:color w:val="000000"/>
                <w:kern w:val="0"/>
                <w:sz w:val="30"/>
                <w:szCs w:val="30"/>
              </w:rPr>
            </w:pPr>
          </w:p>
          <w:p>
            <w:pPr>
              <w:pageBreakBefore w:val="0"/>
              <w:widowControl/>
              <w:topLinePunct w:val="0"/>
              <w:bidi w:val="0"/>
              <w:spacing w:line="400" w:lineRule="exact"/>
              <w:jc w:val="right"/>
              <w:outlineLvl w:val="9"/>
              <w:rPr>
                <w:rFonts w:ascii="仿宋" w:hAnsi="仿宋" w:eastAsia="仿宋" w:cs="仿宋"/>
                <w:b/>
                <w:bCs/>
                <w:color w:val="000000"/>
                <w:kern w:val="0"/>
                <w:sz w:val="30"/>
                <w:szCs w:val="30"/>
              </w:rPr>
            </w:pPr>
          </w:p>
          <w:p>
            <w:pPr>
              <w:pageBreakBefore w:val="0"/>
              <w:widowControl/>
              <w:topLinePunct w:val="0"/>
              <w:bidi w:val="0"/>
              <w:spacing w:line="400" w:lineRule="exact"/>
              <w:outlineLvl w:val="9"/>
              <w:rPr>
                <w:rFonts w:hint="eastAsia" w:ascii="仿宋" w:hAnsi="仿宋" w:eastAsia="仿宋" w:cs="仿宋"/>
                <w:b/>
                <w:bCs/>
                <w:color w:val="000000"/>
                <w:kern w:val="0"/>
                <w:sz w:val="30"/>
                <w:szCs w:val="30"/>
              </w:rPr>
            </w:pPr>
          </w:p>
          <w:p>
            <w:pPr>
              <w:pageBreakBefore w:val="0"/>
              <w:widowControl/>
              <w:topLinePunct w:val="0"/>
              <w:bidi w:val="0"/>
              <w:spacing w:line="400" w:lineRule="exact"/>
              <w:jc w:val="right"/>
              <w:outlineLvl w:val="9"/>
              <w:rPr>
                <w:rFonts w:hint="eastAsia" w:ascii="仿宋" w:hAnsi="仿宋" w:eastAsia="仿宋" w:cs="仿宋"/>
                <w:b/>
                <w:bCs/>
                <w:color w:val="000000"/>
                <w:kern w:val="0"/>
                <w:sz w:val="30"/>
                <w:szCs w:val="30"/>
              </w:rPr>
            </w:pPr>
          </w:p>
          <w:p>
            <w:pPr>
              <w:pageBreakBefore w:val="0"/>
              <w:widowControl/>
              <w:topLinePunct w:val="0"/>
              <w:bidi w:val="0"/>
              <w:spacing w:line="400" w:lineRule="exact"/>
              <w:jc w:val="right"/>
              <w:outlineLvl w:val="9"/>
              <w:rPr>
                <w:rFonts w:hint="eastAsia" w:ascii="仿宋" w:hAnsi="仿宋" w:eastAsia="仿宋" w:cs="仿宋"/>
                <w:b/>
                <w:bCs/>
                <w:color w:val="000000"/>
                <w:kern w:val="0"/>
                <w:sz w:val="30"/>
                <w:szCs w:val="30"/>
              </w:rPr>
            </w:pPr>
          </w:p>
          <w:p>
            <w:pPr>
              <w:pageBreakBefore w:val="0"/>
              <w:widowControl/>
              <w:topLinePunct w:val="0"/>
              <w:bidi w:val="0"/>
              <w:spacing w:line="400" w:lineRule="exact"/>
              <w:jc w:val="center"/>
              <w:outlineLvl w:val="9"/>
              <w:rPr>
                <w:rFonts w:ascii="仿宋" w:hAnsi="仿宋" w:eastAsia="仿宋" w:cs="仿宋"/>
                <w:b/>
                <w:bCs/>
                <w:color w:val="000000"/>
                <w:kern w:val="0"/>
                <w:sz w:val="30"/>
                <w:szCs w:val="30"/>
              </w:rPr>
            </w:pPr>
            <w:r>
              <w:rPr>
                <w:rFonts w:hint="eastAsia" w:ascii="仿宋" w:hAnsi="仿宋" w:eastAsia="仿宋" w:cs="仿宋"/>
                <w:b/>
                <w:bCs/>
                <w:color w:val="000000"/>
                <w:kern w:val="0"/>
                <w:sz w:val="30"/>
                <w:szCs w:val="30"/>
              </w:rPr>
              <w:t xml:space="preserve">        学校教材委员会主任</w:t>
            </w:r>
            <w:r>
              <w:rPr>
                <w:rFonts w:ascii="仿宋" w:hAnsi="仿宋" w:eastAsia="仿宋" w:cs="仿宋"/>
                <w:b/>
                <w:bCs/>
                <w:color w:val="000000"/>
                <w:kern w:val="0"/>
                <w:sz w:val="30"/>
                <w:szCs w:val="30"/>
              </w:rPr>
              <w:t>：</w:t>
            </w:r>
          </w:p>
          <w:p>
            <w:pPr>
              <w:pageBreakBefore w:val="0"/>
              <w:widowControl/>
              <w:topLinePunct w:val="0"/>
              <w:bidi w:val="0"/>
              <w:spacing w:line="400" w:lineRule="exact"/>
              <w:jc w:val="center"/>
              <w:outlineLvl w:val="9"/>
              <w:rPr>
                <w:rFonts w:hint="eastAsia" w:ascii="仿宋" w:hAnsi="仿宋" w:eastAsia="仿宋" w:cs="仿宋"/>
                <w:b/>
                <w:bCs/>
                <w:color w:val="000000"/>
                <w:kern w:val="0"/>
                <w:sz w:val="30"/>
                <w:szCs w:val="30"/>
              </w:rPr>
            </w:pPr>
            <w:r>
              <w:rPr>
                <w:rFonts w:hint="eastAsia" w:ascii="仿宋" w:hAnsi="仿宋" w:eastAsia="仿宋" w:cs="仿宋"/>
                <w:b/>
                <w:bCs/>
                <w:color w:val="000000"/>
                <w:kern w:val="0"/>
                <w:sz w:val="30"/>
                <w:szCs w:val="30"/>
              </w:rPr>
              <w:t xml:space="preserve">         （签字）</w:t>
            </w:r>
          </w:p>
          <w:p>
            <w:pPr>
              <w:pageBreakBefore w:val="0"/>
              <w:widowControl/>
              <w:topLinePunct w:val="0"/>
              <w:bidi w:val="0"/>
              <w:spacing w:line="400" w:lineRule="exact"/>
              <w:ind w:firstLine="4668" w:firstLineChars="1550"/>
              <w:outlineLvl w:val="9"/>
              <w:rPr>
                <w:rFonts w:hint="eastAsia" w:ascii="仿宋" w:hAnsi="仿宋" w:eastAsia="仿宋" w:cs="仿宋"/>
                <w:b/>
                <w:bCs/>
                <w:color w:val="000000"/>
                <w:kern w:val="0"/>
                <w:sz w:val="30"/>
                <w:szCs w:val="30"/>
              </w:rPr>
            </w:pPr>
          </w:p>
          <w:p>
            <w:pPr>
              <w:pageBreakBefore w:val="0"/>
              <w:widowControl/>
              <w:topLinePunct w:val="0"/>
              <w:bidi w:val="0"/>
              <w:spacing w:line="400" w:lineRule="exact"/>
              <w:ind w:firstLine="4668" w:firstLineChars="1550"/>
              <w:outlineLvl w:val="9"/>
              <w:rPr>
                <w:rFonts w:hint="eastAsia" w:ascii="仿宋" w:hAnsi="仿宋" w:eastAsia="仿宋" w:cs="仿宋"/>
                <w:b/>
                <w:bCs/>
                <w:color w:val="000000"/>
                <w:kern w:val="0"/>
                <w:sz w:val="30"/>
                <w:szCs w:val="30"/>
              </w:rPr>
            </w:pPr>
            <w:r>
              <w:rPr>
                <w:rFonts w:hint="eastAsia" w:ascii="仿宋" w:hAnsi="仿宋" w:eastAsia="仿宋" w:cs="仿宋"/>
                <w:b/>
                <w:bCs/>
                <w:color w:val="000000"/>
                <w:kern w:val="0"/>
                <w:sz w:val="30"/>
                <w:szCs w:val="30"/>
              </w:rPr>
              <w:t>时间</w:t>
            </w:r>
            <w:r>
              <w:rPr>
                <w:rFonts w:ascii="仿宋" w:hAnsi="仿宋" w:eastAsia="仿宋" w:cs="仿宋"/>
                <w:b/>
                <w:bCs/>
                <w:color w:val="000000"/>
                <w:kern w:val="0"/>
                <w:sz w:val="30"/>
                <w:szCs w:val="30"/>
              </w:rPr>
              <w:t>：</w:t>
            </w:r>
          </w:p>
        </w:tc>
      </w:tr>
    </w:tbl>
    <w:p>
      <w:pPr>
        <w:pageBreakBefore w:val="0"/>
        <w:widowControl/>
        <w:topLinePunct w:val="0"/>
        <w:bidi w:val="0"/>
        <w:adjustRightInd w:val="0"/>
        <w:snapToGrid w:val="0"/>
        <w:spacing w:line="360" w:lineRule="auto"/>
        <w:jc w:val="left"/>
        <w:outlineLvl w:val="9"/>
        <w:rPr>
          <w:rFonts w:ascii="宋体"/>
        </w:rPr>
      </w:pPr>
    </w:p>
    <w:p>
      <w:pPr>
        <w:pageBreakBefore w:val="0"/>
        <w:topLinePunct w:val="0"/>
        <w:bidi w:val="0"/>
        <w:jc w:val="center"/>
        <w:outlineLvl w:val="9"/>
        <w:rPr>
          <w:color w:val="FF0000"/>
          <w:sz w:val="24"/>
        </w:rPr>
      </w:pPr>
      <w:bookmarkStart w:id="324" w:name="_Toc13742"/>
      <w:bookmarkStart w:id="325" w:name="_Toc31182"/>
      <w:bookmarkStart w:id="326" w:name="_Toc3440"/>
      <w:bookmarkStart w:id="327" w:name="_Toc7867"/>
      <w:bookmarkStart w:id="328" w:name="_Toc29497"/>
      <w:bookmarkStart w:id="329" w:name="_Toc987"/>
      <w:bookmarkStart w:id="330" w:name="_Toc21457"/>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w:t>
      </w:r>
      <w:r>
        <w:rPr>
          <w:rFonts w:hint="eastAsia" w:ascii="仿宋_GB2312" w:eastAsia="仿宋_GB2312"/>
          <w:color w:val="000000"/>
          <w:kern w:val="0"/>
          <w:sz w:val="32"/>
          <w:szCs w:val="28"/>
        </w:rPr>
        <w:t>20〕128</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napToGrid w:val="0"/>
        <w:spacing w:before="312" w:beforeLines="100" w:line="5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p>
    <w:p>
      <w:pPr>
        <w:pStyle w:val="98"/>
        <w:pageBreakBefore w:val="0"/>
        <w:shd w:val="clear" w:color="auto" w:fill="FFFFFF"/>
        <w:topLinePunct w:val="0"/>
        <w:bidi w:val="0"/>
        <w:spacing w:before="0" w:beforeAutospacing="0" w:after="0" w:afterAutospacing="0" w:line="560" w:lineRule="exact"/>
        <w:jc w:val="center"/>
        <w:outlineLvl w:val="9"/>
        <w:rPr>
          <w:rFonts w:ascii="华文中宋" w:hAnsi="华文中宋" w:eastAsia="华文中宋" w:cs="华文中宋"/>
          <w:b/>
          <w:sz w:val="36"/>
          <w:szCs w:val="36"/>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b/>
          <w:color w:val="000000"/>
          <w:kern w:val="0"/>
          <w:sz w:val="36"/>
          <w:szCs w:val="36"/>
        </w:rPr>
      </w:pPr>
      <w:bookmarkStart w:id="331" w:name="_Toc26421"/>
      <w:r>
        <w:rPr>
          <w:rFonts w:hint="eastAsia" w:ascii="黑体" w:hAnsi="黑体" w:eastAsia="黑体" w:cs="黑体"/>
          <w:b/>
          <w:kern w:val="0"/>
          <w:sz w:val="36"/>
          <w:szCs w:val="36"/>
        </w:rPr>
        <w:t>关于印</w:t>
      </w:r>
      <w:r>
        <w:rPr>
          <w:rFonts w:hint="eastAsia" w:ascii="黑体" w:hAnsi="黑体" w:eastAsia="黑体" w:cs="黑体"/>
          <w:b/>
          <w:color w:val="000000"/>
          <w:kern w:val="0"/>
          <w:sz w:val="36"/>
          <w:szCs w:val="36"/>
        </w:rPr>
        <w:t>发《上海电子信息职业技术学院关于校本教材建设的若干意见》的通知</w:t>
      </w:r>
      <w:bookmarkEnd w:id="331"/>
    </w:p>
    <w:p>
      <w:pPr>
        <w:pageBreakBefore w:val="0"/>
        <w:topLinePunct w:val="0"/>
        <w:bidi w:val="0"/>
        <w:adjustRightInd w:val="0"/>
        <w:snapToGrid w:val="0"/>
        <w:spacing w:line="560" w:lineRule="exact"/>
        <w:outlineLvl w:val="9"/>
        <w:rPr>
          <w:rFonts w:ascii="仿宋_GB2312" w:eastAsia="仿宋_GB2312"/>
          <w:color w:val="000000"/>
          <w:kern w:val="0"/>
          <w:sz w:val="32"/>
          <w:szCs w:val="28"/>
        </w:rPr>
      </w:pPr>
    </w:p>
    <w:p>
      <w:pPr>
        <w:pageBreakBefore w:val="0"/>
        <w:topLinePunct w:val="0"/>
        <w:bidi w:val="0"/>
        <w:adjustRightInd w:val="0"/>
        <w:snapToGrid w:val="0"/>
        <w:spacing w:line="360" w:lineRule="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adjustRightInd w:val="0"/>
        <w:snapToGrid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现将《上海电子信息职业技术学院关于校本教材建设的若干意见》印发给你们，请结合本部门工作实际，认真研究执行。</w:t>
      </w:r>
      <w:r>
        <w:rPr>
          <w:rFonts w:hint="eastAsia" w:ascii="仿宋_GB2312" w:hAnsi="仿宋_GB2312" w:eastAsia="仿宋_GB2312" w:cs="仿宋_GB2312"/>
          <w:kern w:val="2"/>
          <w:sz w:val="28"/>
          <w:szCs w:val="28"/>
          <w:highlight w:val="none"/>
          <w:lang w:val="en-US" w:eastAsia="zh-CN" w:bidi="ar-SA"/>
        </w:rPr>
        <w:tab/>
      </w: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adjustRightInd w:val="0"/>
        <w:snapToGrid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adjustRightInd w:val="0"/>
        <w:snapToGrid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adjustRightInd w:val="0"/>
        <w:snapToGrid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adjustRightInd w:val="0"/>
        <w:snapToGrid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adjustRightInd w:val="0"/>
        <w:snapToGrid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adjustRightInd w:val="0"/>
        <w:snapToGrid w:val="0"/>
        <w:spacing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附件：上海电子信息职业技术学院关于校本教材建设的若干意见</w:t>
      </w:r>
    </w:p>
    <w:p>
      <w:pPr>
        <w:pageBreakBefore w:val="0"/>
        <w:topLinePunct w:val="0"/>
        <w:bidi w:val="0"/>
        <w:spacing w:line="360" w:lineRule="auto"/>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360" w:lineRule="auto"/>
        <w:ind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360" w:lineRule="auto"/>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2020年10月29日</w:t>
      </w:r>
    </w:p>
    <w:p>
      <w:pPr>
        <w:pageBreakBefore w:val="0"/>
        <w:topLinePunct w:val="0"/>
        <w:bidi w:val="0"/>
        <w:outlineLvl w:val="9"/>
        <w:rPr>
          <w:rFonts w:hint="eastAsia" w:ascii="仿宋" w:hAnsi="仿宋" w:eastAsia="仿宋" w:cs="仿宋"/>
          <w:color w:val="000000"/>
          <w:sz w:val="28"/>
          <w:szCs w:val="28"/>
        </w:rPr>
      </w:pPr>
    </w:p>
    <w:p>
      <w:pPr>
        <w:pageBreakBefore w:val="0"/>
        <w:topLinePunct w:val="0"/>
        <w:bidi w:val="0"/>
        <w:outlineLvl w:val="9"/>
        <w:rPr>
          <w:rFonts w:hint="eastAsia" w:ascii="仿宋" w:hAnsi="仿宋" w:eastAsia="仿宋" w:cs="仿宋"/>
          <w:color w:val="000000"/>
          <w:sz w:val="28"/>
          <w:szCs w:val="28"/>
        </w:rPr>
      </w:pPr>
      <w:r>
        <w:rPr>
          <w:rFonts w:hint="eastAsia" w:ascii="仿宋" w:hAnsi="仿宋" w:eastAsia="仿宋" w:cs="仿宋"/>
          <w:color w:val="000000"/>
          <w:sz w:val="28"/>
          <w:szCs w:val="28"/>
        </w:rPr>
        <w:t>附件：</w:t>
      </w:r>
    </w:p>
    <w:p>
      <w:pPr>
        <w:pageBreakBefore w:val="0"/>
        <w:topLinePunct w:val="0"/>
        <w:bidi w:val="0"/>
        <w:spacing w:after="312" w:afterLines="100" w:line="400" w:lineRule="exact"/>
        <w:jc w:val="center"/>
        <w:outlineLvl w:val="9"/>
        <w:rPr>
          <w:rFonts w:hint="eastAsia" w:ascii="黑体" w:hAnsi="黑体" w:eastAsia="黑体" w:cs="黑体"/>
          <w:b/>
          <w:color w:val="000000"/>
          <w:kern w:val="0"/>
          <w:sz w:val="36"/>
          <w:szCs w:val="36"/>
        </w:rPr>
      </w:pPr>
      <w:r>
        <w:rPr>
          <w:rFonts w:hint="eastAsia" w:ascii="黑体" w:hAnsi="黑体" w:eastAsia="黑体" w:cs="黑体"/>
          <w:b/>
          <w:color w:val="000000"/>
          <w:kern w:val="0"/>
          <w:sz w:val="36"/>
          <w:szCs w:val="36"/>
        </w:rPr>
        <w:t>上海电子信息职业技术学院</w:t>
      </w:r>
    </w:p>
    <w:p>
      <w:pPr>
        <w:pageBreakBefore w:val="0"/>
        <w:topLinePunct w:val="0"/>
        <w:bidi w:val="0"/>
        <w:spacing w:after="312" w:afterLines="100" w:line="400" w:lineRule="exact"/>
        <w:jc w:val="center"/>
        <w:outlineLvl w:val="9"/>
        <w:rPr>
          <w:rFonts w:hint="eastAsia" w:ascii="黑体" w:hAnsi="黑体" w:eastAsia="黑体" w:cs="黑体"/>
          <w:b/>
          <w:color w:val="000000"/>
          <w:kern w:val="0"/>
          <w:sz w:val="36"/>
          <w:szCs w:val="36"/>
        </w:rPr>
      </w:pPr>
      <w:r>
        <w:rPr>
          <w:rFonts w:hint="eastAsia" w:ascii="黑体" w:hAnsi="黑体" w:eastAsia="黑体" w:cs="黑体"/>
          <w:b/>
          <w:color w:val="000000"/>
          <w:kern w:val="0"/>
          <w:sz w:val="36"/>
          <w:szCs w:val="36"/>
        </w:rPr>
        <w:t>关于校本教材建设的若干意见</w:t>
      </w:r>
      <w:bookmarkEnd w:id="324"/>
      <w:bookmarkEnd w:id="325"/>
      <w:bookmarkEnd w:id="326"/>
      <w:bookmarkEnd w:id="327"/>
      <w:bookmarkEnd w:id="328"/>
      <w:bookmarkEnd w:id="329"/>
      <w:bookmarkEnd w:id="33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教材建设是高职教育教学工作的基本组成部分，是全面深化教学改革，确保人才培养目标实现的重要保证。为了加强我校校本教材（含立体式、活页式）建设，特提出以下意见。</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一、指导思想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全面贯彻国家教育方针，深化教材工作改革，落实立德树人根本任务，充分体现社会主义核心价值观，加强爱国主义、集体主义、社会主义教育，引导学生坚定道路自信、理论自信、制度自信、文化自信；结合学校专业建设和精品课程建设，抓好教材建设，积极扶持自编教材正式出版。</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二、基本要求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校本教材（含立体式、活页式）建设应符合工学结合人才培养模式的改革要求，努力体现出高职教材的基本特色：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（一）教材编写须融合以德树人、课程思政、工匠精神培育、职业习惯养成等方面内容；体现专业技术应用能力的培养；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（二）体现本专业在新知识、新技术、新工艺、新材料等领域取得的最新成果，紧密联系生产实际；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（三）体现高职教育的特点，有较强的针对性，能够满足行业岗位的知识、能力、素质要求，为学生今后进一步发展、提高奠定基础；</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（四）活页式教材的编写要突出以理论教学内容为主体，根据专业教学特点和工作岗位需求，适时更新教材章节和案例等，充分体现活页化的特点。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（五）立体化教材应具有前期编写基础，并提供丰富、适用和引领创新作用的多种类型立体化、信息化课程资源（同步提供学习网站、二维码等）。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（六）编写教材适用于本校所开设专业；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（七）主编教师在本校至少有两年以上的教学实践，且讲授所编课程两轮以上；专业教材必须有行企业人员参与编写。</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三、备案工作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（一）校本教材（含立体式、活页式）备案程序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1．教师本人向所在系（教研室）提出申请；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2．系（教研室）根据专业需求进行审核（大纲、编写进度等）；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3．教材分委会完成的校本教材进行论证并给出论证意见；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4．教材委员会审批；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5．每年6月、12月第三周将校本教材编写备案表及校本教材样本交至教材委员会备案，备案后可作为下学期学生使用的校本教材。不经教材委员会备案不得印刷，不得作为学生用书。逾期不再受理。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（二）校本教材指导与监督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1．教务处定期组织优秀活页式工作页式教材评选活动；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2．校本教材需紧贴社会、技术发展需求，原则上每年须进行一定比例的内容更新，更新后按校本教材的备案程序，进行备案的更新；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3．各二级学院须做好校本教材的归档工作，教务处每年底对各二级学院校本教材的归档工作进行抽样检查。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四、编写要求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（一）编写字数参考标准：每学时4000-5000字（工科类）；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（二）书稿要求及编写格式参照附件2与附件3。</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五、工作职责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（一）系（教研室）职责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1．校本教材（含立体式、活页式）编写实行主编责任制，确定主编教师；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2．审核教材内容、课程标准、授课进度等，并做好相关资料的归档工作；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 负责教材编写的过程管理。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（二）二级学院职责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1．组织专业建设指导委员会进行校本教材论证；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2．负责推荐主审人选；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3．负责校本教材的审批；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4．负责校本教材的备案；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5．做好相关资料的归档工作。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六、保障措施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（一）建立严格的管理制度，进行规范化管理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各二级学院须加强对立项教材的过程管理，逐步建立健全管理制度，实现规范化管理，以保证立项教材按时高质量地完成。</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（二）建立激励机制，充分调动教师在教材建设中的积极主动性</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提高校本教材编写质量的关键是教师。学校将进一步落实校本教材工作的相关政策，在工作量计算、成果奖励、专业技术职务评聘等方面，将教材建设成果与科研成果同等对待，充分调动广大教师的积极性，逐步建立一支高水平的以老带新的校本教材编写队伍。</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七、附则</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1.本意见自公布之日起执行。原《上海电子信息职业技术学院关于校本教材建设的若干意见》的通知（沪电信职院〔2018〕131 号）自行终止。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2.本意见由教务处负责解释和修订。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附件：1.校本教材备案表</w:t>
      </w:r>
    </w:p>
    <w:p>
      <w:pPr>
        <w:keepNext w:val="0"/>
        <w:keepLines w:val="0"/>
        <w:pageBreakBefore w:val="0"/>
        <w:widowControl w:val="0"/>
        <w:kinsoku/>
        <w:wordWrap/>
        <w:overflowPunct/>
        <w:topLinePunct w:val="0"/>
        <w:autoSpaceDE/>
        <w:autoSpaceDN/>
        <w:bidi w:val="0"/>
        <w:adjustRightInd/>
        <w:snapToGrid/>
        <w:spacing w:line="360" w:lineRule="auto"/>
        <w:ind w:firstLine="1400" w:firstLineChars="5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2.作者须知、16K教材格式模板</w:t>
      </w:r>
    </w:p>
    <w:p>
      <w:pPr>
        <w:keepNext w:val="0"/>
        <w:keepLines w:val="0"/>
        <w:pageBreakBefore w:val="0"/>
        <w:widowControl w:val="0"/>
        <w:kinsoku/>
        <w:wordWrap/>
        <w:overflowPunct/>
        <w:topLinePunct w:val="0"/>
        <w:autoSpaceDE/>
        <w:autoSpaceDN/>
        <w:bidi w:val="0"/>
        <w:adjustRightInd/>
        <w:snapToGrid/>
        <w:spacing w:line="360" w:lineRule="auto"/>
        <w:ind w:firstLine="1400" w:firstLineChars="5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3.电子类图书量和单位的名称、符号的一些规定</w:t>
      </w:r>
    </w:p>
    <w:p>
      <w:pPr>
        <w:keepNext w:val="0"/>
        <w:keepLines w:val="0"/>
        <w:pageBreakBefore w:val="0"/>
        <w:widowControl w:val="0"/>
        <w:kinsoku/>
        <w:wordWrap/>
        <w:overflowPunct/>
        <w:topLinePunct w:val="0"/>
        <w:autoSpaceDE/>
        <w:autoSpaceDN/>
        <w:bidi w:val="0"/>
        <w:adjustRightInd/>
        <w:snapToGrid/>
        <w:spacing w:line="360" w:lineRule="auto"/>
        <w:ind w:firstLine="1400" w:firstLineChars="5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4.校本教材印制申请单</w:t>
      </w:r>
    </w:p>
    <w:p>
      <w:pPr>
        <w:keepNext w:val="0"/>
        <w:keepLines w:val="0"/>
        <w:pageBreakBefore w:val="0"/>
        <w:widowControl w:val="0"/>
        <w:kinsoku/>
        <w:wordWrap/>
        <w:overflowPunct/>
        <w:topLinePunct w:val="0"/>
        <w:autoSpaceDE/>
        <w:autoSpaceDN/>
        <w:bidi w:val="0"/>
        <w:adjustRightInd/>
        <w:snapToGrid/>
        <w:spacing w:line="360" w:lineRule="auto"/>
        <w:ind w:firstLine="1400" w:firstLineChars="5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5.校本教材备案流程图</w:t>
      </w:r>
    </w:p>
    <w:p>
      <w:pPr>
        <w:pageBreakBefore w:val="0"/>
        <w:topLinePunct w:val="0"/>
        <w:bidi w:val="0"/>
        <w:outlineLvl w:val="9"/>
        <w:rPr>
          <w:rFonts w:ascii="仿宋" w:hAnsi="仿宋" w:eastAsia="仿宋" w:cs="仿宋"/>
          <w:b/>
          <w:color w:val="000000"/>
          <w:szCs w:val="21"/>
        </w:rPr>
      </w:pPr>
    </w:p>
    <w:p>
      <w:pPr>
        <w:pageBreakBefore w:val="0"/>
        <w:topLinePunct w:val="0"/>
        <w:bidi w:val="0"/>
        <w:outlineLvl w:val="9"/>
        <w:rPr>
          <w:rFonts w:ascii="仿宋" w:hAnsi="仿宋" w:eastAsia="仿宋" w:cs="仿宋"/>
          <w:b/>
          <w:color w:val="000000"/>
          <w:szCs w:val="21"/>
        </w:rPr>
      </w:pPr>
    </w:p>
    <w:p>
      <w:pPr>
        <w:pageBreakBefore w:val="0"/>
        <w:topLinePunct w:val="0"/>
        <w:bidi w:val="0"/>
        <w:outlineLvl w:val="9"/>
        <w:rPr>
          <w:rFonts w:ascii="仿宋" w:hAnsi="仿宋" w:eastAsia="仿宋" w:cs="仿宋"/>
          <w:b/>
          <w:color w:val="000000"/>
          <w:szCs w:val="21"/>
        </w:rPr>
      </w:pPr>
    </w:p>
    <w:p>
      <w:pPr>
        <w:pageBreakBefore w:val="0"/>
        <w:topLinePunct w:val="0"/>
        <w:bidi w:val="0"/>
        <w:outlineLvl w:val="9"/>
        <w:rPr>
          <w:rFonts w:ascii="仿宋" w:hAnsi="仿宋" w:eastAsia="仿宋" w:cs="仿宋"/>
          <w:b/>
          <w:color w:val="000000"/>
          <w:szCs w:val="21"/>
        </w:rPr>
      </w:pPr>
    </w:p>
    <w:p>
      <w:pPr>
        <w:pageBreakBefore w:val="0"/>
        <w:topLinePunct w:val="0"/>
        <w:bidi w:val="0"/>
        <w:outlineLvl w:val="9"/>
        <w:rPr>
          <w:rFonts w:ascii="仿宋" w:hAnsi="仿宋" w:eastAsia="仿宋" w:cs="仿宋"/>
          <w:b/>
          <w:color w:val="000000"/>
          <w:szCs w:val="21"/>
        </w:rPr>
      </w:pPr>
    </w:p>
    <w:p>
      <w:pPr>
        <w:pageBreakBefore w:val="0"/>
        <w:topLinePunct w:val="0"/>
        <w:bidi w:val="0"/>
        <w:outlineLvl w:val="9"/>
        <w:rPr>
          <w:rFonts w:ascii="仿宋" w:hAnsi="仿宋" w:eastAsia="仿宋" w:cs="仿宋"/>
          <w:b/>
          <w:color w:val="000000"/>
          <w:szCs w:val="21"/>
        </w:rPr>
      </w:pPr>
    </w:p>
    <w:p>
      <w:pPr>
        <w:pageBreakBefore w:val="0"/>
        <w:topLinePunct w:val="0"/>
        <w:bidi w:val="0"/>
        <w:outlineLvl w:val="9"/>
        <w:rPr>
          <w:rFonts w:ascii="仿宋" w:hAnsi="仿宋" w:eastAsia="仿宋" w:cs="仿宋"/>
          <w:b/>
          <w:color w:val="000000"/>
          <w:szCs w:val="21"/>
        </w:rPr>
      </w:pPr>
    </w:p>
    <w:p>
      <w:pPr>
        <w:pageBreakBefore w:val="0"/>
        <w:topLinePunct w:val="0"/>
        <w:bidi w:val="0"/>
        <w:outlineLvl w:val="9"/>
        <w:rPr>
          <w:rFonts w:ascii="仿宋" w:hAnsi="仿宋" w:eastAsia="仿宋" w:cs="仿宋"/>
          <w:b/>
          <w:color w:val="000000"/>
          <w:szCs w:val="21"/>
        </w:rPr>
      </w:pPr>
    </w:p>
    <w:p>
      <w:pPr>
        <w:pageBreakBefore w:val="0"/>
        <w:topLinePunct w:val="0"/>
        <w:bidi w:val="0"/>
        <w:outlineLvl w:val="9"/>
        <w:rPr>
          <w:rFonts w:ascii="仿宋" w:hAnsi="仿宋" w:eastAsia="仿宋" w:cs="仿宋"/>
          <w:b/>
          <w:color w:val="000000"/>
          <w:szCs w:val="21"/>
        </w:rPr>
      </w:pPr>
    </w:p>
    <w:p>
      <w:pPr>
        <w:pageBreakBefore w:val="0"/>
        <w:topLinePunct w:val="0"/>
        <w:bidi w:val="0"/>
        <w:outlineLvl w:val="9"/>
        <w:rPr>
          <w:rFonts w:ascii="仿宋" w:hAnsi="仿宋" w:eastAsia="仿宋" w:cs="仿宋"/>
          <w:b/>
          <w:color w:val="000000"/>
          <w:szCs w:val="21"/>
        </w:rPr>
      </w:pPr>
    </w:p>
    <w:p>
      <w:pPr>
        <w:pageBreakBefore w:val="0"/>
        <w:topLinePunct w:val="0"/>
        <w:bidi w:val="0"/>
        <w:outlineLvl w:val="9"/>
        <w:rPr>
          <w:rFonts w:ascii="仿宋" w:hAnsi="仿宋" w:eastAsia="仿宋" w:cs="仿宋"/>
          <w:b/>
          <w:color w:val="000000"/>
          <w:szCs w:val="21"/>
        </w:rPr>
      </w:pPr>
    </w:p>
    <w:p>
      <w:pPr>
        <w:pageBreakBefore w:val="0"/>
        <w:topLinePunct w:val="0"/>
        <w:bidi w:val="0"/>
        <w:outlineLvl w:val="9"/>
        <w:rPr>
          <w:rFonts w:ascii="仿宋" w:hAnsi="仿宋" w:eastAsia="仿宋" w:cs="仿宋"/>
          <w:b/>
          <w:color w:val="000000"/>
          <w:szCs w:val="21"/>
        </w:rPr>
      </w:pPr>
    </w:p>
    <w:p>
      <w:pPr>
        <w:pageBreakBefore w:val="0"/>
        <w:topLinePunct w:val="0"/>
        <w:bidi w:val="0"/>
        <w:outlineLvl w:val="9"/>
        <w:rPr>
          <w:rFonts w:ascii="仿宋" w:hAnsi="仿宋" w:eastAsia="仿宋" w:cs="仿宋"/>
          <w:b/>
          <w:color w:val="000000"/>
          <w:szCs w:val="21"/>
        </w:rPr>
      </w:pPr>
    </w:p>
    <w:p>
      <w:pPr>
        <w:pageBreakBefore w:val="0"/>
        <w:topLinePunct w:val="0"/>
        <w:bidi w:val="0"/>
        <w:outlineLvl w:val="9"/>
        <w:rPr>
          <w:rFonts w:ascii="仿宋" w:hAnsi="仿宋" w:eastAsia="仿宋" w:cs="仿宋"/>
          <w:b/>
          <w:color w:val="000000"/>
          <w:szCs w:val="21"/>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附件1 </w:t>
      </w:r>
    </w:p>
    <w:p>
      <w:pPr>
        <w:pageBreakBefore w:val="0"/>
        <w:topLinePunct w:val="0"/>
        <w:bidi w:val="0"/>
        <w:outlineLvl w:val="9"/>
        <w:rPr>
          <w:rFonts w:ascii="仿宋" w:hAnsi="仿宋" w:eastAsia="仿宋" w:cs="仿宋"/>
          <w:color w:val="000000"/>
          <w:sz w:val="28"/>
        </w:rPr>
      </w:pPr>
    </w:p>
    <w:p>
      <w:pPr>
        <w:pageBreakBefore w:val="0"/>
        <w:topLinePunct w:val="0"/>
        <w:bidi w:val="0"/>
        <w:jc w:val="center"/>
        <w:outlineLvl w:val="9"/>
        <w:rPr>
          <w:rFonts w:hint="eastAsia" w:ascii="仿宋" w:hAnsi="仿宋" w:eastAsia="仿宋" w:cs="仿宋"/>
          <w:bCs/>
          <w:color w:val="000000"/>
          <w:sz w:val="44"/>
        </w:rPr>
      </w:pPr>
    </w:p>
    <w:p>
      <w:pPr>
        <w:pageBreakBefore w:val="0"/>
        <w:topLinePunct w:val="0"/>
        <w:bidi w:val="0"/>
        <w:jc w:val="center"/>
        <w:outlineLvl w:val="9"/>
        <w:rPr>
          <w:rFonts w:ascii="仿宋" w:hAnsi="仿宋" w:eastAsia="仿宋" w:cs="仿宋"/>
          <w:bCs/>
          <w:color w:val="000000"/>
          <w:sz w:val="44"/>
        </w:rPr>
      </w:pPr>
      <w:r>
        <w:rPr>
          <w:rFonts w:hint="eastAsia" w:ascii="仿宋" w:hAnsi="仿宋" w:eastAsia="仿宋" w:cs="仿宋"/>
          <w:bCs/>
          <w:color w:val="000000"/>
          <w:sz w:val="44"/>
        </w:rPr>
        <w:t>上海电子信息职业技术学院</w:t>
      </w:r>
    </w:p>
    <w:p>
      <w:pPr>
        <w:pageBreakBefore w:val="0"/>
        <w:topLinePunct w:val="0"/>
        <w:bidi w:val="0"/>
        <w:jc w:val="center"/>
        <w:outlineLvl w:val="9"/>
        <w:rPr>
          <w:rFonts w:ascii="仿宋" w:hAnsi="仿宋" w:eastAsia="仿宋" w:cs="仿宋"/>
          <w:b/>
          <w:bCs/>
          <w:color w:val="000000"/>
          <w:sz w:val="28"/>
        </w:rPr>
      </w:pPr>
    </w:p>
    <w:p>
      <w:pPr>
        <w:pageBreakBefore w:val="0"/>
        <w:topLinePunct w:val="0"/>
        <w:bidi w:val="0"/>
        <w:spacing w:before="240"/>
        <w:jc w:val="center"/>
        <w:outlineLvl w:val="9"/>
        <w:rPr>
          <w:rFonts w:ascii="仿宋" w:hAnsi="仿宋" w:eastAsia="仿宋" w:cs="仿宋"/>
          <w:b/>
          <w:bCs/>
          <w:color w:val="000000"/>
          <w:sz w:val="36"/>
          <w:szCs w:val="52"/>
        </w:rPr>
      </w:pPr>
      <w:r>
        <w:rPr>
          <w:rFonts w:hint="eastAsia" w:ascii="仿宋" w:hAnsi="仿宋" w:eastAsia="仿宋" w:cs="仿宋"/>
          <w:b/>
          <w:bCs/>
          <w:color w:val="000000"/>
          <w:sz w:val="36"/>
          <w:szCs w:val="52"/>
        </w:rPr>
        <w:t>校本教材备案表</w:t>
      </w:r>
    </w:p>
    <w:p>
      <w:pPr>
        <w:pageBreakBefore w:val="0"/>
        <w:topLinePunct w:val="0"/>
        <w:bidi w:val="0"/>
        <w:jc w:val="center"/>
        <w:outlineLvl w:val="9"/>
        <w:rPr>
          <w:rFonts w:ascii="仿宋" w:hAnsi="仿宋" w:eastAsia="仿宋" w:cs="仿宋"/>
          <w:b/>
          <w:bCs/>
          <w:color w:val="000000"/>
          <w:sz w:val="28"/>
        </w:rPr>
      </w:pPr>
      <w:r>
        <w:rPr>
          <w:rFonts w:hint="eastAsia" w:ascii="仿宋" w:hAnsi="仿宋" w:eastAsia="仿宋" w:cs="仿宋"/>
          <w:color w:val="000000"/>
        </w:rPr>
        <w:t>（含立体式、活页式）</w:t>
      </w:r>
    </w:p>
    <w:p>
      <w:pPr>
        <w:pageBreakBefore w:val="0"/>
        <w:topLinePunct w:val="0"/>
        <w:bidi w:val="0"/>
        <w:ind w:firstLine="1124" w:firstLineChars="400"/>
        <w:outlineLvl w:val="9"/>
        <w:rPr>
          <w:rFonts w:ascii="仿宋" w:hAnsi="仿宋" w:eastAsia="仿宋" w:cs="仿宋"/>
          <w:b/>
          <w:bCs/>
          <w:color w:val="000000"/>
          <w:sz w:val="28"/>
        </w:rPr>
      </w:pPr>
    </w:p>
    <w:p>
      <w:pPr>
        <w:pageBreakBefore w:val="0"/>
        <w:topLinePunct w:val="0"/>
        <w:bidi w:val="0"/>
        <w:ind w:firstLine="1124" w:firstLineChars="400"/>
        <w:outlineLvl w:val="9"/>
        <w:rPr>
          <w:rFonts w:ascii="仿宋" w:hAnsi="仿宋" w:eastAsia="仿宋" w:cs="仿宋"/>
          <w:b/>
          <w:bCs/>
          <w:color w:val="000000"/>
          <w:sz w:val="28"/>
        </w:rPr>
      </w:pPr>
    </w:p>
    <w:p>
      <w:pPr>
        <w:pageBreakBefore w:val="0"/>
        <w:topLinePunct w:val="0"/>
        <w:bidi w:val="0"/>
        <w:ind w:firstLine="1124" w:firstLineChars="400"/>
        <w:outlineLvl w:val="9"/>
        <w:rPr>
          <w:rFonts w:ascii="仿宋" w:hAnsi="仿宋" w:eastAsia="仿宋" w:cs="仿宋"/>
          <w:b/>
          <w:bCs/>
          <w:color w:val="000000"/>
          <w:sz w:val="28"/>
        </w:rPr>
      </w:pPr>
    </w:p>
    <w:p>
      <w:pPr>
        <w:pageBreakBefore w:val="0"/>
        <w:topLinePunct w:val="0"/>
        <w:bidi w:val="0"/>
        <w:spacing w:line="480" w:lineRule="auto"/>
        <w:ind w:firstLine="1120" w:firstLineChars="400"/>
        <w:outlineLvl w:val="9"/>
        <w:rPr>
          <w:rFonts w:ascii="仿宋" w:hAnsi="仿宋" w:eastAsia="仿宋" w:cs="仿宋"/>
          <w:bCs/>
          <w:color w:val="000000"/>
          <w:sz w:val="28"/>
          <w:szCs w:val="28"/>
        </w:rPr>
      </w:pPr>
      <w:r>
        <w:rPr>
          <w:rFonts w:hint="eastAsia" w:ascii="仿宋" w:hAnsi="仿宋" w:eastAsia="仿宋" w:cs="仿宋"/>
          <w:bCs/>
          <w:color w:val="000000"/>
          <w:sz w:val="28"/>
        </w:rPr>
        <w:t xml:space="preserve">    </w:t>
      </w:r>
      <w:r>
        <w:rPr>
          <w:rFonts w:hint="eastAsia" w:ascii="仿宋" w:hAnsi="仿宋" w:eastAsia="仿宋" w:cs="仿宋"/>
          <w:bCs/>
          <w:color w:val="000000"/>
          <w:sz w:val="28"/>
          <w:szCs w:val="28"/>
        </w:rPr>
        <w:t xml:space="preserve">二  级  学  院: </w:t>
      </w:r>
      <w:r>
        <w:rPr>
          <w:rFonts w:hint="eastAsia" w:ascii="仿宋" w:hAnsi="仿宋" w:eastAsia="仿宋" w:cs="仿宋"/>
          <w:bCs/>
          <w:color w:val="000000"/>
          <w:sz w:val="28"/>
          <w:szCs w:val="28"/>
          <w:u w:val="single"/>
        </w:rPr>
        <w:t xml:space="preserve">                         </w:t>
      </w:r>
    </w:p>
    <w:p>
      <w:pPr>
        <w:pageBreakBefore w:val="0"/>
        <w:topLinePunct w:val="0"/>
        <w:bidi w:val="0"/>
        <w:spacing w:line="480" w:lineRule="auto"/>
        <w:ind w:firstLine="1680" w:firstLineChars="600"/>
        <w:outlineLvl w:val="9"/>
        <w:rPr>
          <w:rFonts w:ascii="仿宋" w:hAnsi="仿宋" w:eastAsia="仿宋" w:cs="仿宋"/>
          <w:bCs/>
          <w:color w:val="000000"/>
          <w:sz w:val="28"/>
          <w:szCs w:val="28"/>
        </w:rPr>
      </w:pPr>
      <w:r>
        <w:rPr>
          <w:rFonts w:hint="eastAsia" w:ascii="仿宋" w:hAnsi="仿宋" w:eastAsia="仿宋" w:cs="仿宋"/>
          <w:bCs/>
          <w:color w:val="000000"/>
          <w:sz w:val="28"/>
          <w:szCs w:val="28"/>
        </w:rPr>
        <w:t xml:space="preserve">教    研    室: </w:t>
      </w:r>
      <w:r>
        <w:rPr>
          <w:rFonts w:hint="eastAsia" w:ascii="仿宋" w:hAnsi="仿宋" w:eastAsia="仿宋" w:cs="仿宋"/>
          <w:bCs/>
          <w:color w:val="000000"/>
          <w:sz w:val="28"/>
          <w:szCs w:val="28"/>
          <w:u w:val="single"/>
        </w:rPr>
        <w:t xml:space="preserve">                         </w:t>
      </w:r>
    </w:p>
    <w:p>
      <w:pPr>
        <w:pageBreakBefore w:val="0"/>
        <w:topLinePunct w:val="0"/>
        <w:bidi w:val="0"/>
        <w:spacing w:line="480" w:lineRule="auto"/>
        <w:ind w:firstLine="1120" w:firstLineChars="400"/>
        <w:outlineLvl w:val="9"/>
        <w:rPr>
          <w:rFonts w:ascii="仿宋" w:hAnsi="仿宋" w:eastAsia="仿宋" w:cs="仿宋"/>
          <w:bCs/>
          <w:color w:val="000000"/>
          <w:sz w:val="28"/>
          <w:szCs w:val="28"/>
        </w:rPr>
      </w:pPr>
      <w:r>
        <w:rPr>
          <w:rFonts w:hint="eastAsia" w:ascii="仿宋" w:hAnsi="仿宋" w:eastAsia="仿宋" w:cs="仿宋"/>
          <w:bCs/>
          <w:color w:val="000000"/>
          <w:sz w:val="28"/>
          <w:szCs w:val="28"/>
        </w:rPr>
        <w:t xml:space="preserve">    教  材  名  称: </w:t>
      </w:r>
      <w:r>
        <w:rPr>
          <w:rFonts w:hint="eastAsia" w:ascii="仿宋" w:hAnsi="仿宋" w:eastAsia="仿宋" w:cs="仿宋"/>
          <w:bCs/>
          <w:color w:val="000000"/>
          <w:sz w:val="28"/>
          <w:szCs w:val="28"/>
          <w:u w:val="single"/>
        </w:rPr>
        <w:t xml:space="preserve">                         </w:t>
      </w:r>
    </w:p>
    <w:p>
      <w:pPr>
        <w:pageBreakBefore w:val="0"/>
        <w:topLinePunct w:val="0"/>
        <w:bidi w:val="0"/>
        <w:spacing w:line="480" w:lineRule="auto"/>
        <w:ind w:firstLine="1680" w:firstLineChars="600"/>
        <w:outlineLvl w:val="9"/>
        <w:rPr>
          <w:rFonts w:ascii="仿宋" w:hAnsi="仿宋" w:eastAsia="仿宋" w:cs="仿宋"/>
          <w:bCs/>
          <w:color w:val="000000"/>
          <w:sz w:val="28"/>
          <w:szCs w:val="28"/>
        </w:rPr>
      </w:pPr>
      <w:r>
        <w:rPr>
          <w:rFonts w:hint="eastAsia" w:ascii="仿宋" w:hAnsi="仿宋" w:eastAsia="仿宋" w:cs="仿宋"/>
          <w:bCs/>
          <w:color w:val="000000"/>
          <w:sz w:val="28"/>
          <w:szCs w:val="28"/>
        </w:rPr>
        <w:t xml:space="preserve">教  材  类  型: </w:t>
      </w:r>
      <w:r>
        <w:rPr>
          <w:rFonts w:hint="eastAsia" w:ascii="仿宋" w:hAnsi="仿宋" w:eastAsia="仿宋" w:cs="仿宋"/>
          <w:bCs/>
          <w:color w:val="000000"/>
          <w:sz w:val="28"/>
          <w:szCs w:val="28"/>
          <w:u w:val="single"/>
        </w:rPr>
        <w:t xml:space="preserve">                         </w:t>
      </w:r>
    </w:p>
    <w:p>
      <w:pPr>
        <w:pageBreakBefore w:val="0"/>
        <w:topLinePunct w:val="0"/>
        <w:bidi w:val="0"/>
        <w:spacing w:line="480" w:lineRule="auto"/>
        <w:ind w:firstLine="1680" w:firstLineChars="600"/>
        <w:outlineLvl w:val="9"/>
        <w:rPr>
          <w:rFonts w:ascii="仿宋" w:hAnsi="仿宋" w:eastAsia="仿宋" w:cs="仿宋"/>
          <w:bCs/>
          <w:color w:val="000000"/>
          <w:sz w:val="28"/>
          <w:szCs w:val="28"/>
        </w:rPr>
      </w:pPr>
      <w:r>
        <w:rPr>
          <w:rFonts w:hint="eastAsia" w:ascii="仿宋" w:hAnsi="仿宋" w:eastAsia="仿宋" w:cs="仿宋"/>
          <w:bCs/>
          <w:color w:val="000000"/>
          <w:sz w:val="28"/>
          <w:szCs w:val="28"/>
        </w:rPr>
        <w:t xml:space="preserve">专  业  代  码: </w:t>
      </w:r>
      <w:r>
        <w:rPr>
          <w:rFonts w:hint="eastAsia" w:ascii="仿宋" w:hAnsi="仿宋" w:eastAsia="仿宋" w:cs="仿宋"/>
          <w:bCs/>
          <w:color w:val="000000"/>
          <w:sz w:val="28"/>
          <w:szCs w:val="28"/>
          <w:u w:val="single"/>
        </w:rPr>
        <w:t xml:space="preserve">                         </w:t>
      </w:r>
    </w:p>
    <w:p>
      <w:pPr>
        <w:pageBreakBefore w:val="0"/>
        <w:topLinePunct w:val="0"/>
        <w:bidi w:val="0"/>
        <w:spacing w:line="480" w:lineRule="auto"/>
        <w:ind w:firstLine="1120" w:firstLineChars="400"/>
        <w:outlineLvl w:val="9"/>
        <w:rPr>
          <w:rFonts w:ascii="仿宋" w:hAnsi="仿宋" w:eastAsia="仿宋" w:cs="仿宋"/>
          <w:bCs/>
          <w:color w:val="000000"/>
          <w:sz w:val="28"/>
          <w:szCs w:val="28"/>
        </w:rPr>
      </w:pPr>
      <w:r>
        <w:rPr>
          <w:rFonts w:hint="eastAsia" w:ascii="仿宋" w:hAnsi="仿宋" w:eastAsia="仿宋" w:cs="仿宋"/>
          <w:bCs/>
          <w:color w:val="000000"/>
          <w:sz w:val="28"/>
          <w:szCs w:val="28"/>
        </w:rPr>
        <w:t xml:space="preserve">    主  编  姓  名: </w:t>
      </w:r>
      <w:r>
        <w:rPr>
          <w:rFonts w:hint="eastAsia" w:ascii="仿宋" w:hAnsi="仿宋" w:eastAsia="仿宋" w:cs="仿宋"/>
          <w:bCs/>
          <w:color w:val="000000"/>
          <w:sz w:val="28"/>
          <w:szCs w:val="28"/>
          <w:u w:val="single"/>
        </w:rPr>
        <w:t xml:space="preserve">                         </w:t>
      </w:r>
    </w:p>
    <w:p>
      <w:pPr>
        <w:pageBreakBefore w:val="0"/>
        <w:topLinePunct w:val="0"/>
        <w:bidi w:val="0"/>
        <w:jc w:val="center"/>
        <w:outlineLvl w:val="9"/>
        <w:rPr>
          <w:rFonts w:ascii="仿宋" w:hAnsi="仿宋" w:eastAsia="仿宋" w:cs="仿宋"/>
          <w:b/>
          <w:bCs/>
          <w:color w:val="000000"/>
          <w:sz w:val="28"/>
        </w:rPr>
      </w:pPr>
    </w:p>
    <w:p>
      <w:pPr>
        <w:pageBreakBefore w:val="0"/>
        <w:topLinePunct w:val="0"/>
        <w:bidi w:val="0"/>
        <w:jc w:val="center"/>
        <w:outlineLvl w:val="9"/>
        <w:rPr>
          <w:rFonts w:ascii="仿宋" w:hAnsi="仿宋" w:eastAsia="仿宋" w:cs="仿宋"/>
          <w:b/>
          <w:bCs/>
          <w:color w:val="000000"/>
          <w:sz w:val="28"/>
        </w:rPr>
      </w:pPr>
    </w:p>
    <w:p>
      <w:pPr>
        <w:pageBreakBefore w:val="0"/>
        <w:topLinePunct w:val="0"/>
        <w:bidi w:val="0"/>
        <w:jc w:val="center"/>
        <w:outlineLvl w:val="9"/>
        <w:rPr>
          <w:rFonts w:ascii="仿宋" w:hAnsi="仿宋" w:eastAsia="仿宋" w:cs="仿宋"/>
          <w:b/>
          <w:bCs/>
          <w:color w:val="000000"/>
          <w:sz w:val="28"/>
        </w:rPr>
      </w:pPr>
    </w:p>
    <w:p>
      <w:pPr>
        <w:pageBreakBefore w:val="0"/>
        <w:topLinePunct w:val="0"/>
        <w:bidi w:val="0"/>
        <w:jc w:val="center"/>
        <w:outlineLvl w:val="9"/>
        <w:rPr>
          <w:rFonts w:ascii="仿宋" w:hAnsi="仿宋" w:eastAsia="仿宋" w:cs="仿宋"/>
          <w:bCs/>
          <w:color w:val="000000"/>
          <w:sz w:val="28"/>
        </w:rPr>
      </w:pPr>
    </w:p>
    <w:p>
      <w:pPr>
        <w:pageBreakBefore w:val="0"/>
        <w:topLinePunct w:val="0"/>
        <w:bidi w:val="0"/>
        <w:jc w:val="center"/>
        <w:outlineLvl w:val="9"/>
        <w:rPr>
          <w:rFonts w:ascii="仿宋" w:hAnsi="仿宋" w:eastAsia="仿宋" w:cs="仿宋"/>
          <w:bCs/>
          <w:color w:val="000000"/>
          <w:sz w:val="28"/>
        </w:rPr>
      </w:pPr>
      <w:r>
        <w:rPr>
          <w:rFonts w:hint="eastAsia" w:ascii="仿宋" w:hAnsi="仿宋" w:eastAsia="仿宋" w:cs="仿宋"/>
          <w:bCs/>
          <w:color w:val="000000"/>
          <w:sz w:val="28"/>
        </w:rPr>
        <w:t>填写日期：      年    月    日</w:t>
      </w:r>
    </w:p>
    <w:p>
      <w:pPr>
        <w:pageBreakBefore w:val="0"/>
        <w:topLinePunct w:val="0"/>
        <w:bidi w:val="0"/>
        <w:jc w:val="center"/>
        <w:outlineLvl w:val="9"/>
        <w:rPr>
          <w:rFonts w:ascii="仿宋" w:hAnsi="仿宋" w:eastAsia="仿宋" w:cs="仿宋"/>
          <w:color w:val="000000"/>
          <w:sz w:val="28"/>
        </w:rPr>
      </w:pPr>
    </w:p>
    <w:p>
      <w:pPr>
        <w:pageBreakBefore w:val="0"/>
        <w:topLinePunct w:val="0"/>
        <w:bidi w:val="0"/>
        <w:jc w:val="center"/>
        <w:outlineLvl w:val="9"/>
        <w:rPr>
          <w:rFonts w:ascii="仿宋" w:hAnsi="仿宋" w:eastAsia="仿宋" w:cs="仿宋"/>
          <w:color w:val="000000"/>
          <w:sz w:val="28"/>
          <w:szCs w:val="32"/>
        </w:rPr>
      </w:pPr>
      <w:r>
        <w:rPr>
          <w:rFonts w:hint="eastAsia" w:ascii="仿宋" w:hAnsi="仿宋" w:eastAsia="仿宋" w:cs="仿宋"/>
          <w:color w:val="000000"/>
          <w:sz w:val="28"/>
          <w:szCs w:val="32"/>
        </w:rPr>
        <w:br w:type="page"/>
      </w:r>
      <w:r>
        <w:rPr>
          <w:rFonts w:hint="eastAsia" w:ascii="仿宋" w:hAnsi="仿宋" w:eastAsia="仿宋" w:cs="仿宋"/>
          <w:color w:val="000000"/>
          <w:sz w:val="28"/>
          <w:szCs w:val="32"/>
        </w:rPr>
        <w:t>填 表 说 明</w:t>
      </w:r>
    </w:p>
    <w:p>
      <w:pPr>
        <w:pageBreakBefore w:val="0"/>
        <w:topLinePunct w:val="0"/>
        <w:bidi w:val="0"/>
        <w:jc w:val="center"/>
        <w:outlineLvl w:val="9"/>
        <w:rPr>
          <w:rFonts w:ascii="仿宋" w:hAnsi="仿宋" w:eastAsia="仿宋" w:cs="仿宋"/>
          <w:color w:val="000000"/>
          <w:sz w:val="28"/>
          <w:szCs w:val="32"/>
        </w:rPr>
      </w:pPr>
    </w:p>
    <w:p>
      <w:pPr>
        <w:pageBreakBefore w:val="0"/>
        <w:numPr>
          <w:ilvl w:val="0"/>
          <w:numId w:val="10"/>
        </w:numPr>
        <w:topLinePunct w:val="0"/>
        <w:bidi w:val="0"/>
        <w:adjustRightInd w:val="0"/>
        <w:spacing w:line="360" w:lineRule="auto"/>
        <w:ind w:firstLine="357"/>
        <w:textAlignment w:val="baseline"/>
        <w:outlineLvl w:val="9"/>
        <w:rPr>
          <w:rFonts w:ascii="仿宋" w:hAnsi="仿宋" w:eastAsia="仿宋" w:cs="仿宋"/>
          <w:color w:val="000000"/>
          <w:sz w:val="28"/>
          <w:szCs w:val="21"/>
        </w:rPr>
      </w:pPr>
      <w:r>
        <w:rPr>
          <w:rFonts w:hint="eastAsia" w:ascii="仿宋" w:hAnsi="仿宋" w:eastAsia="仿宋" w:cs="仿宋"/>
          <w:b/>
          <w:bCs/>
          <w:color w:val="000000"/>
          <w:sz w:val="28"/>
          <w:szCs w:val="21"/>
        </w:rPr>
        <w:t>教材名称：</w:t>
      </w:r>
      <w:r>
        <w:rPr>
          <w:rFonts w:hint="eastAsia" w:ascii="仿宋" w:hAnsi="仿宋" w:eastAsia="仿宋" w:cs="仿宋"/>
          <w:color w:val="000000"/>
          <w:sz w:val="28"/>
          <w:szCs w:val="21"/>
        </w:rPr>
        <w:t>填写申报编写教材的书名。</w:t>
      </w:r>
    </w:p>
    <w:p>
      <w:pPr>
        <w:pageBreakBefore w:val="0"/>
        <w:numPr>
          <w:ilvl w:val="0"/>
          <w:numId w:val="10"/>
        </w:numPr>
        <w:topLinePunct w:val="0"/>
        <w:bidi w:val="0"/>
        <w:adjustRightInd w:val="0"/>
        <w:spacing w:line="360" w:lineRule="auto"/>
        <w:ind w:firstLine="357"/>
        <w:textAlignment w:val="baseline"/>
        <w:outlineLvl w:val="9"/>
        <w:rPr>
          <w:rFonts w:ascii="仿宋" w:hAnsi="仿宋" w:eastAsia="仿宋" w:cs="仿宋"/>
          <w:color w:val="000000"/>
          <w:sz w:val="28"/>
          <w:szCs w:val="21"/>
        </w:rPr>
      </w:pPr>
      <w:r>
        <w:rPr>
          <w:rFonts w:hint="eastAsia" w:ascii="仿宋" w:hAnsi="仿宋" w:eastAsia="仿宋" w:cs="仿宋"/>
          <w:b/>
          <w:bCs/>
          <w:color w:val="000000"/>
          <w:sz w:val="28"/>
          <w:szCs w:val="21"/>
        </w:rPr>
        <w:t>教材类型：</w:t>
      </w:r>
      <w:r>
        <w:rPr>
          <w:rFonts w:hint="eastAsia" w:ascii="仿宋" w:hAnsi="仿宋" w:eastAsia="仿宋" w:cs="仿宋"/>
          <w:color w:val="000000"/>
          <w:sz w:val="28"/>
          <w:szCs w:val="21"/>
        </w:rPr>
        <w:t>填写本教材属工学结合创新教材、实训教材或实验教材。</w:t>
      </w:r>
    </w:p>
    <w:p>
      <w:pPr>
        <w:pageBreakBefore w:val="0"/>
        <w:numPr>
          <w:ilvl w:val="0"/>
          <w:numId w:val="10"/>
        </w:numPr>
        <w:topLinePunct w:val="0"/>
        <w:bidi w:val="0"/>
        <w:adjustRightInd w:val="0"/>
        <w:spacing w:line="360" w:lineRule="auto"/>
        <w:ind w:firstLine="357"/>
        <w:textAlignment w:val="baseline"/>
        <w:outlineLvl w:val="9"/>
        <w:rPr>
          <w:rFonts w:ascii="仿宋" w:hAnsi="仿宋" w:eastAsia="仿宋" w:cs="仿宋"/>
          <w:color w:val="000000"/>
          <w:sz w:val="28"/>
          <w:szCs w:val="21"/>
        </w:rPr>
      </w:pPr>
      <w:r>
        <w:rPr>
          <w:rFonts w:hint="eastAsia" w:ascii="仿宋" w:hAnsi="仿宋" w:eastAsia="仿宋" w:cs="仿宋"/>
          <w:b/>
          <w:bCs/>
          <w:color w:val="000000"/>
          <w:sz w:val="28"/>
          <w:szCs w:val="21"/>
        </w:rPr>
        <w:t>教研室：</w:t>
      </w:r>
      <w:r>
        <w:rPr>
          <w:rFonts w:hint="eastAsia" w:ascii="仿宋" w:hAnsi="仿宋" w:eastAsia="仿宋" w:cs="仿宋"/>
          <w:color w:val="000000"/>
          <w:sz w:val="28"/>
          <w:szCs w:val="21"/>
        </w:rPr>
        <w:t>填写主编所属教研室。</w:t>
      </w:r>
    </w:p>
    <w:p>
      <w:pPr>
        <w:pageBreakBefore w:val="0"/>
        <w:numPr>
          <w:ilvl w:val="0"/>
          <w:numId w:val="10"/>
        </w:numPr>
        <w:topLinePunct w:val="0"/>
        <w:bidi w:val="0"/>
        <w:adjustRightInd w:val="0"/>
        <w:spacing w:line="360" w:lineRule="auto"/>
        <w:ind w:firstLine="357"/>
        <w:textAlignment w:val="baseline"/>
        <w:outlineLvl w:val="9"/>
        <w:rPr>
          <w:rFonts w:ascii="仿宋" w:hAnsi="仿宋" w:eastAsia="仿宋" w:cs="仿宋"/>
          <w:color w:val="000000"/>
          <w:sz w:val="28"/>
          <w:szCs w:val="21"/>
        </w:rPr>
      </w:pPr>
      <w:r>
        <w:rPr>
          <w:rFonts w:hint="eastAsia" w:ascii="仿宋" w:hAnsi="仿宋" w:eastAsia="仿宋" w:cs="仿宋"/>
          <w:b/>
          <w:bCs/>
          <w:color w:val="000000"/>
          <w:sz w:val="28"/>
          <w:szCs w:val="21"/>
        </w:rPr>
        <w:t>专业代码：</w:t>
      </w:r>
      <w:r>
        <w:rPr>
          <w:rFonts w:hint="eastAsia" w:ascii="仿宋" w:hAnsi="仿宋" w:eastAsia="仿宋" w:cs="仿宋"/>
          <w:color w:val="000000"/>
          <w:sz w:val="28"/>
          <w:szCs w:val="21"/>
        </w:rPr>
        <w:t>填写本教材适用专业的教育部指定的专业代码。</w:t>
      </w:r>
    </w:p>
    <w:p>
      <w:pPr>
        <w:pageBreakBefore w:val="0"/>
        <w:numPr>
          <w:ilvl w:val="0"/>
          <w:numId w:val="10"/>
        </w:numPr>
        <w:topLinePunct w:val="0"/>
        <w:bidi w:val="0"/>
        <w:adjustRightInd w:val="0"/>
        <w:spacing w:line="360" w:lineRule="auto"/>
        <w:ind w:firstLine="357"/>
        <w:textAlignment w:val="baseline"/>
        <w:outlineLvl w:val="9"/>
        <w:rPr>
          <w:rFonts w:ascii="仿宋" w:hAnsi="仿宋" w:eastAsia="仿宋" w:cs="仿宋"/>
          <w:color w:val="000000"/>
          <w:sz w:val="28"/>
          <w:szCs w:val="21"/>
        </w:rPr>
      </w:pPr>
      <w:r>
        <w:rPr>
          <w:rFonts w:hint="eastAsia" w:ascii="仿宋" w:hAnsi="仿宋" w:eastAsia="仿宋" w:cs="仿宋"/>
          <w:b/>
          <w:bCs/>
          <w:color w:val="000000"/>
          <w:sz w:val="28"/>
          <w:szCs w:val="21"/>
        </w:rPr>
        <w:t>建议学时：</w:t>
      </w:r>
      <w:r>
        <w:rPr>
          <w:rFonts w:hint="eastAsia" w:ascii="仿宋" w:hAnsi="仿宋" w:eastAsia="仿宋" w:cs="仿宋"/>
          <w:color w:val="000000"/>
          <w:sz w:val="28"/>
          <w:szCs w:val="21"/>
        </w:rPr>
        <w:t>填写建议本教材的学时范围（包括授课、实验、实习等）。</w:t>
      </w:r>
    </w:p>
    <w:p>
      <w:pPr>
        <w:pageBreakBefore w:val="0"/>
        <w:numPr>
          <w:ilvl w:val="0"/>
          <w:numId w:val="10"/>
        </w:numPr>
        <w:topLinePunct w:val="0"/>
        <w:bidi w:val="0"/>
        <w:adjustRightInd w:val="0"/>
        <w:spacing w:line="360" w:lineRule="auto"/>
        <w:ind w:firstLine="357"/>
        <w:textAlignment w:val="baseline"/>
        <w:outlineLvl w:val="9"/>
        <w:rPr>
          <w:rFonts w:ascii="仿宋" w:hAnsi="仿宋" w:eastAsia="仿宋" w:cs="仿宋"/>
          <w:color w:val="000000"/>
          <w:sz w:val="28"/>
          <w:szCs w:val="21"/>
        </w:rPr>
      </w:pPr>
      <w:r>
        <w:rPr>
          <w:rFonts w:hint="eastAsia" w:ascii="仿宋" w:hAnsi="仿宋" w:eastAsia="仿宋" w:cs="仿宋"/>
          <w:b/>
          <w:bCs/>
          <w:color w:val="000000"/>
          <w:sz w:val="28"/>
          <w:szCs w:val="21"/>
        </w:rPr>
        <w:t>字数：</w:t>
      </w:r>
      <w:r>
        <w:rPr>
          <w:rFonts w:hint="eastAsia" w:ascii="仿宋" w:hAnsi="仿宋" w:eastAsia="仿宋" w:cs="仿宋"/>
          <w:color w:val="000000"/>
          <w:sz w:val="28"/>
          <w:szCs w:val="21"/>
        </w:rPr>
        <w:t>填写本教材估计编写字数（16K页面、五号字体，1600字/页）。</w:t>
      </w:r>
    </w:p>
    <w:p>
      <w:pPr>
        <w:pageBreakBefore w:val="0"/>
        <w:numPr>
          <w:ilvl w:val="0"/>
          <w:numId w:val="10"/>
        </w:numPr>
        <w:topLinePunct w:val="0"/>
        <w:bidi w:val="0"/>
        <w:adjustRightInd w:val="0"/>
        <w:spacing w:line="360" w:lineRule="auto"/>
        <w:ind w:firstLine="357"/>
        <w:textAlignment w:val="baseline"/>
        <w:outlineLvl w:val="9"/>
        <w:rPr>
          <w:rFonts w:ascii="仿宋" w:hAnsi="仿宋" w:eastAsia="仿宋" w:cs="仿宋"/>
          <w:color w:val="000000"/>
          <w:sz w:val="28"/>
          <w:szCs w:val="21"/>
        </w:rPr>
      </w:pPr>
      <w:r>
        <w:rPr>
          <w:rFonts w:hint="eastAsia" w:ascii="仿宋" w:hAnsi="仿宋" w:eastAsia="仿宋" w:cs="仿宋"/>
          <w:b/>
          <w:bCs/>
          <w:color w:val="000000"/>
          <w:sz w:val="28"/>
          <w:szCs w:val="21"/>
        </w:rPr>
        <w:t>完稿时间：</w:t>
      </w:r>
      <w:r>
        <w:rPr>
          <w:rFonts w:hint="eastAsia" w:ascii="仿宋" w:hAnsi="仿宋" w:eastAsia="仿宋" w:cs="仿宋"/>
          <w:color w:val="000000"/>
          <w:sz w:val="28"/>
          <w:szCs w:val="21"/>
        </w:rPr>
        <w:t>填写本教材完稿时间。</w:t>
      </w:r>
    </w:p>
    <w:p>
      <w:pPr>
        <w:pageBreakBefore w:val="0"/>
        <w:numPr>
          <w:ilvl w:val="0"/>
          <w:numId w:val="10"/>
        </w:numPr>
        <w:topLinePunct w:val="0"/>
        <w:bidi w:val="0"/>
        <w:adjustRightInd w:val="0"/>
        <w:spacing w:line="360" w:lineRule="auto"/>
        <w:ind w:firstLine="357"/>
        <w:textAlignment w:val="baseline"/>
        <w:outlineLvl w:val="9"/>
        <w:rPr>
          <w:rFonts w:ascii="仿宋" w:hAnsi="仿宋" w:eastAsia="仿宋" w:cs="仿宋"/>
          <w:color w:val="000000"/>
          <w:sz w:val="28"/>
          <w:szCs w:val="21"/>
        </w:rPr>
      </w:pPr>
      <w:r>
        <w:rPr>
          <w:rFonts w:hint="eastAsia" w:ascii="仿宋" w:hAnsi="仿宋" w:eastAsia="仿宋" w:cs="仿宋"/>
          <w:b/>
          <w:bCs/>
          <w:color w:val="000000"/>
          <w:sz w:val="28"/>
          <w:szCs w:val="21"/>
        </w:rPr>
        <w:t>参编人员情况：</w:t>
      </w:r>
      <w:r>
        <w:rPr>
          <w:rFonts w:hint="eastAsia" w:ascii="仿宋" w:hAnsi="仿宋" w:eastAsia="仿宋" w:cs="仿宋"/>
          <w:color w:val="000000"/>
          <w:sz w:val="28"/>
          <w:szCs w:val="21"/>
        </w:rPr>
        <w:t>填写本教材的参编人员的基本情况，其中承担任务应填写编写章节</w:t>
      </w:r>
    </w:p>
    <w:p>
      <w:pPr>
        <w:pageBreakBefore w:val="0"/>
        <w:topLinePunct w:val="0"/>
        <w:bidi w:val="0"/>
        <w:spacing w:line="360" w:lineRule="auto"/>
        <w:outlineLvl w:val="9"/>
        <w:rPr>
          <w:rFonts w:ascii="仿宋" w:hAnsi="仿宋" w:eastAsia="仿宋" w:cs="仿宋"/>
          <w:b/>
          <w:bCs/>
          <w:color w:val="000000"/>
          <w:sz w:val="28"/>
          <w:szCs w:val="21"/>
        </w:rPr>
      </w:pPr>
    </w:p>
    <w:p>
      <w:pPr>
        <w:pageBreakBefore w:val="0"/>
        <w:topLinePunct w:val="0"/>
        <w:bidi w:val="0"/>
        <w:spacing w:line="360" w:lineRule="auto"/>
        <w:outlineLvl w:val="9"/>
        <w:rPr>
          <w:rFonts w:ascii="仿宋" w:hAnsi="仿宋" w:eastAsia="仿宋" w:cs="仿宋"/>
          <w:b/>
          <w:bCs/>
          <w:color w:val="000000"/>
          <w:sz w:val="28"/>
          <w:szCs w:val="21"/>
        </w:rPr>
      </w:pPr>
    </w:p>
    <w:p>
      <w:pPr>
        <w:pageBreakBefore w:val="0"/>
        <w:topLinePunct w:val="0"/>
        <w:bidi w:val="0"/>
        <w:spacing w:line="360" w:lineRule="auto"/>
        <w:outlineLvl w:val="9"/>
        <w:rPr>
          <w:rFonts w:ascii="仿宋" w:hAnsi="仿宋" w:eastAsia="仿宋" w:cs="仿宋"/>
          <w:b/>
          <w:bCs/>
          <w:color w:val="000000"/>
          <w:sz w:val="28"/>
          <w:szCs w:val="21"/>
        </w:rPr>
      </w:pPr>
    </w:p>
    <w:p>
      <w:pPr>
        <w:pageBreakBefore w:val="0"/>
        <w:topLinePunct w:val="0"/>
        <w:bidi w:val="0"/>
        <w:spacing w:line="360" w:lineRule="auto"/>
        <w:outlineLvl w:val="9"/>
        <w:rPr>
          <w:rFonts w:ascii="仿宋" w:hAnsi="仿宋" w:eastAsia="仿宋" w:cs="仿宋"/>
          <w:b/>
          <w:bCs/>
          <w:color w:val="000000"/>
          <w:sz w:val="28"/>
          <w:szCs w:val="21"/>
        </w:rPr>
      </w:pPr>
    </w:p>
    <w:p>
      <w:pPr>
        <w:pageBreakBefore w:val="0"/>
        <w:topLinePunct w:val="0"/>
        <w:bidi w:val="0"/>
        <w:spacing w:line="360" w:lineRule="auto"/>
        <w:outlineLvl w:val="9"/>
        <w:rPr>
          <w:rFonts w:ascii="仿宋" w:hAnsi="仿宋" w:eastAsia="仿宋" w:cs="仿宋"/>
          <w:b/>
          <w:bCs/>
          <w:color w:val="000000"/>
          <w:sz w:val="28"/>
          <w:szCs w:val="21"/>
        </w:rPr>
      </w:pPr>
    </w:p>
    <w:p>
      <w:pPr>
        <w:pageBreakBefore w:val="0"/>
        <w:topLinePunct w:val="0"/>
        <w:bidi w:val="0"/>
        <w:spacing w:line="360" w:lineRule="auto"/>
        <w:outlineLvl w:val="9"/>
        <w:rPr>
          <w:rFonts w:ascii="仿宋" w:hAnsi="仿宋" w:eastAsia="仿宋" w:cs="仿宋"/>
          <w:color w:val="000000"/>
          <w:sz w:val="28"/>
          <w:szCs w:val="21"/>
        </w:rPr>
      </w:pPr>
      <w:r>
        <w:rPr>
          <w:rFonts w:hint="eastAsia" w:ascii="仿宋" w:hAnsi="仿宋" w:eastAsia="仿宋" w:cs="仿宋"/>
          <w:color w:val="000000"/>
          <w:sz w:val="28"/>
          <w:szCs w:val="21"/>
        </w:rPr>
        <w:t>注：1、请用黑色水笔签字；附页页码清楚。</w:t>
      </w:r>
    </w:p>
    <w:p>
      <w:pPr>
        <w:pageBreakBefore w:val="0"/>
        <w:topLinePunct w:val="0"/>
        <w:bidi w:val="0"/>
        <w:spacing w:line="360" w:lineRule="auto"/>
        <w:ind w:firstLine="560" w:firstLineChars="200"/>
        <w:outlineLvl w:val="9"/>
        <w:rPr>
          <w:rFonts w:ascii="仿宋" w:hAnsi="仿宋" w:eastAsia="仿宋" w:cs="仿宋"/>
          <w:color w:val="000000"/>
          <w:sz w:val="28"/>
          <w:szCs w:val="21"/>
        </w:rPr>
      </w:pPr>
      <w:r>
        <w:rPr>
          <w:rFonts w:hint="eastAsia" w:ascii="仿宋" w:hAnsi="仿宋" w:eastAsia="仿宋" w:cs="仿宋"/>
          <w:color w:val="000000"/>
          <w:sz w:val="28"/>
          <w:szCs w:val="21"/>
        </w:rPr>
        <w:t>2、编写格式要求参照给出的16K模板的格式。</w:t>
      </w:r>
    </w:p>
    <w:p>
      <w:pPr>
        <w:pageBreakBefore w:val="0"/>
        <w:topLinePunct w:val="0"/>
        <w:bidi w:val="0"/>
        <w:spacing w:line="360" w:lineRule="auto"/>
        <w:outlineLvl w:val="9"/>
        <w:rPr>
          <w:rFonts w:ascii="仿宋" w:hAnsi="仿宋" w:eastAsia="仿宋" w:cs="仿宋"/>
          <w:b/>
          <w:bCs/>
          <w:color w:val="000000"/>
          <w:szCs w:val="21"/>
        </w:rPr>
      </w:pPr>
    </w:p>
    <w:tbl>
      <w:tblPr>
        <w:tblStyle w:val="37"/>
        <w:tblW w:w="9008"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359"/>
        <w:gridCol w:w="720"/>
        <w:gridCol w:w="180"/>
        <w:gridCol w:w="360"/>
        <w:gridCol w:w="720"/>
        <w:gridCol w:w="180"/>
        <w:gridCol w:w="180"/>
        <w:gridCol w:w="540"/>
        <w:gridCol w:w="180"/>
        <w:gridCol w:w="897"/>
        <w:gridCol w:w="7"/>
        <w:gridCol w:w="720"/>
        <w:gridCol w:w="360"/>
        <w:gridCol w:w="899"/>
        <w:gridCol w:w="180"/>
        <w:gridCol w:w="29"/>
        <w:gridCol w:w="511"/>
        <w:gridCol w:w="339"/>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1086" w:type="dxa"/>
            <w:gridSpan w:val="2"/>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教材名称</w:t>
            </w:r>
          </w:p>
        </w:tc>
        <w:tc>
          <w:tcPr>
            <w:tcW w:w="3964" w:type="dxa"/>
            <w:gridSpan w:val="10"/>
            <w:noWrap w:val="0"/>
            <w:vAlign w:val="center"/>
          </w:tcPr>
          <w:p>
            <w:pPr>
              <w:pageBreakBefore w:val="0"/>
              <w:topLinePunct w:val="0"/>
              <w:bidi w:val="0"/>
              <w:jc w:val="center"/>
              <w:outlineLvl w:val="9"/>
              <w:rPr>
                <w:rFonts w:ascii="仿宋" w:hAnsi="仿宋" w:eastAsia="仿宋" w:cs="仿宋"/>
                <w:color w:val="000000"/>
              </w:rPr>
            </w:pPr>
          </w:p>
        </w:tc>
        <w:tc>
          <w:tcPr>
            <w:tcW w:w="1080" w:type="dxa"/>
            <w:gridSpan w:val="2"/>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教材类型</w:t>
            </w:r>
          </w:p>
        </w:tc>
        <w:tc>
          <w:tcPr>
            <w:tcW w:w="2878" w:type="dxa"/>
            <w:gridSpan w:val="6"/>
            <w:noWrap w:val="0"/>
            <w:vAlign w:val="center"/>
          </w:tcPr>
          <w:p>
            <w:pPr>
              <w:pageBreakBefore w:val="0"/>
              <w:topLinePunct w:val="0"/>
              <w:bidi w:val="0"/>
              <w:snapToGrid w:val="0"/>
              <w:ind w:firstLine="140" w:firstLineChars="50"/>
              <w:outlineLvl w:val="9"/>
              <w:rPr>
                <w:rFonts w:ascii="仿宋" w:hAnsi="仿宋" w:eastAsia="仿宋" w:cs="仿宋"/>
                <w:color w:val="000000"/>
                <w:sz w:val="18"/>
                <w:szCs w:val="18"/>
              </w:rPr>
            </w:pPr>
            <w:r>
              <w:rPr>
                <w:rFonts w:hint="eastAsia" w:ascii="仿宋" w:hAnsi="仿宋" w:eastAsia="仿宋" w:cs="仿宋"/>
                <w:color w:val="000000"/>
                <w:sz w:val="28"/>
                <w:szCs w:val="28"/>
              </w:rPr>
              <w:t>□</w:t>
            </w:r>
            <w:r>
              <w:rPr>
                <w:rFonts w:hint="eastAsia" w:ascii="仿宋" w:hAnsi="仿宋" w:eastAsia="仿宋" w:cs="仿宋"/>
                <w:color w:val="000000"/>
                <w:sz w:val="18"/>
                <w:szCs w:val="18"/>
              </w:rPr>
              <w:t>工学结合创新教材</w:t>
            </w:r>
          </w:p>
          <w:p>
            <w:pPr>
              <w:pageBreakBefore w:val="0"/>
              <w:topLinePunct w:val="0"/>
              <w:bidi w:val="0"/>
              <w:snapToGrid w:val="0"/>
              <w:ind w:firstLine="140" w:firstLineChars="50"/>
              <w:outlineLvl w:val="9"/>
              <w:rPr>
                <w:rFonts w:ascii="仿宋" w:hAnsi="仿宋" w:eastAsia="仿宋" w:cs="仿宋"/>
                <w:color w:val="000000"/>
                <w:sz w:val="18"/>
                <w:szCs w:val="18"/>
              </w:rPr>
            </w:pPr>
            <w:r>
              <w:rPr>
                <w:rFonts w:hint="eastAsia" w:ascii="仿宋" w:hAnsi="仿宋" w:eastAsia="仿宋" w:cs="仿宋"/>
                <w:color w:val="000000"/>
                <w:sz w:val="28"/>
                <w:szCs w:val="28"/>
              </w:rPr>
              <w:t>□</w:t>
            </w:r>
            <w:r>
              <w:rPr>
                <w:rFonts w:hint="eastAsia" w:ascii="仿宋" w:hAnsi="仿宋" w:eastAsia="仿宋" w:cs="仿宋"/>
                <w:color w:val="000000"/>
                <w:sz w:val="18"/>
                <w:szCs w:val="18"/>
              </w:rPr>
              <w:t xml:space="preserve">实训教材 </w:t>
            </w:r>
            <w:r>
              <w:rPr>
                <w:rFonts w:ascii="仿宋" w:hAnsi="仿宋" w:eastAsia="仿宋" w:cs="仿宋"/>
                <w:color w:val="000000"/>
                <w:sz w:val="18"/>
                <w:szCs w:val="18"/>
              </w:rPr>
              <w:t xml:space="preserve"> </w:t>
            </w:r>
            <w:r>
              <w:rPr>
                <w:rFonts w:hint="eastAsia" w:ascii="仿宋" w:hAnsi="仿宋" w:eastAsia="仿宋" w:cs="仿宋"/>
                <w:color w:val="000000"/>
                <w:sz w:val="28"/>
                <w:szCs w:val="28"/>
              </w:rPr>
              <w:t>□</w:t>
            </w:r>
            <w:r>
              <w:rPr>
                <w:rFonts w:hint="eastAsia" w:ascii="仿宋" w:hAnsi="仿宋" w:eastAsia="仿宋" w:cs="仿宋"/>
                <w:color w:val="000000"/>
                <w:sz w:val="18"/>
                <w:szCs w:val="18"/>
              </w:rPr>
              <w:t>实验教材</w:t>
            </w:r>
          </w:p>
          <w:p>
            <w:pPr>
              <w:pageBreakBefore w:val="0"/>
              <w:topLinePunct w:val="0"/>
              <w:bidi w:val="0"/>
              <w:snapToGrid w:val="0"/>
              <w:ind w:firstLine="140" w:firstLineChars="50"/>
              <w:outlineLvl w:val="9"/>
              <w:rPr>
                <w:rFonts w:ascii="仿宋" w:hAnsi="仿宋" w:eastAsia="仿宋" w:cs="仿宋"/>
                <w:color w:val="000000"/>
                <w:sz w:val="18"/>
                <w:szCs w:val="18"/>
              </w:rPr>
            </w:pPr>
            <w:r>
              <w:rPr>
                <w:rFonts w:hint="eastAsia" w:ascii="仿宋" w:hAnsi="仿宋" w:eastAsia="仿宋" w:cs="仿宋"/>
                <w:color w:val="000000"/>
                <w:sz w:val="28"/>
                <w:szCs w:val="28"/>
              </w:rPr>
              <w:t>□</w:t>
            </w:r>
            <w:r>
              <w:rPr>
                <w:rFonts w:hint="eastAsia" w:ascii="仿宋" w:hAnsi="仿宋" w:eastAsia="仿宋" w:cs="仿宋"/>
                <w:color w:val="000000"/>
                <w:sz w:val="18"/>
                <w:szCs w:val="18"/>
              </w:rPr>
              <w:t>活页式教材</w:t>
            </w:r>
            <w:r>
              <w:rPr>
                <w:rFonts w:hint="eastAsia" w:ascii="仿宋" w:hAnsi="仿宋" w:eastAsia="仿宋" w:cs="仿宋"/>
                <w:color w:val="000000"/>
                <w:sz w:val="28"/>
                <w:szCs w:val="28"/>
              </w:rPr>
              <w:t>□</w:t>
            </w:r>
            <w:r>
              <w:rPr>
                <w:rFonts w:hint="eastAsia" w:ascii="仿宋" w:hAnsi="仿宋" w:eastAsia="仿宋" w:cs="仿宋"/>
                <w:color w:val="000000"/>
                <w:sz w:val="18"/>
                <w:szCs w:val="18"/>
              </w:rPr>
              <w:t>立体式教材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1086" w:type="dxa"/>
            <w:gridSpan w:val="2"/>
            <w:noWrap w:val="0"/>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color w:val="000000"/>
              </w:rPr>
              <w:t>适用专业</w:t>
            </w:r>
          </w:p>
        </w:tc>
        <w:tc>
          <w:tcPr>
            <w:tcW w:w="3957" w:type="dxa"/>
            <w:gridSpan w:val="9"/>
            <w:noWrap w:val="0"/>
            <w:vAlign w:val="center"/>
          </w:tcPr>
          <w:p>
            <w:pPr>
              <w:pageBreakBefore w:val="0"/>
              <w:topLinePunct w:val="0"/>
              <w:bidi w:val="0"/>
              <w:jc w:val="center"/>
              <w:outlineLvl w:val="9"/>
              <w:rPr>
                <w:rFonts w:ascii="仿宋" w:hAnsi="仿宋" w:eastAsia="仿宋" w:cs="仿宋"/>
                <w:color w:val="000000"/>
                <w:szCs w:val="21"/>
              </w:rPr>
            </w:pPr>
          </w:p>
        </w:tc>
        <w:tc>
          <w:tcPr>
            <w:tcW w:w="1087" w:type="dxa"/>
            <w:gridSpan w:val="3"/>
            <w:noWrap w:val="0"/>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适用课程名称</w:t>
            </w:r>
          </w:p>
        </w:tc>
        <w:tc>
          <w:tcPr>
            <w:tcW w:w="2878" w:type="dxa"/>
            <w:gridSpan w:val="6"/>
            <w:noWrap w:val="0"/>
            <w:vAlign w:val="center"/>
          </w:tcPr>
          <w:p>
            <w:pPr>
              <w:pageBreakBefore w:val="0"/>
              <w:topLinePunct w:val="0"/>
              <w:bidi w:val="0"/>
              <w:snapToGrid w:val="0"/>
              <w:outlineLvl w:val="9"/>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2" w:hRule="atLeast"/>
        </w:trPr>
        <w:tc>
          <w:tcPr>
            <w:tcW w:w="1086" w:type="dxa"/>
            <w:gridSpan w:val="2"/>
            <w:noWrap w:val="0"/>
            <w:vAlign w:val="center"/>
          </w:tcPr>
          <w:p>
            <w:pPr>
              <w:pageBreakBefore w:val="0"/>
              <w:topLinePunct w:val="0"/>
              <w:bidi w:val="0"/>
              <w:jc w:val="center"/>
              <w:outlineLvl w:val="9"/>
              <w:rPr>
                <w:rFonts w:ascii="仿宋" w:hAnsi="仿宋" w:eastAsia="仿宋" w:cs="仿宋"/>
                <w:bCs/>
                <w:color w:val="000000"/>
                <w:szCs w:val="21"/>
              </w:rPr>
            </w:pPr>
            <w:r>
              <w:rPr>
                <w:rFonts w:hint="eastAsia" w:ascii="仿宋" w:hAnsi="仿宋" w:eastAsia="仿宋" w:cs="仿宋"/>
                <w:bCs/>
                <w:color w:val="000000"/>
                <w:szCs w:val="21"/>
              </w:rPr>
              <w:t>建议学时</w:t>
            </w:r>
          </w:p>
        </w:tc>
        <w:tc>
          <w:tcPr>
            <w:tcW w:w="1260" w:type="dxa"/>
            <w:gridSpan w:val="3"/>
            <w:noWrap w:val="0"/>
            <w:vAlign w:val="center"/>
          </w:tcPr>
          <w:p>
            <w:pPr>
              <w:pageBreakBefore w:val="0"/>
              <w:topLinePunct w:val="0"/>
              <w:bidi w:val="0"/>
              <w:jc w:val="center"/>
              <w:outlineLvl w:val="9"/>
              <w:rPr>
                <w:rFonts w:ascii="仿宋" w:hAnsi="仿宋" w:eastAsia="仿宋" w:cs="仿宋"/>
                <w:color w:val="000000"/>
                <w:szCs w:val="21"/>
              </w:rPr>
            </w:pPr>
          </w:p>
        </w:tc>
        <w:tc>
          <w:tcPr>
            <w:tcW w:w="1080" w:type="dxa"/>
            <w:gridSpan w:val="3"/>
            <w:noWrap w:val="0"/>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字数</w:t>
            </w:r>
          </w:p>
        </w:tc>
        <w:tc>
          <w:tcPr>
            <w:tcW w:w="1624" w:type="dxa"/>
            <w:gridSpan w:val="4"/>
            <w:noWrap w:val="0"/>
            <w:vAlign w:val="center"/>
          </w:tcPr>
          <w:p>
            <w:pPr>
              <w:pageBreakBefore w:val="0"/>
              <w:topLinePunct w:val="0"/>
              <w:bidi w:val="0"/>
              <w:jc w:val="center"/>
              <w:outlineLvl w:val="9"/>
              <w:rPr>
                <w:rFonts w:ascii="仿宋" w:hAnsi="仿宋" w:eastAsia="仿宋" w:cs="仿宋"/>
                <w:color w:val="000000"/>
                <w:szCs w:val="21"/>
              </w:rPr>
            </w:pPr>
          </w:p>
        </w:tc>
        <w:tc>
          <w:tcPr>
            <w:tcW w:w="1080" w:type="dxa"/>
            <w:gridSpan w:val="2"/>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完稿时间</w:t>
            </w:r>
          </w:p>
        </w:tc>
        <w:tc>
          <w:tcPr>
            <w:tcW w:w="1108" w:type="dxa"/>
            <w:gridSpan w:val="3"/>
            <w:noWrap w:val="0"/>
            <w:vAlign w:val="center"/>
          </w:tcPr>
          <w:p>
            <w:pPr>
              <w:pageBreakBefore w:val="0"/>
              <w:topLinePunct w:val="0"/>
              <w:bidi w:val="0"/>
              <w:snapToGrid w:val="0"/>
              <w:ind w:firstLine="105" w:firstLineChars="50"/>
              <w:outlineLvl w:val="9"/>
              <w:rPr>
                <w:rFonts w:ascii="仿宋" w:hAnsi="仿宋" w:eastAsia="仿宋" w:cs="仿宋"/>
                <w:color w:val="000000"/>
                <w:szCs w:val="21"/>
              </w:rPr>
            </w:pPr>
          </w:p>
        </w:tc>
        <w:tc>
          <w:tcPr>
            <w:tcW w:w="850" w:type="dxa"/>
            <w:gridSpan w:val="2"/>
            <w:noWrap w:val="0"/>
            <w:vAlign w:val="center"/>
          </w:tcPr>
          <w:p>
            <w:pPr>
              <w:pageBreakBefore w:val="0"/>
              <w:topLinePunct w:val="0"/>
              <w:bidi w:val="0"/>
              <w:snapToGrid w:val="0"/>
              <w:ind w:firstLine="105" w:firstLineChars="50"/>
              <w:outlineLvl w:val="9"/>
              <w:rPr>
                <w:rFonts w:ascii="仿宋" w:hAnsi="仿宋" w:eastAsia="仿宋" w:cs="仿宋"/>
                <w:color w:val="000000"/>
                <w:szCs w:val="21"/>
              </w:rPr>
            </w:pPr>
            <w:r>
              <w:rPr>
                <w:rFonts w:hint="eastAsia" w:ascii="仿宋" w:hAnsi="仿宋" w:eastAsia="仿宋" w:cs="仿宋"/>
                <w:color w:val="000000"/>
                <w:szCs w:val="21"/>
              </w:rPr>
              <w:t>版本</w:t>
            </w:r>
          </w:p>
        </w:tc>
        <w:tc>
          <w:tcPr>
            <w:tcW w:w="920" w:type="dxa"/>
            <w:noWrap w:val="0"/>
            <w:vAlign w:val="center"/>
          </w:tcPr>
          <w:p>
            <w:pPr>
              <w:pageBreakBefore w:val="0"/>
              <w:topLinePunct w:val="0"/>
              <w:bidi w:val="0"/>
              <w:snapToGrid w:val="0"/>
              <w:ind w:firstLine="105" w:firstLineChars="50"/>
              <w:outlineLvl w:val="9"/>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727" w:type="dxa"/>
            <w:vMerge w:val="restart"/>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主  编</w:t>
            </w:r>
          </w:p>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基</w:t>
            </w:r>
          </w:p>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本</w:t>
            </w:r>
          </w:p>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情</w:t>
            </w:r>
          </w:p>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况</w:t>
            </w:r>
          </w:p>
        </w:tc>
        <w:tc>
          <w:tcPr>
            <w:tcW w:w="1079" w:type="dxa"/>
            <w:gridSpan w:val="2"/>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姓    名</w:t>
            </w:r>
          </w:p>
        </w:tc>
        <w:tc>
          <w:tcPr>
            <w:tcW w:w="1440" w:type="dxa"/>
            <w:gridSpan w:val="4"/>
            <w:noWrap w:val="0"/>
            <w:vAlign w:val="center"/>
          </w:tcPr>
          <w:p>
            <w:pPr>
              <w:pageBreakBefore w:val="0"/>
              <w:topLinePunct w:val="0"/>
              <w:bidi w:val="0"/>
              <w:jc w:val="center"/>
              <w:outlineLvl w:val="9"/>
              <w:rPr>
                <w:rFonts w:ascii="仿宋" w:hAnsi="仿宋" w:eastAsia="仿宋" w:cs="仿宋"/>
                <w:color w:val="000000"/>
              </w:rPr>
            </w:pPr>
          </w:p>
        </w:tc>
        <w:tc>
          <w:tcPr>
            <w:tcW w:w="720" w:type="dxa"/>
            <w:gridSpan w:val="2"/>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性别</w:t>
            </w:r>
          </w:p>
        </w:tc>
        <w:tc>
          <w:tcPr>
            <w:tcW w:w="1084" w:type="dxa"/>
            <w:gridSpan w:val="3"/>
            <w:noWrap w:val="0"/>
            <w:vAlign w:val="center"/>
          </w:tcPr>
          <w:p>
            <w:pPr>
              <w:pageBreakBefore w:val="0"/>
              <w:topLinePunct w:val="0"/>
              <w:bidi w:val="0"/>
              <w:jc w:val="center"/>
              <w:outlineLvl w:val="9"/>
              <w:rPr>
                <w:rFonts w:ascii="仿宋" w:hAnsi="仿宋" w:eastAsia="仿宋" w:cs="仿宋"/>
                <w:color w:val="000000"/>
              </w:rPr>
            </w:pPr>
          </w:p>
        </w:tc>
        <w:tc>
          <w:tcPr>
            <w:tcW w:w="1080" w:type="dxa"/>
            <w:gridSpan w:val="2"/>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出生年月</w:t>
            </w:r>
          </w:p>
        </w:tc>
        <w:tc>
          <w:tcPr>
            <w:tcW w:w="2878" w:type="dxa"/>
            <w:gridSpan w:val="6"/>
            <w:noWrap w:val="0"/>
            <w:vAlign w:val="center"/>
          </w:tcPr>
          <w:p>
            <w:pPr>
              <w:pageBreakBefore w:val="0"/>
              <w:topLinePunct w:val="0"/>
              <w:bidi w:val="0"/>
              <w:jc w:val="center"/>
              <w:outlineLvl w:val="9"/>
              <w:rPr>
                <w:rFonts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727" w:type="dxa"/>
            <w:vMerge w:val="continue"/>
            <w:noWrap w:val="0"/>
            <w:vAlign w:val="center"/>
          </w:tcPr>
          <w:p>
            <w:pPr>
              <w:pageBreakBefore w:val="0"/>
              <w:topLinePunct w:val="0"/>
              <w:bidi w:val="0"/>
              <w:jc w:val="center"/>
              <w:outlineLvl w:val="9"/>
              <w:rPr>
                <w:rFonts w:ascii="仿宋" w:hAnsi="仿宋" w:eastAsia="仿宋" w:cs="仿宋"/>
                <w:color w:val="000000"/>
              </w:rPr>
            </w:pPr>
          </w:p>
        </w:tc>
        <w:tc>
          <w:tcPr>
            <w:tcW w:w="1079" w:type="dxa"/>
            <w:gridSpan w:val="2"/>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最终学历</w:t>
            </w:r>
          </w:p>
        </w:tc>
        <w:tc>
          <w:tcPr>
            <w:tcW w:w="1440" w:type="dxa"/>
            <w:gridSpan w:val="4"/>
            <w:noWrap w:val="0"/>
            <w:vAlign w:val="center"/>
          </w:tcPr>
          <w:p>
            <w:pPr>
              <w:pageBreakBefore w:val="0"/>
              <w:topLinePunct w:val="0"/>
              <w:bidi w:val="0"/>
              <w:jc w:val="center"/>
              <w:outlineLvl w:val="9"/>
              <w:rPr>
                <w:rFonts w:ascii="仿宋" w:hAnsi="仿宋" w:eastAsia="仿宋" w:cs="仿宋"/>
                <w:color w:val="000000"/>
              </w:rPr>
            </w:pPr>
          </w:p>
        </w:tc>
        <w:tc>
          <w:tcPr>
            <w:tcW w:w="720" w:type="dxa"/>
            <w:gridSpan w:val="2"/>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学位</w:t>
            </w:r>
          </w:p>
        </w:tc>
        <w:tc>
          <w:tcPr>
            <w:tcW w:w="1084" w:type="dxa"/>
            <w:gridSpan w:val="3"/>
            <w:noWrap w:val="0"/>
            <w:vAlign w:val="center"/>
          </w:tcPr>
          <w:p>
            <w:pPr>
              <w:pageBreakBefore w:val="0"/>
              <w:topLinePunct w:val="0"/>
              <w:bidi w:val="0"/>
              <w:jc w:val="center"/>
              <w:outlineLvl w:val="9"/>
              <w:rPr>
                <w:rFonts w:ascii="仿宋" w:hAnsi="仿宋" w:eastAsia="仿宋" w:cs="仿宋"/>
                <w:color w:val="000000"/>
              </w:rPr>
            </w:pPr>
          </w:p>
        </w:tc>
        <w:tc>
          <w:tcPr>
            <w:tcW w:w="720" w:type="dxa"/>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职称</w:t>
            </w:r>
          </w:p>
        </w:tc>
        <w:tc>
          <w:tcPr>
            <w:tcW w:w="1259" w:type="dxa"/>
            <w:gridSpan w:val="2"/>
            <w:noWrap w:val="0"/>
            <w:vAlign w:val="center"/>
          </w:tcPr>
          <w:p>
            <w:pPr>
              <w:pageBreakBefore w:val="0"/>
              <w:topLinePunct w:val="0"/>
              <w:bidi w:val="0"/>
              <w:jc w:val="center"/>
              <w:outlineLvl w:val="9"/>
              <w:rPr>
                <w:rFonts w:ascii="仿宋" w:hAnsi="仿宋" w:eastAsia="仿宋" w:cs="仿宋"/>
                <w:color w:val="000000"/>
              </w:rPr>
            </w:pPr>
          </w:p>
        </w:tc>
        <w:tc>
          <w:tcPr>
            <w:tcW w:w="720" w:type="dxa"/>
            <w:gridSpan w:val="3"/>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职务</w:t>
            </w:r>
          </w:p>
        </w:tc>
        <w:tc>
          <w:tcPr>
            <w:tcW w:w="1259" w:type="dxa"/>
            <w:gridSpan w:val="2"/>
            <w:noWrap w:val="0"/>
            <w:vAlign w:val="center"/>
          </w:tcPr>
          <w:p>
            <w:pPr>
              <w:pageBreakBefore w:val="0"/>
              <w:topLinePunct w:val="0"/>
              <w:bidi w:val="0"/>
              <w:jc w:val="center"/>
              <w:outlineLvl w:val="9"/>
              <w:rPr>
                <w:rFonts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727" w:type="dxa"/>
            <w:vMerge w:val="continue"/>
            <w:noWrap w:val="0"/>
            <w:vAlign w:val="center"/>
          </w:tcPr>
          <w:p>
            <w:pPr>
              <w:pageBreakBefore w:val="0"/>
              <w:topLinePunct w:val="0"/>
              <w:bidi w:val="0"/>
              <w:jc w:val="center"/>
              <w:outlineLvl w:val="9"/>
              <w:rPr>
                <w:rFonts w:ascii="仿宋" w:hAnsi="仿宋" w:eastAsia="仿宋" w:cs="仿宋"/>
                <w:color w:val="000000"/>
              </w:rPr>
            </w:pPr>
          </w:p>
        </w:tc>
        <w:tc>
          <w:tcPr>
            <w:tcW w:w="1079" w:type="dxa"/>
            <w:gridSpan w:val="2"/>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毕业院校</w:t>
            </w:r>
          </w:p>
        </w:tc>
        <w:tc>
          <w:tcPr>
            <w:tcW w:w="3244" w:type="dxa"/>
            <w:gridSpan w:val="9"/>
            <w:noWrap w:val="0"/>
            <w:vAlign w:val="center"/>
          </w:tcPr>
          <w:p>
            <w:pPr>
              <w:pageBreakBefore w:val="0"/>
              <w:topLinePunct w:val="0"/>
              <w:bidi w:val="0"/>
              <w:jc w:val="center"/>
              <w:outlineLvl w:val="9"/>
              <w:rPr>
                <w:rFonts w:ascii="仿宋" w:hAnsi="仿宋" w:eastAsia="仿宋" w:cs="仿宋"/>
                <w:color w:val="000000"/>
              </w:rPr>
            </w:pPr>
          </w:p>
        </w:tc>
        <w:tc>
          <w:tcPr>
            <w:tcW w:w="720" w:type="dxa"/>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专业</w:t>
            </w:r>
          </w:p>
        </w:tc>
        <w:tc>
          <w:tcPr>
            <w:tcW w:w="3238" w:type="dxa"/>
            <w:gridSpan w:val="7"/>
            <w:noWrap w:val="0"/>
            <w:vAlign w:val="center"/>
          </w:tcPr>
          <w:p>
            <w:pPr>
              <w:pageBreakBefore w:val="0"/>
              <w:topLinePunct w:val="0"/>
              <w:bidi w:val="0"/>
              <w:jc w:val="center"/>
              <w:outlineLvl w:val="9"/>
              <w:rPr>
                <w:rFonts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5" w:hRule="atLeast"/>
        </w:trPr>
        <w:tc>
          <w:tcPr>
            <w:tcW w:w="727" w:type="dxa"/>
            <w:vMerge w:val="continue"/>
            <w:noWrap w:val="0"/>
            <w:vAlign w:val="center"/>
          </w:tcPr>
          <w:p>
            <w:pPr>
              <w:pageBreakBefore w:val="0"/>
              <w:topLinePunct w:val="0"/>
              <w:bidi w:val="0"/>
              <w:jc w:val="center"/>
              <w:outlineLvl w:val="9"/>
              <w:rPr>
                <w:rFonts w:ascii="仿宋" w:hAnsi="仿宋" w:eastAsia="仿宋" w:cs="仿宋"/>
                <w:color w:val="000000"/>
              </w:rPr>
            </w:pPr>
          </w:p>
        </w:tc>
        <w:tc>
          <w:tcPr>
            <w:tcW w:w="8281" w:type="dxa"/>
            <w:gridSpan w:val="19"/>
            <w:noWrap w:val="0"/>
            <w:vAlign w:val="center"/>
          </w:tcPr>
          <w:p>
            <w:pPr>
              <w:pageBreakBefore w:val="0"/>
              <w:topLinePunct w:val="0"/>
              <w:bidi w:val="0"/>
              <w:outlineLvl w:val="9"/>
              <w:rPr>
                <w:rFonts w:ascii="仿宋" w:hAnsi="仿宋" w:eastAsia="仿宋" w:cs="仿宋"/>
                <w:color w:val="000000"/>
                <w:szCs w:val="21"/>
              </w:rPr>
            </w:pPr>
            <w:r>
              <w:rPr>
                <w:rFonts w:hint="eastAsia" w:ascii="仿宋" w:hAnsi="仿宋" w:eastAsia="仿宋" w:cs="仿宋"/>
                <w:color w:val="000000"/>
                <w:szCs w:val="21"/>
              </w:rPr>
              <w:t>教学经历（含所任课程名称、授课对象、授课年月。可另附页）</w:t>
            </w:r>
          </w:p>
          <w:p>
            <w:pPr>
              <w:pageBreakBefore w:val="0"/>
              <w:topLinePunct w:val="0"/>
              <w:bidi w:val="0"/>
              <w:outlineLvl w:val="9"/>
              <w:rPr>
                <w:rFonts w:ascii="仿宋" w:hAnsi="仿宋" w:eastAsia="仿宋" w:cs="仿宋"/>
                <w:color w:val="000000"/>
                <w:szCs w:val="21"/>
              </w:rPr>
            </w:pPr>
          </w:p>
          <w:p>
            <w:pPr>
              <w:pageBreakBefore w:val="0"/>
              <w:topLinePunct w:val="0"/>
              <w:bidi w:val="0"/>
              <w:outlineLvl w:val="9"/>
              <w:rPr>
                <w:rFonts w:ascii="仿宋" w:hAnsi="仿宋" w:eastAsia="仿宋" w:cs="仿宋"/>
                <w:color w:val="000000"/>
                <w:szCs w:val="21"/>
              </w:rPr>
            </w:pPr>
          </w:p>
          <w:p>
            <w:pPr>
              <w:pageBreakBefore w:val="0"/>
              <w:topLinePunct w:val="0"/>
              <w:bidi w:val="0"/>
              <w:outlineLvl w:val="9"/>
              <w:rPr>
                <w:rFonts w:ascii="仿宋" w:hAnsi="仿宋" w:eastAsia="仿宋" w:cs="仿宋"/>
                <w:color w:val="000000"/>
                <w:szCs w:val="21"/>
              </w:rPr>
            </w:pPr>
          </w:p>
          <w:p>
            <w:pPr>
              <w:pageBreakBefore w:val="0"/>
              <w:topLinePunct w:val="0"/>
              <w:bidi w:val="0"/>
              <w:outlineLvl w:val="9"/>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9" w:hRule="atLeast"/>
        </w:trPr>
        <w:tc>
          <w:tcPr>
            <w:tcW w:w="727" w:type="dxa"/>
            <w:vMerge w:val="continue"/>
            <w:noWrap w:val="0"/>
            <w:vAlign w:val="center"/>
          </w:tcPr>
          <w:p>
            <w:pPr>
              <w:pageBreakBefore w:val="0"/>
              <w:topLinePunct w:val="0"/>
              <w:bidi w:val="0"/>
              <w:jc w:val="center"/>
              <w:outlineLvl w:val="9"/>
              <w:rPr>
                <w:rFonts w:ascii="仿宋" w:hAnsi="仿宋" w:eastAsia="仿宋" w:cs="仿宋"/>
                <w:color w:val="000000"/>
              </w:rPr>
            </w:pPr>
          </w:p>
        </w:tc>
        <w:tc>
          <w:tcPr>
            <w:tcW w:w="8281" w:type="dxa"/>
            <w:gridSpan w:val="19"/>
            <w:noWrap w:val="0"/>
            <w:vAlign w:val="center"/>
          </w:tcPr>
          <w:p>
            <w:pPr>
              <w:pageBreakBefore w:val="0"/>
              <w:topLinePunct w:val="0"/>
              <w:bidi w:val="0"/>
              <w:spacing w:line="420" w:lineRule="exact"/>
              <w:outlineLvl w:val="9"/>
              <w:rPr>
                <w:rFonts w:ascii="仿宋" w:hAnsi="仿宋" w:eastAsia="仿宋" w:cs="仿宋"/>
                <w:color w:val="000000"/>
                <w:szCs w:val="21"/>
              </w:rPr>
            </w:pPr>
            <w:r>
              <w:rPr>
                <w:rFonts w:hint="eastAsia" w:ascii="仿宋" w:hAnsi="仿宋" w:eastAsia="仿宋" w:cs="仿宋"/>
                <w:color w:val="000000"/>
                <w:szCs w:val="21"/>
              </w:rPr>
              <w:t>以往教材编写情况（含教材名称、来源、适用专业、适用层次（本科、高职、中专）、适用课程名称、使用届数及出版发行情况、本人所起作用。可另附页）</w:t>
            </w:r>
          </w:p>
          <w:p>
            <w:pPr>
              <w:pageBreakBefore w:val="0"/>
              <w:topLinePunct w:val="0"/>
              <w:bidi w:val="0"/>
              <w:outlineLvl w:val="9"/>
              <w:rPr>
                <w:rFonts w:ascii="仿宋" w:hAnsi="仿宋" w:eastAsia="仿宋" w:cs="仿宋"/>
                <w:color w:val="000000"/>
                <w:szCs w:val="21"/>
              </w:rPr>
            </w:pPr>
          </w:p>
          <w:p>
            <w:pPr>
              <w:pageBreakBefore w:val="0"/>
              <w:topLinePunct w:val="0"/>
              <w:bidi w:val="0"/>
              <w:outlineLvl w:val="9"/>
              <w:rPr>
                <w:rFonts w:ascii="仿宋" w:hAnsi="仿宋" w:eastAsia="仿宋" w:cs="仿宋"/>
                <w:color w:val="000000"/>
                <w:szCs w:val="21"/>
              </w:rPr>
            </w:pPr>
          </w:p>
          <w:p>
            <w:pPr>
              <w:pageBreakBefore w:val="0"/>
              <w:topLinePunct w:val="0"/>
              <w:bidi w:val="0"/>
              <w:outlineLvl w:val="9"/>
              <w:rPr>
                <w:rFonts w:ascii="仿宋" w:hAnsi="仿宋" w:eastAsia="仿宋" w:cs="仿宋"/>
                <w:color w:val="000000"/>
                <w:szCs w:val="21"/>
              </w:rPr>
            </w:pPr>
          </w:p>
          <w:p>
            <w:pPr>
              <w:pageBreakBefore w:val="0"/>
              <w:topLinePunct w:val="0"/>
              <w:bidi w:val="0"/>
              <w:outlineLvl w:val="9"/>
              <w:rPr>
                <w:rFonts w:ascii="仿宋" w:hAnsi="仿宋" w:eastAsia="仿宋" w:cs="仿宋"/>
                <w:color w:val="000000"/>
                <w:szCs w:val="21"/>
              </w:rPr>
            </w:pPr>
          </w:p>
          <w:p>
            <w:pPr>
              <w:pageBreakBefore w:val="0"/>
              <w:topLinePunct w:val="0"/>
              <w:bidi w:val="0"/>
              <w:outlineLvl w:val="9"/>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0" w:hRule="atLeast"/>
        </w:trPr>
        <w:tc>
          <w:tcPr>
            <w:tcW w:w="727" w:type="dxa"/>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立体化、活页式教材</w:t>
            </w:r>
          </w:p>
        </w:tc>
        <w:tc>
          <w:tcPr>
            <w:tcW w:w="8281" w:type="dxa"/>
            <w:gridSpan w:val="19"/>
            <w:noWrap w:val="0"/>
            <w:vAlign w:val="top"/>
          </w:tcPr>
          <w:p>
            <w:pPr>
              <w:pageBreakBefore w:val="0"/>
              <w:topLinePunct w:val="0"/>
              <w:bidi w:val="0"/>
              <w:spacing w:line="420" w:lineRule="exact"/>
              <w:outlineLvl w:val="9"/>
              <w:rPr>
                <w:rFonts w:ascii="仿宋" w:hAnsi="仿宋" w:eastAsia="仿宋" w:cs="仿宋"/>
                <w:color w:val="000000"/>
                <w:szCs w:val="21"/>
              </w:rPr>
            </w:pPr>
            <w:r>
              <w:rPr>
                <w:rFonts w:hint="eastAsia" w:ascii="仿宋" w:hAnsi="仿宋" w:eastAsia="仿宋" w:cs="仿宋"/>
                <w:color w:val="000000"/>
                <w:szCs w:val="21"/>
              </w:rPr>
              <w:t>信息化课程资源网站、二维码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727"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spacing w:line="400" w:lineRule="exact"/>
              <w:jc w:val="center"/>
              <w:outlineLvl w:val="9"/>
              <w:rPr>
                <w:rFonts w:ascii="仿宋" w:hAnsi="仿宋" w:eastAsia="仿宋" w:cs="仿宋"/>
                <w:color w:val="000000"/>
              </w:rPr>
            </w:pPr>
            <w:r>
              <w:rPr>
                <w:rFonts w:hint="eastAsia" w:ascii="仿宋" w:hAnsi="仿宋" w:eastAsia="仿宋" w:cs="仿宋"/>
                <w:color w:val="000000"/>
              </w:rPr>
              <w:t>参</w:t>
            </w:r>
          </w:p>
          <w:p>
            <w:pPr>
              <w:pageBreakBefore w:val="0"/>
              <w:topLinePunct w:val="0"/>
              <w:bidi w:val="0"/>
              <w:spacing w:line="400" w:lineRule="exact"/>
              <w:jc w:val="center"/>
              <w:outlineLvl w:val="9"/>
              <w:rPr>
                <w:rFonts w:ascii="仿宋" w:hAnsi="仿宋" w:eastAsia="仿宋" w:cs="仿宋"/>
                <w:color w:val="000000"/>
              </w:rPr>
            </w:pPr>
            <w:r>
              <w:rPr>
                <w:rFonts w:hint="eastAsia" w:ascii="仿宋" w:hAnsi="仿宋" w:eastAsia="仿宋" w:cs="仿宋"/>
                <w:color w:val="000000"/>
              </w:rPr>
              <w:t>编</w:t>
            </w:r>
          </w:p>
          <w:p>
            <w:pPr>
              <w:pageBreakBefore w:val="0"/>
              <w:topLinePunct w:val="0"/>
              <w:bidi w:val="0"/>
              <w:spacing w:line="400" w:lineRule="exact"/>
              <w:jc w:val="center"/>
              <w:outlineLvl w:val="9"/>
              <w:rPr>
                <w:rFonts w:ascii="仿宋" w:hAnsi="仿宋" w:eastAsia="仿宋" w:cs="仿宋"/>
                <w:color w:val="000000"/>
              </w:rPr>
            </w:pPr>
            <w:r>
              <w:rPr>
                <w:rFonts w:hint="eastAsia" w:ascii="仿宋" w:hAnsi="仿宋" w:eastAsia="仿宋" w:cs="仿宋"/>
                <w:color w:val="000000"/>
              </w:rPr>
              <w:t>人</w:t>
            </w:r>
          </w:p>
          <w:p>
            <w:pPr>
              <w:pageBreakBefore w:val="0"/>
              <w:topLinePunct w:val="0"/>
              <w:bidi w:val="0"/>
              <w:spacing w:line="400" w:lineRule="exact"/>
              <w:jc w:val="center"/>
              <w:outlineLvl w:val="9"/>
              <w:rPr>
                <w:rFonts w:ascii="仿宋" w:hAnsi="仿宋" w:eastAsia="仿宋" w:cs="仿宋"/>
                <w:color w:val="000000"/>
              </w:rPr>
            </w:pPr>
            <w:r>
              <w:rPr>
                <w:rFonts w:hint="eastAsia" w:ascii="仿宋" w:hAnsi="仿宋" w:eastAsia="仿宋" w:cs="仿宋"/>
                <w:color w:val="000000"/>
              </w:rPr>
              <w:t>员</w:t>
            </w:r>
          </w:p>
          <w:p>
            <w:pPr>
              <w:pageBreakBefore w:val="0"/>
              <w:topLinePunct w:val="0"/>
              <w:bidi w:val="0"/>
              <w:spacing w:line="400" w:lineRule="exact"/>
              <w:jc w:val="center"/>
              <w:outlineLvl w:val="9"/>
              <w:rPr>
                <w:rFonts w:ascii="仿宋" w:hAnsi="仿宋" w:eastAsia="仿宋" w:cs="仿宋"/>
                <w:color w:val="000000"/>
              </w:rPr>
            </w:pPr>
            <w:r>
              <w:rPr>
                <w:rFonts w:hint="eastAsia" w:ascii="仿宋" w:hAnsi="仿宋" w:eastAsia="仿宋" w:cs="仿宋"/>
                <w:color w:val="000000"/>
              </w:rPr>
              <w:t>情</w:t>
            </w:r>
          </w:p>
          <w:p>
            <w:pPr>
              <w:pageBreakBefore w:val="0"/>
              <w:topLinePunct w:val="0"/>
              <w:bidi w:val="0"/>
              <w:spacing w:line="400" w:lineRule="exact"/>
              <w:jc w:val="center"/>
              <w:outlineLvl w:val="9"/>
              <w:rPr>
                <w:rFonts w:ascii="仿宋" w:hAnsi="仿宋" w:eastAsia="仿宋" w:cs="仿宋"/>
                <w:color w:val="000000"/>
              </w:rPr>
            </w:pPr>
            <w:r>
              <w:rPr>
                <w:rFonts w:hint="eastAsia" w:ascii="仿宋" w:hAnsi="仿宋" w:eastAsia="仿宋" w:cs="仿宋"/>
                <w:color w:val="000000"/>
              </w:rPr>
              <w:t>况</w:t>
            </w:r>
          </w:p>
        </w:tc>
        <w:tc>
          <w:tcPr>
            <w:tcW w:w="1259" w:type="dxa"/>
            <w:gridSpan w:val="3"/>
            <w:tcBorders>
              <w:left w:val="single" w:color="auto" w:sz="4" w:space="0"/>
            </w:tcBorders>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姓名</w:t>
            </w:r>
          </w:p>
        </w:tc>
        <w:tc>
          <w:tcPr>
            <w:tcW w:w="1080" w:type="dxa"/>
            <w:gridSpan w:val="2"/>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学历</w:t>
            </w:r>
          </w:p>
        </w:tc>
        <w:tc>
          <w:tcPr>
            <w:tcW w:w="1080" w:type="dxa"/>
            <w:gridSpan w:val="4"/>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职称</w:t>
            </w:r>
          </w:p>
        </w:tc>
        <w:tc>
          <w:tcPr>
            <w:tcW w:w="3063" w:type="dxa"/>
            <w:gridSpan w:val="6"/>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所任课程</w:t>
            </w:r>
          </w:p>
        </w:tc>
        <w:tc>
          <w:tcPr>
            <w:tcW w:w="1799" w:type="dxa"/>
            <w:gridSpan w:val="4"/>
            <w:noWrap w:val="0"/>
            <w:vAlign w:val="center"/>
          </w:tcPr>
          <w:p>
            <w:pPr>
              <w:pageBreakBefore w:val="0"/>
              <w:topLinePunct w:val="0"/>
              <w:bidi w:val="0"/>
              <w:jc w:val="center"/>
              <w:outlineLvl w:val="9"/>
              <w:rPr>
                <w:rFonts w:ascii="仿宋" w:hAnsi="仿宋" w:eastAsia="仿宋" w:cs="仿宋"/>
                <w:color w:val="000000"/>
              </w:rPr>
            </w:pPr>
            <w:r>
              <w:rPr>
                <w:rFonts w:hint="eastAsia" w:ascii="仿宋" w:hAnsi="仿宋" w:eastAsia="仿宋" w:cs="仿宋"/>
                <w:color w:val="000000"/>
              </w:rPr>
              <w:t>承担任务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727" w:type="dxa"/>
            <w:vMerge w:val="continue"/>
            <w:tcBorders>
              <w:left w:val="single" w:color="auto" w:sz="4" w:space="0"/>
              <w:bottom w:val="single" w:color="auto" w:sz="4" w:space="0"/>
              <w:right w:val="single" w:color="auto" w:sz="4" w:space="0"/>
            </w:tcBorders>
            <w:noWrap w:val="0"/>
            <w:vAlign w:val="top"/>
          </w:tcPr>
          <w:p>
            <w:pPr>
              <w:pageBreakBefore w:val="0"/>
              <w:topLinePunct w:val="0"/>
              <w:bidi w:val="0"/>
              <w:outlineLvl w:val="9"/>
              <w:rPr>
                <w:rFonts w:ascii="仿宋" w:hAnsi="仿宋" w:eastAsia="仿宋" w:cs="仿宋"/>
                <w:color w:val="000000"/>
              </w:rPr>
            </w:pPr>
          </w:p>
        </w:tc>
        <w:tc>
          <w:tcPr>
            <w:tcW w:w="1259" w:type="dxa"/>
            <w:gridSpan w:val="3"/>
            <w:tcBorders>
              <w:left w:val="single" w:color="auto" w:sz="4" w:space="0"/>
            </w:tcBorders>
            <w:noWrap w:val="0"/>
            <w:vAlign w:val="top"/>
          </w:tcPr>
          <w:p>
            <w:pPr>
              <w:pageBreakBefore w:val="0"/>
              <w:topLinePunct w:val="0"/>
              <w:bidi w:val="0"/>
              <w:outlineLvl w:val="9"/>
              <w:rPr>
                <w:rFonts w:ascii="仿宋" w:hAnsi="仿宋" w:eastAsia="仿宋" w:cs="仿宋"/>
                <w:color w:val="000000"/>
              </w:rPr>
            </w:pPr>
          </w:p>
        </w:tc>
        <w:tc>
          <w:tcPr>
            <w:tcW w:w="1080" w:type="dxa"/>
            <w:gridSpan w:val="2"/>
            <w:noWrap w:val="0"/>
            <w:vAlign w:val="top"/>
          </w:tcPr>
          <w:p>
            <w:pPr>
              <w:pageBreakBefore w:val="0"/>
              <w:topLinePunct w:val="0"/>
              <w:bidi w:val="0"/>
              <w:outlineLvl w:val="9"/>
              <w:rPr>
                <w:rFonts w:ascii="仿宋" w:hAnsi="仿宋" w:eastAsia="仿宋" w:cs="仿宋"/>
                <w:color w:val="000000"/>
              </w:rPr>
            </w:pPr>
          </w:p>
        </w:tc>
        <w:tc>
          <w:tcPr>
            <w:tcW w:w="1080" w:type="dxa"/>
            <w:gridSpan w:val="4"/>
            <w:noWrap w:val="0"/>
            <w:vAlign w:val="top"/>
          </w:tcPr>
          <w:p>
            <w:pPr>
              <w:pageBreakBefore w:val="0"/>
              <w:topLinePunct w:val="0"/>
              <w:bidi w:val="0"/>
              <w:outlineLvl w:val="9"/>
              <w:rPr>
                <w:rFonts w:ascii="仿宋" w:hAnsi="仿宋" w:eastAsia="仿宋" w:cs="仿宋"/>
                <w:color w:val="000000"/>
              </w:rPr>
            </w:pPr>
          </w:p>
        </w:tc>
        <w:tc>
          <w:tcPr>
            <w:tcW w:w="3063" w:type="dxa"/>
            <w:gridSpan w:val="6"/>
            <w:noWrap w:val="0"/>
            <w:vAlign w:val="top"/>
          </w:tcPr>
          <w:p>
            <w:pPr>
              <w:pageBreakBefore w:val="0"/>
              <w:topLinePunct w:val="0"/>
              <w:bidi w:val="0"/>
              <w:outlineLvl w:val="9"/>
              <w:rPr>
                <w:rFonts w:ascii="仿宋" w:hAnsi="仿宋" w:eastAsia="仿宋" w:cs="仿宋"/>
                <w:color w:val="000000"/>
              </w:rPr>
            </w:pPr>
          </w:p>
        </w:tc>
        <w:tc>
          <w:tcPr>
            <w:tcW w:w="1799" w:type="dxa"/>
            <w:gridSpan w:val="4"/>
            <w:noWrap w:val="0"/>
            <w:vAlign w:val="top"/>
          </w:tcPr>
          <w:p>
            <w:pPr>
              <w:pageBreakBefore w:val="0"/>
              <w:topLinePunct w:val="0"/>
              <w:bidi w:val="0"/>
              <w:outlineLvl w:val="9"/>
              <w:rPr>
                <w:rFonts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727" w:type="dxa"/>
            <w:vMerge w:val="continue"/>
            <w:tcBorders>
              <w:left w:val="single" w:color="auto" w:sz="4" w:space="0"/>
              <w:bottom w:val="single" w:color="auto" w:sz="4" w:space="0"/>
              <w:right w:val="single" w:color="auto" w:sz="4" w:space="0"/>
            </w:tcBorders>
            <w:noWrap w:val="0"/>
            <w:vAlign w:val="top"/>
          </w:tcPr>
          <w:p>
            <w:pPr>
              <w:pageBreakBefore w:val="0"/>
              <w:topLinePunct w:val="0"/>
              <w:bidi w:val="0"/>
              <w:outlineLvl w:val="9"/>
              <w:rPr>
                <w:rFonts w:ascii="仿宋" w:hAnsi="仿宋" w:eastAsia="仿宋" w:cs="仿宋"/>
                <w:color w:val="000000"/>
              </w:rPr>
            </w:pPr>
          </w:p>
        </w:tc>
        <w:tc>
          <w:tcPr>
            <w:tcW w:w="1259" w:type="dxa"/>
            <w:gridSpan w:val="3"/>
            <w:tcBorders>
              <w:left w:val="single" w:color="auto" w:sz="4" w:space="0"/>
            </w:tcBorders>
            <w:noWrap w:val="0"/>
            <w:vAlign w:val="top"/>
          </w:tcPr>
          <w:p>
            <w:pPr>
              <w:pageBreakBefore w:val="0"/>
              <w:topLinePunct w:val="0"/>
              <w:bidi w:val="0"/>
              <w:outlineLvl w:val="9"/>
              <w:rPr>
                <w:rFonts w:ascii="仿宋" w:hAnsi="仿宋" w:eastAsia="仿宋" w:cs="仿宋"/>
                <w:color w:val="000000"/>
              </w:rPr>
            </w:pPr>
          </w:p>
        </w:tc>
        <w:tc>
          <w:tcPr>
            <w:tcW w:w="1080" w:type="dxa"/>
            <w:gridSpan w:val="2"/>
            <w:noWrap w:val="0"/>
            <w:vAlign w:val="top"/>
          </w:tcPr>
          <w:p>
            <w:pPr>
              <w:pageBreakBefore w:val="0"/>
              <w:topLinePunct w:val="0"/>
              <w:bidi w:val="0"/>
              <w:outlineLvl w:val="9"/>
              <w:rPr>
                <w:rFonts w:ascii="仿宋" w:hAnsi="仿宋" w:eastAsia="仿宋" w:cs="仿宋"/>
                <w:color w:val="000000"/>
              </w:rPr>
            </w:pPr>
          </w:p>
        </w:tc>
        <w:tc>
          <w:tcPr>
            <w:tcW w:w="1080" w:type="dxa"/>
            <w:gridSpan w:val="4"/>
            <w:noWrap w:val="0"/>
            <w:vAlign w:val="top"/>
          </w:tcPr>
          <w:p>
            <w:pPr>
              <w:pageBreakBefore w:val="0"/>
              <w:topLinePunct w:val="0"/>
              <w:bidi w:val="0"/>
              <w:outlineLvl w:val="9"/>
              <w:rPr>
                <w:rFonts w:ascii="仿宋" w:hAnsi="仿宋" w:eastAsia="仿宋" w:cs="仿宋"/>
                <w:color w:val="000000"/>
              </w:rPr>
            </w:pPr>
          </w:p>
        </w:tc>
        <w:tc>
          <w:tcPr>
            <w:tcW w:w="3063" w:type="dxa"/>
            <w:gridSpan w:val="6"/>
            <w:noWrap w:val="0"/>
            <w:vAlign w:val="top"/>
          </w:tcPr>
          <w:p>
            <w:pPr>
              <w:pageBreakBefore w:val="0"/>
              <w:topLinePunct w:val="0"/>
              <w:bidi w:val="0"/>
              <w:outlineLvl w:val="9"/>
              <w:rPr>
                <w:rFonts w:ascii="仿宋" w:hAnsi="仿宋" w:eastAsia="仿宋" w:cs="仿宋"/>
                <w:color w:val="000000"/>
              </w:rPr>
            </w:pPr>
          </w:p>
        </w:tc>
        <w:tc>
          <w:tcPr>
            <w:tcW w:w="1799" w:type="dxa"/>
            <w:gridSpan w:val="4"/>
            <w:noWrap w:val="0"/>
            <w:vAlign w:val="top"/>
          </w:tcPr>
          <w:p>
            <w:pPr>
              <w:pageBreakBefore w:val="0"/>
              <w:topLinePunct w:val="0"/>
              <w:bidi w:val="0"/>
              <w:outlineLvl w:val="9"/>
              <w:rPr>
                <w:rFonts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727" w:type="dxa"/>
            <w:vMerge w:val="continue"/>
            <w:tcBorders>
              <w:left w:val="single" w:color="auto" w:sz="4" w:space="0"/>
              <w:bottom w:val="single" w:color="auto" w:sz="4" w:space="0"/>
              <w:right w:val="single" w:color="auto" w:sz="4" w:space="0"/>
            </w:tcBorders>
            <w:noWrap w:val="0"/>
            <w:vAlign w:val="top"/>
          </w:tcPr>
          <w:p>
            <w:pPr>
              <w:pageBreakBefore w:val="0"/>
              <w:topLinePunct w:val="0"/>
              <w:bidi w:val="0"/>
              <w:outlineLvl w:val="9"/>
              <w:rPr>
                <w:rFonts w:ascii="仿宋" w:hAnsi="仿宋" w:eastAsia="仿宋" w:cs="仿宋"/>
                <w:color w:val="000000"/>
              </w:rPr>
            </w:pPr>
          </w:p>
        </w:tc>
        <w:tc>
          <w:tcPr>
            <w:tcW w:w="1259" w:type="dxa"/>
            <w:gridSpan w:val="3"/>
            <w:tcBorders>
              <w:left w:val="single" w:color="auto" w:sz="4" w:space="0"/>
            </w:tcBorders>
            <w:noWrap w:val="0"/>
            <w:vAlign w:val="top"/>
          </w:tcPr>
          <w:p>
            <w:pPr>
              <w:pageBreakBefore w:val="0"/>
              <w:topLinePunct w:val="0"/>
              <w:bidi w:val="0"/>
              <w:outlineLvl w:val="9"/>
              <w:rPr>
                <w:rFonts w:ascii="仿宋" w:hAnsi="仿宋" w:eastAsia="仿宋" w:cs="仿宋"/>
                <w:color w:val="000000"/>
              </w:rPr>
            </w:pPr>
          </w:p>
        </w:tc>
        <w:tc>
          <w:tcPr>
            <w:tcW w:w="1080" w:type="dxa"/>
            <w:gridSpan w:val="2"/>
            <w:noWrap w:val="0"/>
            <w:vAlign w:val="top"/>
          </w:tcPr>
          <w:p>
            <w:pPr>
              <w:pageBreakBefore w:val="0"/>
              <w:topLinePunct w:val="0"/>
              <w:bidi w:val="0"/>
              <w:outlineLvl w:val="9"/>
              <w:rPr>
                <w:rFonts w:ascii="仿宋" w:hAnsi="仿宋" w:eastAsia="仿宋" w:cs="仿宋"/>
                <w:color w:val="000000"/>
              </w:rPr>
            </w:pPr>
          </w:p>
        </w:tc>
        <w:tc>
          <w:tcPr>
            <w:tcW w:w="1080" w:type="dxa"/>
            <w:gridSpan w:val="4"/>
            <w:noWrap w:val="0"/>
            <w:vAlign w:val="top"/>
          </w:tcPr>
          <w:p>
            <w:pPr>
              <w:pageBreakBefore w:val="0"/>
              <w:topLinePunct w:val="0"/>
              <w:bidi w:val="0"/>
              <w:outlineLvl w:val="9"/>
              <w:rPr>
                <w:rFonts w:ascii="仿宋" w:hAnsi="仿宋" w:eastAsia="仿宋" w:cs="仿宋"/>
                <w:color w:val="000000"/>
              </w:rPr>
            </w:pPr>
          </w:p>
        </w:tc>
        <w:tc>
          <w:tcPr>
            <w:tcW w:w="3063" w:type="dxa"/>
            <w:gridSpan w:val="6"/>
            <w:noWrap w:val="0"/>
            <w:vAlign w:val="top"/>
          </w:tcPr>
          <w:p>
            <w:pPr>
              <w:pageBreakBefore w:val="0"/>
              <w:topLinePunct w:val="0"/>
              <w:bidi w:val="0"/>
              <w:outlineLvl w:val="9"/>
              <w:rPr>
                <w:rFonts w:ascii="仿宋" w:hAnsi="仿宋" w:eastAsia="仿宋" w:cs="仿宋"/>
                <w:color w:val="000000"/>
              </w:rPr>
            </w:pPr>
          </w:p>
        </w:tc>
        <w:tc>
          <w:tcPr>
            <w:tcW w:w="1799" w:type="dxa"/>
            <w:gridSpan w:val="4"/>
            <w:noWrap w:val="0"/>
            <w:vAlign w:val="top"/>
          </w:tcPr>
          <w:p>
            <w:pPr>
              <w:pageBreakBefore w:val="0"/>
              <w:topLinePunct w:val="0"/>
              <w:bidi w:val="0"/>
              <w:outlineLvl w:val="9"/>
              <w:rPr>
                <w:rFonts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1" w:hRule="atLeast"/>
        </w:trPr>
        <w:tc>
          <w:tcPr>
            <w:tcW w:w="727" w:type="dxa"/>
            <w:vMerge w:val="continue"/>
            <w:tcBorders>
              <w:left w:val="single" w:color="auto" w:sz="4" w:space="0"/>
              <w:bottom w:val="single" w:color="auto" w:sz="4" w:space="0"/>
              <w:right w:val="single" w:color="auto" w:sz="4" w:space="0"/>
            </w:tcBorders>
            <w:noWrap w:val="0"/>
            <w:vAlign w:val="top"/>
          </w:tcPr>
          <w:p>
            <w:pPr>
              <w:pageBreakBefore w:val="0"/>
              <w:topLinePunct w:val="0"/>
              <w:bidi w:val="0"/>
              <w:outlineLvl w:val="9"/>
              <w:rPr>
                <w:rFonts w:ascii="仿宋" w:hAnsi="仿宋" w:eastAsia="仿宋" w:cs="仿宋"/>
                <w:color w:val="000000"/>
              </w:rPr>
            </w:pPr>
          </w:p>
        </w:tc>
        <w:tc>
          <w:tcPr>
            <w:tcW w:w="1259" w:type="dxa"/>
            <w:gridSpan w:val="3"/>
            <w:tcBorders>
              <w:left w:val="single" w:color="auto" w:sz="4" w:space="0"/>
            </w:tcBorders>
            <w:noWrap w:val="0"/>
            <w:vAlign w:val="top"/>
          </w:tcPr>
          <w:p>
            <w:pPr>
              <w:pageBreakBefore w:val="0"/>
              <w:topLinePunct w:val="0"/>
              <w:bidi w:val="0"/>
              <w:outlineLvl w:val="9"/>
              <w:rPr>
                <w:rFonts w:ascii="仿宋" w:hAnsi="仿宋" w:eastAsia="仿宋" w:cs="仿宋"/>
                <w:color w:val="000000"/>
              </w:rPr>
            </w:pPr>
          </w:p>
        </w:tc>
        <w:tc>
          <w:tcPr>
            <w:tcW w:w="1080" w:type="dxa"/>
            <w:gridSpan w:val="2"/>
            <w:noWrap w:val="0"/>
            <w:vAlign w:val="top"/>
          </w:tcPr>
          <w:p>
            <w:pPr>
              <w:pageBreakBefore w:val="0"/>
              <w:topLinePunct w:val="0"/>
              <w:bidi w:val="0"/>
              <w:outlineLvl w:val="9"/>
              <w:rPr>
                <w:rFonts w:ascii="仿宋" w:hAnsi="仿宋" w:eastAsia="仿宋" w:cs="仿宋"/>
                <w:color w:val="000000"/>
              </w:rPr>
            </w:pPr>
          </w:p>
        </w:tc>
        <w:tc>
          <w:tcPr>
            <w:tcW w:w="1080" w:type="dxa"/>
            <w:gridSpan w:val="4"/>
            <w:noWrap w:val="0"/>
            <w:vAlign w:val="top"/>
          </w:tcPr>
          <w:p>
            <w:pPr>
              <w:pageBreakBefore w:val="0"/>
              <w:topLinePunct w:val="0"/>
              <w:bidi w:val="0"/>
              <w:outlineLvl w:val="9"/>
              <w:rPr>
                <w:rFonts w:ascii="仿宋" w:hAnsi="仿宋" w:eastAsia="仿宋" w:cs="仿宋"/>
                <w:color w:val="000000"/>
              </w:rPr>
            </w:pPr>
          </w:p>
        </w:tc>
        <w:tc>
          <w:tcPr>
            <w:tcW w:w="3063" w:type="dxa"/>
            <w:gridSpan w:val="6"/>
            <w:noWrap w:val="0"/>
            <w:vAlign w:val="top"/>
          </w:tcPr>
          <w:p>
            <w:pPr>
              <w:pageBreakBefore w:val="0"/>
              <w:topLinePunct w:val="0"/>
              <w:bidi w:val="0"/>
              <w:outlineLvl w:val="9"/>
              <w:rPr>
                <w:rFonts w:ascii="仿宋" w:hAnsi="仿宋" w:eastAsia="仿宋" w:cs="仿宋"/>
                <w:color w:val="000000"/>
              </w:rPr>
            </w:pPr>
          </w:p>
        </w:tc>
        <w:tc>
          <w:tcPr>
            <w:tcW w:w="1799" w:type="dxa"/>
            <w:gridSpan w:val="4"/>
            <w:noWrap w:val="0"/>
            <w:vAlign w:val="top"/>
          </w:tcPr>
          <w:p>
            <w:pPr>
              <w:pageBreakBefore w:val="0"/>
              <w:topLinePunct w:val="0"/>
              <w:bidi w:val="0"/>
              <w:outlineLvl w:val="9"/>
              <w:rPr>
                <w:rFonts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727" w:type="dxa"/>
            <w:vMerge w:val="continue"/>
            <w:tcBorders>
              <w:left w:val="single" w:color="auto" w:sz="4" w:space="0"/>
              <w:bottom w:val="single" w:color="auto" w:sz="4" w:space="0"/>
              <w:right w:val="single" w:color="auto" w:sz="4" w:space="0"/>
            </w:tcBorders>
            <w:noWrap w:val="0"/>
            <w:vAlign w:val="top"/>
          </w:tcPr>
          <w:p>
            <w:pPr>
              <w:pageBreakBefore w:val="0"/>
              <w:topLinePunct w:val="0"/>
              <w:bidi w:val="0"/>
              <w:outlineLvl w:val="9"/>
              <w:rPr>
                <w:rFonts w:ascii="仿宋" w:hAnsi="仿宋" w:eastAsia="仿宋" w:cs="仿宋"/>
                <w:color w:val="000000"/>
              </w:rPr>
            </w:pPr>
          </w:p>
        </w:tc>
        <w:tc>
          <w:tcPr>
            <w:tcW w:w="1259" w:type="dxa"/>
            <w:gridSpan w:val="3"/>
            <w:tcBorders>
              <w:left w:val="single" w:color="auto" w:sz="4" w:space="0"/>
            </w:tcBorders>
            <w:noWrap w:val="0"/>
            <w:vAlign w:val="top"/>
          </w:tcPr>
          <w:p>
            <w:pPr>
              <w:pageBreakBefore w:val="0"/>
              <w:topLinePunct w:val="0"/>
              <w:bidi w:val="0"/>
              <w:outlineLvl w:val="9"/>
              <w:rPr>
                <w:rFonts w:ascii="仿宋" w:hAnsi="仿宋" w:eastAsia="仿宋" w:cs="仿宋"/>
                <w:color w:val="000000"/>
              </w:rPr>
            </w:pPr>
          </w:p>
        </w:tc>
        <w:tc>
          <w:tcPr>
            <w:tcW w:w="1080" w:type="dxa"/>
            <w:gridSpan w:val="2"/>
            <w:noWrap w:val="0"/>
            <w:vAlign w:val="top"/>
          </w:tcPr>
          <w:p>
            <w:pPr>
              <w:pageBreakBefore w:val="0"/>
              <w:topLinePunct w:val="0"/>
              <w:bidi w:val="0"/>
              <w:outlineLvl w:val="9"/>
              <w:rPr>
                <w:rFonts w:ascii="仿宋" w:hAnsi="仿宋" w:eastAsia="仿宋" w:cs="仿宋"/>
                <w:color w:val="000000"/>
              </w:rPr>
            </w:pPr>
          </w:p>
        </w:tc>
        <w:tc>
          <w:tcPr>
            <w:tcW w:w="1080" w:type="dxa"/>
            <w:gridSpan w:val="4"/>
            <w:noWrap w:val="0"/>
            <w:vAlign w:val="top"/>
          </w:tcPr>
          <w:p>
            <w:pPr>
              <w:pageBreakBefore w:val="0"/>
              <w:topLinePunct w:val="0"/>
              <w:bidi w:val="0"/>
              <w:outlineLvl w:val="9"/>
              <w:rPr>
                <w:rFonts w:ascii="仿宋" w:hAnsi="仿宋" w:eastAsia="仿宋" w:cs="仿宋"/>
                <w:color w:val="000000"/>
              </w:rPr>
            </w:pPr>
          </w:p>
        </w:tc>
        <w:tc>
          <w:tcPr>
            <w:tcW w:w="3063" w:type="dxa"/>
            <w:gridSpan w:val="6"/>
            <w:noWrap w:val="0"/>
            <w:vAlign w:val="top"/>
          </w:tcPr>
          <w:p>
            <w:pPr>
              <w:pageBreakBefore w:val="0"/>
              <w:topLinePunct w:val="0"/>
              <w:bidi w:val="0"/>
              <w:outlineLvl w:val="9"/>
              <w:rPr>
                <w:rFonts w:ascii="仿宋" w:hAnsi="仿宋" w:eastAsia="仿宋" w:cs="仿宋"/>
                <w:color w:val="000000"/>
              </w:rPr>
            </w:pPr>
          </w:p>
        </w:tc>
        <w:tc>
          <w:tcPr>
            <w:tcW w:w="1799" w:type="dxa"/>
            <w:gridSpan w:val="4"/>
            <w:noWrap w:val="0"/>
            <w:vAlign w:val="top"/>
          </w:tcPr>
          <w:p>
            <w:pPr>
              <w:pageBreakBefore w:val="0"/>
              <w:topLinePunct w:val="0"/>
              <w:bidi w:val="0"/>
              <w:outlineLvl w:val="9"/>
              <w:rPr>
                <w:rFonts w:ascii="仿宋" w:hAnsi="仿宋" w:eastAsia="仿宋" w:cs="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38" w:hRule="atLeast"/>
        </w:trPr>
        <w:tc>
          <w:tcPr>
            <w:tcW w:w="727" w:type="dxa"/>
            <w:tcBorders>
              <w:bottom w:val="single" w:color="auto" w:sz="4" w:space="0"/>
            </w:tcBorders>
            <w:noWrap w:val="0"/>
            <w:vAlign w:val="center"/>
          </w:tcPr>
          <w:p>
            <w:pPr>
              <w:pageBreakBefore w:val="0"/>
              <w:topLinePunct w:val="0"/>
              <w:bidi w:val="0"/>
              <w:snapToGrid w:val="0"/>
              <w:spacing w:line="400" w:lineRule="exact"/>
              <w:jc w:val="center"/>
              <w:outlineLvl w:val="9"/>
              <w:rPr>
                <w:rFonts w:ascii="仿宋" w:hAnsi="仿宋" w:eastAsia="仿宋" w:cs="仿宋"/>
                <w:color w:val="000000"/>
              </w:rPr>
            </w:pPr>
            <w:r>
              <w:rPr>
                <w:rFonts w:hint="eastAsia" w:ascii="仿宋" w:hAnsi="仿宋" w:eastAsia="仿宋" w:cs="仿宋"/>
                <w:color w:val="000000"/>
              </w:rPr>
              <w:t>系（教</w:t>
            </w:r>
          </w:p>
          <w:p>
            <w:pPr>
              <w:pageBreakBefore w:val="0"/>
              <w:topLinePunct w:val="0"/>
              <w:bidi w:val="0"/>
              <w:snapToGrid w:val="0"/>
              <w:spacing w:line="400" w:lineRule="exact"/>
              <w:jc w:val="center"/>
              <w:outlineLvl w:val="9"/>
              <w:rPr>
                <w:rFonts w:ascii="仿宋" w:hAnsi="仿宋" w:eastAsia="仿宋" w:cs="仿宋"/>
                <w:color w:val="000000"/>
              </w:rPr>
            </w:pPr>
            <w:r>
              <w:rPr>
                <w:rFonts w:hint="eastAsia" w:ascii="仿宋" w:hAnsi="仿宋" w:eastAsia="仿宋" w:cs="仿宋"/>
                <w:color w:val="000000"/>
              </w:rPr>
              <w:t>研</w:t>
            </w:r>
          </w:p>
          <w:p>
            <w:pPr>
              <w:pageBreakBefore w:val="0"/>
              <w:topLinePunct w:val="0"/>
              <w:bidi w:val="0"/>
              <w:snapToGrid w:val="0"/>
              <w:spacing w:line="400" w:lineRule="exact"/>
              <w:jc w:val="center"/>
              <w:outlineLvl w:val="9"/>
              <w:rPr>
                <w:rFonts w:ascii="仿宋" w:hAnsi="仿宋" w:eastAsia="仿宋" w:cs="仿宋"/>
                <w:color w:val="000000"/>
              </w:rPr>
            </w:pPr>
            <w:r>
              <w:rPr>
                <w:rFonts w:hint="eastAsia" w:ascii="仿宋" w:hAnsi="仿宋" w:eastAsia="仿宋" w:cs="仿宋"/>
                <w:color w:val="000000"/>
              </w:rPr>
              <w:t>室）</w:t>
            </w:r>
          </w:p>
          <w:p>
            <w:pPr>
              <w:pageBreakBefore w:val="0"/>
              <w:topLinePunct w:val="0"/>
              <w:bidi w:val="0"/>
              <w:snapToGrid w:val="0"/>
              <w:spacing w:line="400" w:lineRule="exact"/>
              <w:jc w:val="center"/>
              <w:outlineLvl w:val="9"/>
              <w:rPr>
                <w:rFonts w:ascii="仿宋" w:hAnsi="仿宋" w:eastAsia="仿宋" w:cs="仿宋"/>
                <w:color w:val="000000"/>
              </w:rPr>
            </w:pPr>
            <w:r>
              <w:rPr>
                <w:rFonts w:hint="eastAsia" w:ascii="仿宋" w:hAnsi="仿宋" w:eastAsia="仿宋" w:cs="仿宋"/>
                <w:color w:val="000000"/>
              </w:rPr>
              <w:t>意</w:t>
            </w:r>
          </w:p>
          <w:p>
            <w:pPr>
              <w:pageBreakBefore w:val="0"/>
              <w:topLinePunct w:val="0"/>
              <w:bidi w:val="0"/>
              <w:snapToGrid w:val="0"/>
              <w:spacing w:line="400" w:lineRule="exact"/>
              <w:jc w:val="center"/>
              <w:outlineLvl w:val="9"/>
              <w:rPr>
                <w:rFonts w:ascii="仿宋" w:hAnsi="仿宋" w:eastAsia="仿宋" w:cs="仿宋"/>
                <w:color w:val="000000"/>
              </w:rPr>
            </w:pPr>
            <w:r>
              <w:rPr>
                <w:rFonts w:hint="eastAsia" w:ascii="仿宋" w:hAnsi="仿宋" w:eastAsia="仿宋" w:cs="仿宋"/>
                <w:color w:val="000000"/>
              </w:rPr>
              <w:t>见</w:t>
            </w:r>
          </w:p>
          <w:p>
            <w:pPr>
              <w:pageBreakBefore w:val="0"/>
              <w:topLinePunct w:val="0"/>
              <w:bidi w:val="0"/>
              <w:snapToGrid w:val="0"/>
              <w:spacing w:line="400" w:lineRule="exact"/>
              <w:jc w:val="center"/>
              <w:outlineLvl w:val="9"/>
              <w:rPr>
                <w:rFonts w:ascii="仿宋" w:hAnsi="仿宋" w:eastAsia="仿宋" w:cs="仿宋"/>
                <w:color w:val="000000"/>
              </w:rPr>
            </w:pPr>
          </w:p>
        </w:tc>
        <w:tc>
          <w:tcPr>
            <w:tcW w:w="8281" w:type="dxa"/>
            <w:gridSpan w:val="19"/>
            <w:tcBorders>
              <w:bottom w:val="single" w:color="auto" w:sz="4" w:space="0"/>
            </w:tcBorders>
            <w:noWrap w:val="0"/>
            <w:vAlign w:val="top"/>
          </w:tcPr>
          <w:p>
            <w:pPr>
              <w:pageBreakBefore w:val="0"/>
              <w:topLinePunct w:val="0"/>
              <w:bidi w:val="0"/>
              <w:spacing w:line="420" w:lineRule="exact"/>
              <w:outlineLvl w:val="9"/>
              <w:rPr>
                <w:rFonts w:ascii="仿宋" w:hAnsi="仿宋" w:eastAsia="仿宋" w:cs="仿宋"/>
                <w:color w:val="000000"/>
                <w:szCs w:val="21"/>
              </w:rPr>
            </w:pPr>
          </w:p>
          <w:p>
            <w:pPr>
              <w:pageBreakBefore w:val="0"/>
              <w:topLinePunct w:val="0"/>
              <w:bidi w:val="0"/>
              <w:spacing w:line="420" w:lineRule="exact"/>
              <w:outlineLvl w:val="9"/>
              <w:rPr>
                <w:rFonts w:ascii="仿宋" w:hAnsi="仿宋" w:eastAsia="仿宋" w:cs="仿宋"/>
                <w:color w:val="000000"/>
                <w:szCs w:val="21"/>
              </w:rPr>
            </w:pPr>
          </w:p>
          <w:p>
            <w:pPr>
              <w:pageBreakBefore w:val="0"/>
              <w:topLinePunct w:val="0"/>
              <w:bidi w:val="0"/>
              <w:spacing w:line="420" w:lineRule="exact"/>
              <w:outlineLvl w:val="9"/>
              <w:rPr>
                <w:rFonts w:ascii="仿宋" w:hAnsi="仿宋" w:eastAsia="仿宋" w:cs="仿宋"/>
                <w:color w:val="000000"/>
                <w:szCs w:val="21"/>
              </w:rPr>
            </w:pPr>
          </w:p>
          <w:p>
            <w:pPr>
              <w:pageBreakBefore w:val="0"/>
              <w:topLinePunct w:val="0"/>
              <w:bidi w:val="0"/>
              <w:spacing w:line="420" w:lineRule="exact"/>
              <w:outlineLvl w:val="9"/>
              <w:rPr>
                <w:rFonts w:ascii="仿宋" w:hAnsi="仿宋" w:eastAsia="仿宋" w:cs="仿宋"/>
                <w:color w:val="000000"/>
                <w:szCs w:val="21"/>
              </w:rPr>
            </w:pPr>
          </w:p>
          <w:p>
            <w:pPr>
              <w:pageBreakBefore w:val="0"/>
              <w:topLinePunct w:val="0"/>
              <w:bidi w:val="0"/>
              <w:spacing w:line="420" w:lineRule="exact"/>
              <w:outlineLvl w:val="9"/>
              <w:rPr>
                <w:rFonts w:ascii="仿宋" w:hAnsi="仿宋" w:eastAsia="仿宋" w:cs="仿宋"/>
                <w:color w:val="000000"/>
                <w:szCs w:val="21"/>
              </w:rPr>
            </w:pPr>
          </w:p>
          <w:p>
            <w:pPr>
              <w:pageBreakBefore w:val="0"/>
              <w:topLinePunct w:val="0"/>
              <w:bidi w:val="0"/>
              <w:spacing w:line="420" w:lineRule="exact"/>
              <w:outlineLvl w:val="9"/>
              <w:rPr>
                <w:rFonts w:ascii="仿宋" w:hAnsi="仿宋" w:eastAsia="仿宋" w:cs="仿宋"/>
                <w:color w:val="000000"/>
                <w:szCs w:val="21"/>
              </w:rPr>
            </w:pPr>
          </w:p>
          <w:p>
            <w:pPr>
              <w:pageBreakBefore w:val="0"/>
              <w:topLinePunct w:val="0"/>
              <w:bidi w:val="0"/>
              <w:snapToGrid w:val="0"/>
              <w:jc w:val="center"/>
              <w:outlineLvl w:val="9"/>
              <w:rPr>
                <w:rFonts w:ascii="仿宋" w:hAnsi="仿宋" w:eastAsia="仿宋" w:cs="仿宋"/>
                <w:color w:val="000000"/>
                <w:u w:val="single"/>
              </w:rPr>
            </w:pPr>
            <w:r>
              <w:rPr>
                <w:rFonts w:hint="eastAsia" w:ascii="仿宋" w:hAnsi="仿宋" w:eastAsia="仿宋" w:cs="仿宋"/>
                <w:color w:val="000000"/>
              </w:rPr>
              <w:t xml:space="preserve">               负责人（签字）：</w:t>
            </w:r>
            <w:r>
              <w:rPr>
                <w:rFonts w:hint="eastAsia" w:ascii="仿宋" w:hAnsi="仿宋" w:eastAsia="仿宋" w:cs="仿宋"/>
                <w:color w:val="000000"/>
                <w:u w:val="single"/>
              </w:rPr>
              <w:t xml:space="preserve">               </w:t>
            </w:r>
          </w:p>
          <w:p>
            <w:pPr>
              <w:pageBreakBefore w:val="0"/>
              <w:topLinePunct w:val="0"/>
              <w:bidi w:val="0"/>
              <w:snapToGrid w:val="0"/>
              <w:jc w:val="center"/>
              <w:outlineLvl w:val="9"/>
              <w:rPr>
                <w:rFonts w:ascii="仿宋" w:hAnsi="仿宋" w:eastAsia="仿宋" w:cs="仿宋"/>
                <w:color w:val="000000"/>
              </w:rPr>
            </w:pPr>
          </w:p>
          <w:p>
            <w:pPr>
              <w:pageBreakBefore w:val="0"/>
              <w:topLinePunct w:val="0"/>
              <w:bidi w:val="0"/>
              <w:snapToGrid w:val="0"/>
              <w:ind w:firstLine="5481" w:firstLineChars="2610"/>
              <w:outlineLvl w:val="9"/>
              <w:rPr>
                <w:rFonts w:ascii="仿宋" w:hAnsi="仿宋" w:eastAsia="仿宋" w:cs="仿宋"/>
                <w:color w:val="000000"/>
              </w:rPr>
            </w:pPr>
            <w:r>
              <w:rPr>
                <w:rFonts w:hint="eastAsia" w:ascii="仿宋" w:hAnsi="仿宋" w:eastAsia="仿宋" w:cs="仿宋"/>
                <w:color w:val="00000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4" w:hRule="atLeast"/>
        </w:trPr>
        <w:tc>
          <w:tcPr>
            <w:tcW w:w="727" w:type="dxa"/>
            <w:tcBorders>
              <w:bottom w:val="single" w:color="auto" w:sz="4" w:space="0"/>
            </w:tcBorders>
            <w:noWrap w:val="0"/>
            <w:vAlign w:val="center"/>
          </w:tcPr>
          <w:p>
            <w:pPr>
              <w:pageBreakBefore w:val="0"/>
              <w:topLinePunct w:val="0"/>
              <w:bidi w:val="0"/>
              <w:snapToGrid w:val="0"/>
              <w:spacing w:line="400" w:lineRule="exact"/>
              <w:jc w:val="center"/>
              <w:outlineLvl w:val="9"/>
              <w:rPr>
                <w:rFonts w:ascii="仿宋" w:hAnsi="仿宋" w:eastAsia="仿宋" w:cs="仿宋"/>
                <w:color w:val="000000"/>
              </w:rPr>
            </w:pPr>
            <w:r>
              <w:rPr>
                <w:rFonts w:hint="eastAsia" w:ascii="仿宋" w:hAnsi="仿宋" w:eastAsia="仿宋" w:cs="仿宋"/>
                <w:color w:val="000000"/>
              </w:rPr>
              <w:t>教材分委会意见</w:t>
            </w:r>
          </w:p>
        </w:tc>
        <w:tc>
          <w:tcPr>
            <w:tcW w:w="8281" w:type="dxa"/>
            <w:gridSpan w:val="19"/>
            <w:tcBorders>
              <w:bottom w:val="single" w:color="auto" w:sz="4" w:space="0"/>
            </w:tcBorders>
            <w:noWrap w:val="0"/>
            <w:vAlign w:val="top"/>
          </w:tcPr>
          <w:p>
            <w:pPr>
              <w:pageBreakBefore w:val="0"/>
              <w:topLinePunct w:val="0"/>
              <w:bidi w:val="0"/>
              <w:spacing w:line="420" w:lineRule="exact"/>
              <w:outlineLvl w:val="9"/>
              <w:rPr>
                <w:rFonts w:ascii="仿宋" w:hAnsi="仿宋" w:eastAsia="仿宋" w:cs="仿宋"/>
                <w:color w:val="000000"/>
                <w:szCs w:val="21"/>
              </w:rPr>
            </w:pPr>
          </w:p>
          <w:p>
            <w:pPr>
              <w:pageBreakBefore w:val="0"/>
              <w:topLinePunct w:val="0"/>
              <w:bidi w:val="0"/>
              <w:spacing w:line="420" w:lineRule="exact"/>
              <w:outlineLvl w:val="9"/>
              <w:rPr>
                <w:rFonts w:ascii="仿宋" w:hAnsi="仿宋" w:eastAsia="仿宋" w:cs="仿宋"/>
                <w:color w:val="000000"/>
                <w:szCs w:val="21"/>
              </w:rPr>
            </w:pPr>
          </w:p>
          <w:p>
            <w:pPr>
              <w:pageBreakBefore w:val="0"/>
              <w:topLinePunct w:val="0"/>
              <w:bidi w:val="0"/>
              <w:spacing w:line="420" w:lineRule="exact"/>
              <w:outlineLvl w:val="9"/>
              <w:rPr>
                <w:rFonts w:ascii="仿宋" w:hAnsi="仿宋" w:eastAsia="仿宋" w:cs="仿宋"/>
                <w:color w:val="000000"/>
                <w:szCs w:val="21"/>
              </w:rPr>
            </w:pPr>
          </w:p>
          <w:p>
            <w:pPr>
              <w:pageBreakBefore w:val="0"/>
              <w:topLinePunct w:val="0"/>
              <w:bidi w:val="0"/>
              <w:spacing w:line="420" w:lineRule="exact"/>
              <w:outlineLvl w:val="9"/>
              <w:rPr>
                <w:rFonts w:ascii="仿宋" w:hAnsi="仿宋" w:eastAsia="仿宋" w:cs="仿宋"/>
                <w:color w:val="000000"/>
                <w:szCs w:val="21"/>
              </w:rPr>
            </w:pPr>
          </w:p>
          <w:p>
            <w:pPr>
              <w:pageBreakBefore w:val="0"/>
              <w:topLinePunct w:val="0"/>
              <w:bidi w:val="0"/>
              <w:snapToGrid w:val="0"/>
              <w:jc w:val="center"/>
              <w:outlineLvl w:val="9"/>
              <w:rPr>
                <w:rFonts w:ascii="仿宋" w:hAnsi="仿宋" w:eastAsia="仿宋" w:cs="仿宋"/>
                <w:color w:val="000000"/>
                <w:u w:val="single"/>
              </w:rPr>
            </w:pPr>
            <w:r>
              <w:rPr>
                <w:rFonts w:ascii="仿宋" w:hAnsi="仿宋" w:eastAsia="仿宋" w:cs="仿宋"/>
                <w:color w:val="000000"/>
              </w:rPr>
              <w:t xml:space="preserve">              负责人（签字）：</w:t>
            </w:r>
            <w:r>
              <w:rPr>
                <w:rFonts w:ascii="仿宋" w:hAnsi="仿宋" w:eastAsia="仿宋" w:cs="仿宋"/>
                <w:color w:val="000000"/>
                <w:u w:val="single"/>
              </w:rPr>
              <w:t xml:space="preserve">               </w:t>
            </w:r>
          </w:p>
          <w:p>
            <w:pPr>
              <w:pageBreakBefore w:val="0"/>
              <w:topLinePunct w:val="0"/>
              <w:bidi w:val="0"/>
              <w:snapToGrid w:val="0"/>
              <w:jc w:val="center"/>
              <w:outlineLvl w:val="9"/>
              <w:rPr>
                <w:rFonts w:ascii="仿宋" w:hAnsi="仿宋" w:eastAsia="仿宋" w:cs="仿宋"/>
                <w:color w:val="000000"/>
              </w:rPr>
            </w:pPr>
          </w:p>
          <w:p>
            <w:pPr>
              <w:pageBreakBefore w:val="0"/>
              <w:topLinePunct w:val="0"/>
              <w:bidi w:val="0"/>
              <w:snapToGrid w:val="0"/>
              <w:ind w:firstLine="5481" w:firstLineChars="2610"/>
              <w:outlineLvl w:val="9"/>
              <w:rPr>
                <w:rFonts w:ascii="仿宋" w:hAnsi="仿宋" w:eastAsia="仿宋" w:cs="仿宋"/>
                <w:color w:val="000000"/>
                <w:szCs w:val="21"/>
              </w:rPr>
            </w:pPr>
            <w:r>
              <w:rPr>
                <w:rFonts w:hint="eastAsia" w:ascii="仿宋" w:hAnsi="仿宋" w:eastAsia="仿宋" w:cs="仿宋"/>
                <w:color w:val="000000"/>
              </w:rPr>
              <w:t>年</w:t>
            </w:r>
            <w:r>
              <w:rPr>
                <w:rFonts w:ascii="仿宋" w:hAnsi="仿宋" w:eastAsia="仿宋" w:cs="仿宋"/>
                <w:color w:val="000000"/>
              </w:rPr>
              <w:t xml:space="preserve">     </w:t>
            </w:r>
            <w:r>
              <w:rPr>
                <w:rFonts w:hint="eastAsia" w:ascii="仿宋" w:hAnsi="仿宋" w:eastAsia="仿宋" w:cs="仿宋"/>
                <w:color w:val="000000"/>
              </w:rPr>
              <w:t>月</w:t>
            </w:r>
            <w:r>
              <w:rPr>
                <w:rFonts w:ascii="仿宋" w:hAnsi="仿宋" w:eastAsia="仿宋" w:cs="仿宋"/>
                <w:color w:val="000000"/>
              </w:rPr>
              <w:t xml:space="preserve">     </w:t>
            </w:r>
            <w:r>
              <w:rPr>
                <w:rFonts w:hint="eastAsia" w:ascii="仿宋" w:hAnsi="仿宋" w:eastAsia="仿宋" w:cs="仿宋"/>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6" w:hRule="atLeast"/>
        </w:trPr>
        <w:tc>
          <w:tcPr>
            <w:tcW w:w="727" w:type="dxa"/>
            <w:tcBorders>
              <w:bottom w:val="single" w:color="auto" w:sz="4" w:space="0"/>
            </w:tcBorders>
            <w:noWrap w:val="0"/>
            <w:vAlign w:val="center"/>
          </w:tcPr>
          <w:p>
            <w:pPr>
              <w:pageBreakBefore w:val="0"/>
              <w:topLinePunct w:val="0"/>
              <w:bidi w:val="0"/>
              <w:snapToGrid w:val="0"/>
              <w:spacing w:line="400" w:lineRule="exact"/>
              <w:jc w:val="center"/>
              <w:outlineLvl w:val="9"/>
              <w:rPr>
                <w:rFonts w:ascii="仿宋" w:hAnsi="仿宋" w:eastAsia="仿宋" w:cs="仿宋"/>
                <w:color w:val="000000"/>
              </w:rPr>
            </w:pPr>
            <w:r>
              <w:rPr>
                <w:rFonts w:hint="eastAsia" w:ascii="仿宋" w:hAnsi="仿宋" w:eastAsia="仿宋" w:cs="仿宋"/>
                <w:color w:val="000000"/>
              </w:rPr>
              <w:t>教材委员会意见</w:t>
            </w:r>
          </w:p>
        </w:tc>
        <w:tc>
          <w:tcPr>
            <w:tcW w:w="8281" w:type="dxa"/>
            <w:gridSpan w:val="19"/>
            <w:noWrap w:val="0"/>
            <w:vAlign w:val="bottom"/>
          </w:tcPr>
          <w:p>
            <w:pPr>
              <w:pageBreakBefore w:val="0"/>
              <w:topLinePunct w:val="0"/>
              <w:bidi w:val="0"/>
              <w:snapToGrid w:val="0"/>
              <w:jc w:val="center"/>
              <w:outlineLvl w:val="9"/>
              <w:rPr>
                <w:rFonts w:ascii="仿宋" w:hAnsi="仿宋" w:eastAsia="仿宋" w:cs="仿宋"/>
                <w:color w:val="000000"/>
                <w:u w:val="single"/>
              </w:rPr>
            </w:pPr>
            <w:r>
              <w:rPr>
                <w:rFonts w:ascii="仿宋" w:hAnsi="仿宋" w:eastAsia="仿宋" w:cs="仿宋"/>
                <w:color w:val="000000"/>
              </w:rPr>
              <w:t xml:space="preserve">                负责人（签字）：</w:t>
            </w:r>
            <w:r>
              <w:rPr>
                <w:rFonts w:ascii="仿宋" w:hAnsi="仿宋" w:eastAsia="仿宋" w:cs="仿宋"/>
                <w:color w:val="000000"/>
                <w:u w:val="single"/>
              </w:rPr>
              <w:t xml:space="preserve">               </w:t>
            </w:r>
          </w:p>
          <w:p>
            <w:pPr>
              <w:pageBreakBefore w:val="0"/>
              <w:topLinePunct w:val="0"/>
              <w:bidi w:val="0"/>
              <w:snapToGrid w:val="0"/>
              <w:jc w:val="center"/>
              <w:outlineLvl w:val="9"/>
              <w:rPr>
                <w:rFonts w:ascii="仿宋" w:hAnsi="仿宋" w:eastAsia="仿宋" w:cs="仿宋"/>
                <w:color w:val="000000"/>
              </w:rPr>
            </w:pPr>
          </w:p>
          <w:p>
            <w:pPr>
              <w:pageBreakBefore w:val="0"/>
              <w:topLinePunct w:val="0"/>
              <w:bidi w:val="0"/>
              <w:snapToGrid w:val="0"/>
              <w:ind w:firstLine="5481" w:firstLineChars="2610"/>
              <w:outlineLvl w:val="9"/>
              <w:rPr>
                <w:rFonts w:ascii="仿宋" w:hAnsi="仿宋" w:eastAsia="仿宋" w:cs="仿宋"/>
                <w:color w:val="000000"/>
              </w:rPr>
            </w:pPr>
            <w:r>
              <w:rPr>
                <w:rFonts w:hint="eastAsia" w:ascii="仿宋" w:hAnsi="仿宋" w:eastAsia="仿宋" w:cs="仿宋"/>
                <w:color w:val="000000"/>
              </w:rPr>
              <w:t>年</w:t>
            </w:r>
            <w:r>
              <w:rPr>
                <w:rFonts w:ascii="仿宋" w:hAnsi="仿宋" w:eastAsia="仿宋" w:cs="仿宋"/>
                <w:color w:val="000000"/>
              </w:rPr>
              <w:t xml:space="preserve">     </w:t>
            </w:r>
            <w:r>
              <w:rPr>
                <w:rFonts w:hint="eastAsia" w:ascii="仿宋" w:hAnsi="仿宋" w:eastAsia="仿宋" w:cs="仿宋"/>
                <w:color w:val="000000"/>
              </w:rPr>
              <w:t>月</w:t>
            </w:r>
            <w:r>
              <w:rPr>
                <w:rFonts w:ascii="仿宋" w:hAnsi="仿宋" w:eastAsia="仿宋" w:cs="仿宋"/>
                <w:color w:val="000000"/>
              </w:rPr>
              <w:t xml:space="preserve">     </w:t>
            </w:r>
            <w:r>
              <w:rPr>
                <w:rFonts w:hint="eastAsia" w:ascii="仿宋" w:hAnsi="仿宋" w:eastAsia="仿宋" w:cs="仿宋"/>
                <w:color w:val="000000"/>
              </w:rPr>
              <w:t>日</w:t>
            </w:r>
          </w:p>
        </w:tc>
      </w:tr>
    </w:tbl>
    <w:p>
      <w:pPr>
        <w:pageBreakBefore w:val="0"/>
        <w:topLinePunct w:val="0"/>
        <w:bidi w:val="0"/>
        <w:outlineLvl w:val="9"/>
        <w:rPr>
          <w:rFonts w:ascii="仿宋" w:hAnsi="仿宋" w:eastAsia="仿宋" w:cs="仿宋"/>
          <w:b/>
          <w:color w:val="000000"/>
          <w:szCs w:val="21"/>
        </w:rPr>
      </w:pP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Cs w:val="21"/>
        </w:rPr>
        <w:t>附件2</w:t>
      </w:r>
    </w:p>
    <w:p>
      <w:pPr>
        <w:pageBreakBefore w:val="0"/>
        <w:topLinePunct w:val="0"/>
        <w:bidi w:val="0"/>
        <w:jc w:val="center"/>
        <w:outlineLvl w:val="9"/>
        <w:rPr>
          <w:rFonts w:ascii="仿宋" w:hAnsi="仿宋" w:eastAsia="仿宋" w:cs="仿宋"/>
          <w:b/>
          <w:color w:val="000000"/>
          <w:sz w:val="28"/>
          <w:szCs w:val="28"/>
        </w:rPr>
      </w:pPr>
      <w:r>
        <w:rPr>
          <w:rFonts w:hint="eastAsia" w:ascii="仿宋" w:hAnsi="仿宋" w:eastAsia="仿宋" w:cs="仿宋"/>
          <w:b/>
          <w:color w:val="000000"/>
          <w:sz w:val="28"/>
          <w:szCs w:val="28"/>
        </w:rPr>
        <w:t>作者须知、16K教材格式模板</w:t>
      </w:r>
    </w:p>
    <w:p>
      <w:pPr>
        <w:pageBreakBefore w:val="0"/>
        <w:numPr>
          <w:ilvl w:val="0"/>
          <w:numId w:val="11"/>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稿件总体要求</w:t>
      </w:r>
    </w:p>
    <w:p>
      <w:pPr>
        <w:pageBreakBefore w:val="0"/>
        <w:numPr>
          <w:ilvl w:val="0"/>
          <w:numId w:val="12"/>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作者所交稿件应该包括打印稿和对应的电子文档，并符合“齐、清、定”的要求。</w:t>
      </w:r>
    </w:p>
    <w:p>
      <w:pPr>
        <w:pageBreakBefore w:val="0"/>
        <w:numPr>
          <w:ilvl w:val="0"/>
          <w:numId w:val="13"/>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书稿齐全，无遗漏，内容简介、前言、目录等应完备。</w:t>
      </w:r>
    </w:p>
    <w:p>
      <w:pPr>
        <w:pageBreakBefore w:val="0"/>
        <w:numPr>
          <w:ilvl w:val="0"/>
          <w:numId w:val="13"/>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书稿正文页码连续编号。</w:t>
      </w:r>
    </w:p>
    <w:p>
      <w:pPr>
        <w:pageBreakBefore w:val="0"/>
        <w:numPr>
          <w:ilvl w:val="0"/>
          <w:numId w:val="13"/>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单面打印，幅面整洁。</w:t>
      </w:r>
    </w:p>
    <w:p>
      <w:pPr>
        <w:pageBreakBefore w:val="0"/>
        <w:numPr>
          <w:ilvl w:val="0"/>
          <w:numId w:val="13"/>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术语基本准确，文字简洁通顺。</w:t>
      </w:r>
    </w:p>
    <w:p>
      <w:pPr>
        <w:pageBreakBefore w:val="0"/>
        <w:numPr>
          <w:ilvl w:val="0"/>
          <w:numId w:val="13"/>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正斜体、大小写基本规范。</w:t>
      </w:r>
    </w:p>
    <w:p>
      <w:pPr>
        <w:pageBreakBefore w:val="0"/>
        <w:numPr>
          <w:ilvl w:val="0"/>
          <w:numId w:val="13"/>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书稿内容、篇章结构已经审定、确定，第一作者必须对所交书稿从头至尾进行审查。</w:t>
      </w:r>
    </w:p>
    <w:p>
      <w:pPr>
        <w:pageBreakBefore w:val="0"/>
        <w:numPr>
          <w:ilvl w:val="0"/>
          <w:numId w:val="13"/>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作者及著译方式确定。</w:t>
      </w:r>
    </w:p>
    <w:p>
      <w:pPr>
        <w:pageBreakBefore w:val="0"/>
        <w:numPr>
          <w:ilvl w:val="0"/>
          <w:numId w:val="13"/>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盘稿一致。</w:t>
      </w:r>
    </w:p>
    <w:p>
      <w:pPr>
        <w:pageBreakBefore w:val="0"/>
        <w:numPr>
          <w:ilvl w:val="0"/>
          <w:numId w:val="12"/>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 xml:space="preserve">计算机类稿件应为Word图文混排文稿，但在电子文件中应单独提供图片文件夹，每张图应该是单独.JPG或.BMP格式的文件，以在书稿中的序号命名（如2-1.JPG）。 图名为小五号宋体，图注为六号宋体。 </w:t>
      </w:r>
    </w:p>
    <w:p>
      <w:pPr>
        <w:pageBreakBefore w:val="0"/>
        <w:topLinePunct w:val="0"/>
        <w:bidi w:val="0"/>
        <w:spacing w:line="400" w:lineRule="exact"/>
        <w:ind w:firstLine="630" w:firstLineChars="300"/>
        <w:outlineLvl w:val="9"/>
        <w:rPr>
          <w:rFonts w:ascii="仿宋" w:hAnsi="仿宋" w:eastAsia="仿宋" w:cs="仿宋"/>
          <w:color w:val="000000"/>
          <w:szCs w:val="21"/>
        </w:rPr>
      </w:pPr>
      <w:r>
        <w:rPr>
          <w:rFonts w:hint="eastAsia" w:ascii="仿宋" w:hAnsi="仿宋" w:eastAsia="仿宋" w:cs="仿宋"/>
          <w:color w:val="000000"/>
          <w:szCs w:val="21"/>
        </w:rPr>
        <w:t>作者自己设计的图、流程图等应保证其内文字为六号宋体。</w:t>
      </w:r>
    </w:p>
    <w:p>
      <w:pPr>
        <w:pageBreakBefore w:val="0"/>
        <w:numPr>
          <w:ilvl w:val="0"/>
          <w:numId w:val="12"/>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其他类别的稿件（如电子信息、机械等），往往需要重新进行描图，此时图片可不提供电子文件，但要保证稿子中的插图清晰、正确（线条、符号等）。手画或复印的图请粘贴在文稿中预留出的正确位置。作者也可单独提供图稿清样，按顺序编排并标注与书稿中对应的序号。稿子中需要插图的位置，预留出一定的空白，注明图序和图题。</w:t>
      </w:r>
    </w:p>
    <w:p>
      <w:pPr>
        <w:pageBreakBefore w:val="0"/>
        <w:numPr>
          <w:ilvl w:val="0"/>
          <w:numId w:val="12"/>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稿件应注意文、图（表）必须相互对应，图式样按“图X-XX”注明，表式样按“表X-XX”注明。以先见文后见图（表）为原则。</w:t>
      </w:r>
    </w:p>
    <w:p>
      <w:pPr>
        <w:pageBreakBefore w:val="0"/>
        <w:numPr>
          <w:ilvl w:val="0"/>
          <w:numId w:val="12"/>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名词术语和物理量符号应统一，符合国家标准。</w:t>
      </w:r>
    </w:p>
    <w:p>
      <w:pPr>
        <w:pageBreakBefore w:val="0"/>
        <w:numPr>
          <w:ilvl w:val="0"/>
          <w:numId w:val="12"/>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前言字数限制在1300字以内（1页）。</w:t>
      </w:r>
    </w:p>
    <w:p>
      <w:pPr>
        <w:pageBreakBefore w:val="0"/>
        <w:numPr>
          <w:ilvl w:val="0"/>
          <w:numId w:val="12"/>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数学公式采用国标。</w:t>
      </w:r>
    </w:p>
    <w:p>
      <w:pPr>
        <w:pageBreakBefore w:val="0"/>
        <w:numPr>
          <w:ilvl w:val="0"/>
          <w:numId w:val="12"/>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所有英文、数字均使用半角、新罗马体。</w:t>
      </w:r>
    </w:p>
    <w:p>
      <w:pPr>
        <w:pageBreakBefore w:val="0"/>
        <w:numPr>
          <w:ilvl w:val="0"/>
          <w:numId w:val="11"/>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层次格式</w:t>
      </w:r>
    </w:p>
    <w:p>
      <w:pPr>
        <w:pageBreakBefore w:val="0"/>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 xml:space="preserve">     一级标题        第1篇 （建议不用此级标题，个别书可有此级标题）</w:t>
      </w:r>
    </w:p>
    <w:p>
      <w:pPr>
        <w:pageBreakBefore w:val="0"/>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 xml:space="preserve">     二级标题(BT1)　 第1章</w:t>
      </w:r>
    </w:p>
    <w:p>
      <w:pPr>
        <w:pageBreakBefore w:val="0"/>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 xml:space="preserve">     三级标题(BT2) 　1.1 </w:t>
      </w:r>
    </w:p>
    <w:p>
      <w:pPr>
        <w:pageBreakBefore w:val="0"/>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 xml:space="preserve">     四级标题(BT3) 　1.1.1</w:t>
      </w:r>
    </w:p>
    <w:p>
      <w:pPr>
        <w:pageBreakBefore w:val="0"/>
        <w:topLinePunct w:val="0"/>
        <w:bidi w:val="0"/>
        <w:spacing w:line="400" w:lineRule="exact"/>
        <w:ind w:firstLine="525" w:firstLineChars="250"/>
        <w:outlineLvl w:val="9"/>
        <w:rPr>
          <w:rFonts w:ascii="仿宋" w:hAnsi="仿宋" w:eastAsia="仿宋" w:cs="仿宋"/>
          <w:color w:val="000000"/>
          <w:szCs w:val="21"/>
        </w:rPr>
      </w:pPr>
      <w:r>
        <w:rPr>
          <w:rFonts w:hint="eastAsia" w:ascii="仿宋" w:hAnsi="仿宋" w:eastAsia="仿宋" w:cs="仿宋"/>
          <w:color w:val="000000"/>
          <w:szCs w:val="21"/>
        </w:rPr>
        <w:t>五级标题(BT4)   1. ，2.，……</w:t>
      </w:r>
    </w:p>
    <w:p>
      <w:pPr>
        <w:pageBreakBefore w:val="0"/>
        <w:topLinePunct w:val="0"/>
        <w:bidi w:val="0"/>
        <w:spacing w:line="400" w:lineRule="exact"/>
        <w:ind w:firstLine="600"/>
        <w:outlineLvl w:val="9"/>
        <w:rPr>
          <w:rFonts w:ascii="仿宋" w:hAnsi="仿宋" w:eastAsia="仿宋" w:cs="仿宋"/>
          <w:color w:val="000000"/>
          <w:szCs w:val="21"/>
        </w:rPr>
      </w:pPr>
      <w:r>
        <w:rPr>
          <w:rFonts w:hint="eastAsia" w:ascii="仿宋" w:hAnsi="仿宋" w:eastAsia="仿宋" w:cs="仿宋"/>
          <w:color w:val="000000"/>
          <w:szCs w:val="21"/>
        </w:rPr>
        <w:tab/>
      </w:r>
      <w:r>
        <w:rPr>
          <w:rFonts w:hint="eastAsia" w:ascii="仿宋" w:hAnsi="仿宋" w:eastAsia="仿宋" w:cs="仿宋"/>
          <w:color w:val="000000"/>
          <w:szCs w:val="21"/>
        </w:rPr>
        <w:tab/>
      </w:r>
      <w:r>
        <w:rPr>
          <w:rFonts w:hint="eastAsia" w:ascii="仿宋" w:hAnsi="仿宋" w:eastAsia="仿宋" w:cs="仿宋"/>
          <w:color w:val="000000"/>
          <w:szCs w:val="21"/>
        </w:rPr>
        <w:tab/>
      </w:r>
      <w:r>
        <w:rPr>
          <w:rFonts w:hint="eastAsia" w:ascii="仿宋" w:hAnsi="仿宋" w:eastAsia="仿宋" w:cs="仿宋"/>
          <w:color w:val="000000"/>
          <w:szCs w:val="21"/>
        </w:rPr>
        <w:tab/>
      </w:r>
      <w:r>
        <w:rPr>
          <w:rFonts w:hint="eastAsia" w:ascii="仿宋" w:hAnsi="仿宋" w:eastAsia="仿宋" w:cs="仿宋"/>
          <w:color w:val="000000"/>
          <w:szCs w:val="21"/>
        </w:rPr>
        <w:tab/>
      </w:r>
      <w:r>
        <w:rPr>
          <w:rFonts w:hint="eastAsia" w:ascii="仿宋" w:hAnsi="仿宋" w:eastAsia="仿宋" w:cs="仿宋"/>
          <w:color w:val="000000"/>
          <w:szCs w:val="21"/>
        </w:rPr>
        <w:t>1)，2)，……</w:t>
      </w:r>
    </w:p>
    <w:p>
      <w:pPr>
        <w:pageBreakBefore w:val="0"/>
        <w:numPr>
          <w:ilvl w:val="0"/>
          <w:numId w:val="14"/>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，(2)，……</w:t>
      </w:r>
    </w:p>
    <w:p>
      <w:pPr>
        <w:pageBreakBefore w:val="0"/>
        <w:topLinePunct w:val="0"/>
        <w:bidi w:val="0"/>
        <w:spacing w:line="400" w:lineRule="exact"/>
        <w:ind w:left="2520"/>
        <w:outlineLvl w:val="9"/>
        <w:rPr>
          <w:rFonts w:ascii="仿宋" w:hAnsi="仿宋" w:eastAsia="仿宋" w:cs="仿宋"/>
          <w:color w:val="000000"/>
          <w:szCs w:val="21"/>
        </w:rPr>
      </w:pPr>
      <w:r>
        <w:rPr>
          <w:rFonts w:hint="eastAsia" w:ascii="仿宋" w:hAnsi="仿宋" w:eastAsia="仿宋" w:cs="仿宋"/>
          <w:color w:val="000000"/>
          <w:szCs w:val="21"/>
        </w:rPr>
        <w:t>①，②，……</w:t>
      </w:r>
    </w:p>
    <w:p>
      <w:pPr>
        <w:pageBreakBefore w:val="0"/>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具体版式建议：</w:t>
      </w:r>
    </w:p>
    <w:p>
      <w:pPr>
        <w:pageBreakBefore w:val="0"/>
        <w:topLinePunct w:val="0"/>
        <w:bidi w:val="0"/>
        <w:spacing w:line="400" w:lineRule="exact"/>
        <w:ind w:left="646" w:hanging="374"/>
        <w:outlineLvl w:val="9"/>
        <w:rPr>
          <w:rFonts w:ascii="仿宋" w:hAnsi="仿宋" w:eastAsia="仿宋" w:cs="仿宋"/>
          <w:color w:val="000000"/>
          <w:szCs w:val="21"/>
        </w:rPr>
      </w:pPr>
      <w:r>
        <w:rPr>
          <w:rFonts w:hint="eastAsia" w:ascii="仿宋" w:hAnsi="仿宋" w:eastAsia="仿宋" w:cs="仿宋"/>
          <w:color w:val="000000"/>
          <w:szCs w:val="21"/>
        </w:rPr>
        <w:t>BT1（第1章）  小二号标宋体，上空2行，下占3行，居中，另面排</w:t>
      </w:r>
    </w:p>
    <w:p>
      <w:pPr>
        <w:pageBreakBefore w:val="0"/>
        <w:topLinePunct w:val="0"/>
        <w:bidi w:val="0"/>
        <w:spacing w:line="400" w:lineRule="exact"/>
        <w:ind w:left="646" w:hanging="374"/>
        <w:outlineLvl w:val="9"/>
        <w:rPr>
          <w:rFonts w:ascii="仿宋" w:hAnsi="仿宋" w:eastAsia="仿宋" w:cs="仿宋"/>
          <w:color w:val="000000"/>
          <w:szCs w:val="21"/>
        </w:rPr>
      </w:pPr>
      <w:r>
        <w:rPr>
          <w:rFonts w:hint="eastAsia" w:ascii="仿宋" w:hAnsi="仿宋" w:eastAsia="仿宋" w:cs="仿宋"/>
          <w:color w:val="000000"/>
          <w:szCs w:val="21"/>
        </w:rPr>
        <w:t>BT2（1.1）  四号黑体，上空1行，下占2行，顶格</w:t>
      </w:r>
    </w:p>
    <w:p>
      <w:pPr>
        <w:pageBreakBefore w:val="0"/>
        <w:topLinePunct w:val="0"/>
        <w:bidi w:val="0"/>
        <w:spacing w:line="400" w:lineRule="exact"/>
        <w:ind w:left="646" w:hanging="374"/>
        <w:outlineLvl w:val="9"/>
        <w:rPr>
          <w:rFonts w:ascii="仿宋" w:hAnsi="仿宋" w:eastAsia="仿宋" w:cs="仿宋"/>
          <w:color w:val="000000"/>
          <w:szCs w:val="21"/>
        </w:rPr>
      </w:pPr>
      <w:r>
        <w:rPr>
          <w:rFonts w:hint="eastAsia" w:ascii="仿宋" w:hAnsi="仿宋" w:eastAsia="仿宋" w:cs="仿宋"/>
          <w:color w:val="000000"/>
          <w:szCs w:val="21"/>
        </w:rPr>
        <w:t>BT3（1.1.1）  小四号标宋体，占2行，顶格</w:t>
      </w:r>
    </w:p>
    <w:p>
      <w:pPr>
        <w:pageBreakBefore w:val="0"/>
        <w:topLinePunct w:val="0"/>
        <w:bidi w:val="0"/>
        <w:spacing w:line="400" w:lineRule="exact"/>
        <w:ind w:left="646" w:hanging="374"/>
        <w:outlineLvl w:val="9"/>
        <w:rPr>
          <w:rFonts w:ascii="仿宋" w:hAnsi="仿宋" w:eastAsia="仿宋" w:cs="仿宋"/>
          <w:color w:val="000000"/>
          <w:szCs w:val="21"/>
        </w:rPr>
      </w:pPr>
      <w:r>
        <w:rPr>
          <w:rFonts w:hint="eastAsia" w:ascii="仿宋" w:hAnsi="仿宋" w:eastAsia="仿宋" w:cs="仿宋"/>
          <w:color w:val="000000"/>
          <w:szCs w:val="21"/>
        </w:rPr>
        <w:t>BT4（1.）  五号黑体，占1行，缩2格</w:t>
      </w:r>
    </w:p>
    <w:p>
      <w:pPr>
        <w:pageBreakBefore w:val="0"/>
        <w:topLinePunct w:val="0"/>
        <w:bidi w:val="0"/>
        <w:spacing w:line="400" w:lineRule="exact"/>
        <w:ind w:left="646" w:hanging="374"/>
        <w:outlineLvl w:val="9"/>
        <w:rPr>
          <w:rFonts w:ascii="仿宋" w:hAnsi="仿宋" w:eastAsia="仿宋" w:cs="仿宋"/>
          <w:color w:val="000000"/>
          <w:szCs w:val="21"/>
        </w:rPr>
      </w:pPr>
      <w:r>
        <w:rPr>
          <w:rFonts w:hint="eastAsia" w:ascii="仿宋" w:hAnsi="仿宋" w:eastAsia="仿宋" w:cs="仿宋"/>
          <w:color w:val="000000"/>
          <w:szCs w:val="21"/>
        </w:rPr>
        <w:t>正文为五宋。</w:t>
      </w:r>
    </w:p>
    <w:p>
      <w:pPr>
        <w:pageBreakBefore w:val="0"/>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三、目录版式</w:t>
      </w:r>
    </w:p>
    <w:p>
      <w:pPr>
        <w:pageBreakBefore w:val="0"/>
        <w:topLinePunct w:val="0"/>
        <w:bidi w:val="0"/>
        <w:spacing w:line="400" w:lineRule="exact"/>
        <w:ind w:left="646" w:hanging="374"/>
        <w:outlineLvl w:val="9"/>
        <w:rPr>
          <w:rFonts w:ascii="仿宋" w:hAnsi="仿宋" w:eastAsia="仿宋" w:cs="仿宋"/>
          <w:color w:val="000000"/>
          <w:szCs w:val="21"/>
        </w:rPr>
      </w:pPr>
      <w:r>
        <w:rPr>
          <w:rFonts w:hint="eastAsia" w:ascii="仿宋" w:hAnsi="仿宋" w:eastAsia="仿宋" w:cs="仿宋"/>
          <w:color w:val="000000"/>
          <w:szCs w:val="21"/>
        </w:rPr>
        <w:t>目录----上空二行，小二号黑体居中占三行</w:t>
      </w:r>
    </w:p>
    <w:p>
      <w:pPr>
        <w:pageBreakBefore w:val="0"/>
        <w:topLinePunct w:val="0"/>
        <w:bidi w:val="0"/>
        <w:spacing w:line="400" w:lineRule="exact"/>
        <w:ind w:left="646" w:hanging="374"/>
        <w:outlineLvl w:val="9"/>
        <w:rPr>
          <w:rFonts w:ascii="仿宋" w:hAnsi="仿宋" w:eastAsia="仿宋" w:cs="仿宋"/>
          <w:color w:val="000000"/>
          <w:szCs w:val="21"/>
        </w:rPr>
      </w:pPr>
      <w:r>
        <w:rPr>
          <w:rFonts w:hint="eastAsia" w:ascii="仿宋" w:hAnsi="仿宋" w:eastAsia="仿宋" w:cs="仿宋"/>
          <w:color w:val="000000"/>
          <w:szCs w:val="21"/>
        </w:rPr>
        <w:t>第1篇----小四黑居中（建议不用此级标题）</w:t>
      </w:r>
    </w:p>
    <w:p>
      <w:pPr>
        <w:pageBreakBefore w:val="0"/>
        <w:topLinePunct w:val="0"/>
        <w:bidi w:val="0"/>
        <w:spacing w:line="400" w:lineRule="exact"/>
        <w:ind w:left="646" w:hanging="374"/>
        <w:outlineLvl w:val="9"/>
        <w:rPr>
          <w:rFonts w:ascii="仿宋" w:hAnsi="仿宋" w:eastAsia="仿宋" w:cs="仿宋"/>
          <w:color w:val="000000"/>
          <w:szCs w:val="21"/>
        </w:rPr>
      </w:pPr>
      <w:r>
        <w:rPr>
          <w:rFonts w:hint="eastAsia" w:ascii="仿宋" w:hAnsi="仿宋" w:eastAsia="仿宋" w:cs="仿宋"/>
          <w:color w:val="000000"/>
          <w:szCs w:val="21"/>
        </w:rPr>
        <w:t>第1章----五黑顶格</w:t>
      </w:r>
    </w:p>
    <w:p>
      <w:pPr>
        <w:pageBreakBefore w:val="0"/>
        <w:topLinePunct w:val="0"/>
        <w:bidi w:val="0"/>
        <w:spacing w:line="400" w:lineRule="exact"/>
        <w:ind w:left="646" w:hanging="374"/>
        <w:outlineLvl w:val="9"/>
        <w:rPr>
          <w:rFonts w:ascii="仿宋" w:hAnsi="仿宋" w:eastAsia="仿宋" w:cs="仿宋"/>
          <w:color w:val="000000"/>
          <w:szCs w:val="21"/>
        </w:rPr>
      </w:pPr>
      <w:r>
        <w:rPr>
          <w:rFonts w:hint="eastAsia" w:ascii="仿宋" w:hAnsi="仿宋" w:eastAsia="仿宋" w:cs="仿宋"/>
          <w:color w:val="000000"/>
          <w:szCs w:val="21"/>
        </w:rPr>
        <w:t>1.1----五宋缩一格</w:t>
      </w:r>
    </w:p>
    <w:p>
      <w:pPr>
        <w:pageBreakBefore w:val="0"/>
        <w:topLinePunct w:val="0"/>
        <w:bidi w:val="0"/>
        <w:spacing w:line="400" w:lineRule="exact"/>
        <w:ind w:left="646" w:hanging="374"/>
        <w:outlineLvl w:val="9"/>
        <w:rPr>
          <w:rFonts w:ascii="仿宋" w:hAnsi="仿宋" w:eastAsia="仿宋" w:cs="仿宋"/>
          <w:color w:val="000000"/>
          <w:szCs w:val="21"/>
        </w:rPr>
      </w:pPr>
      <w:r>
        <w:rPr>
          <w:rFonts w:hint="eastAsia" w:ascii="仿宋" w:hAnsi="仿宋" w:eastAsia="仿宋" w:cs="仿宋"/>
          <w:color w:val="000000"/>
          <w:szCs w:val="21"/>
        </w:rPr>
        <w:t>1.1.1------五宋缩二格</w:t>
      </w:r>
    </w:p>
    <w:p>
      <w:pPr>
        <w:pageBreakBefore w:val="0"/>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四、开本和页码</w:t>
      </w:r>
    </w:p>
    <w:p>
      <w:pPr>
        <w:pageBreakBefore w:val="0"/>
        <w:topLinePunct w:val="0"/>
        <w:bidi w:val="0"/>
        <w:spacing w:line="400" w:lineRule="exact"/>
        <w:ind w:firstLine="210" w:firstLineChars="100"/>
        <w:outlineLvl w:val="9"/>
        <w:rPr>
          <w:rFonts w:ascii="仿宋" w:hAnsi="仿宋" w:eastAsia="仿宋" w:cs="仿宋"/>
          <w:color w:val="000000"/>
          <w:szCs w:val="21"/>
        </w:rPr>
      </w:pPr>
      <w:r>
        <w:rPr>
          <w:rFonts w:hint="eastAsia" w:ascii="仿宋" w:hAnsi="仿宋" w:eastAsia="仿宋" w:cs="仿宋"/>
          <w:color w:val="000000"/>
          <w:szCs w:val="21"/>
        </w:rPr>
        <w:t>16开，40字×39行/面。</w:t>
      </w:r>
    </w:p>
    <w:p>
      <w:pPr>
        <w:pageBreakBefore w:val="0"/>
        <w:topLinePunct w:val="0"/>
        <w:bidi w:val="0"/>
        <w:spacing w:line="400" w:lineRule="exact"/>
        <w:ind w:firstLine="210" w:firstLineChars="100"/>
        <w:outlineLvl w:val="9"/>
        <w:rPr>
          <w:rFonts w:ascii="仿宋" w:hAnsi="仿宋" w:eastAsia="仿宋" w:cs="仿宋"/>
          <w:color w:val="000000"/>
          <w:szCs w:val="21"/>
        </w:rPr>
      </w:pPr>
      <w:r>
        <w:rPr>
          <w:rFonts w:hint="eastAsia" w:ascii="仿宋" w:hAnsi="仿宋" w:eastAsia="仿宋" w:cs="仿宋"/>
          <w:color w:val="000000"/>
          <w:szCs w:val="21"/>
        </w:rPr>
        <w:t>页边距：默认页边距（上下2.54，左右3.17）；行距：1.25倍。</w:t>
      </w:r>
    </w:p>
    <w:p>
      <w:pPr>
        <w:pageBreakBefore w:val="0"/>
        <w:topLinePunct w:val="0"/>
        <w:bidi w:val="0"/>
        <w:spacing w:line="400" w:lineRule="exact"/>
        <w:ind w:firstLine="210" w:firstLineChars="100"/>
        <w:outlineLvl w:val="9"/>
        <w:rPr>
          <w:rFonts w:ascii="仿宋" w:hAnsi="仿宋" w:eastAsia="仿宋" w:cs="仿宋"/>
          <w:color w:val="000000"/>
          <w:szCs w:val="21"/>
        </w:rPr>
      </w:pPr>
      <w:r>
        <w:rPr>
          <w:rFonts w:hint="eastAsia" w:ascii="仿宋" w:hAnsi="仿宋" w:eastAsia="仿宋" w:cs="仿宋"/>
          <w:color w:val="000000"/>
          <w:szCs w:val="21"/>
        </w:rPr>
        <w:t>页码缩进一格，排在每页切口下角，正文页码用五号阿拉伯数字，文前页码从扉页（即内封）开始编排，目录使用五号大写罗马数字，其中扉页、版权页等为暗码。</w:t>
      </w:r>
    </w:p>
    <w:p>
      <w:pPr>
        <w:pStyle w:val="19"/>
        <w:pageBreakBefore w:val="0"/>
        <w:topLinePunct w:val="0"/>
        <w:bidi w:val="0"/>
        <w:spacing w:line="400" w:lineRule="exact"/>
        <w:outlineLvl w:val="9"/>
        <w:rPr>
          <w:rFonts w:ascii="仿宋" w:hAnsi="仿宋" w:eastAsia="仿宋" w:cs="仿宋"/>
          <w:color w:val="000000"/>
        </w:rPr>
      </w:pPr>
      <w:r>
        <w:rPr>
          <w:rFonts w:hint="eastAsia" w:ascii="仿宋" w:hAnsi="仿宋" w:eastAsia="仿宋" w:cs="仿宋"/>
          <w:color w:val="000000"/>
        </w:rPr>
        <w:t>五、居中标题版式</w:t>
      </w:r>
    </w:p>
    <w:p>
      <w:pPr>
        <w:pStyle w:val="19"/>
        <w:pageBreakBefore w:val="0"/>
        <w:topLinePunct w:val="0"/>
        <w:bidi w:val="0"/>
        <w:spacing w:line="400" w:lineRule="exact"/>
        <w:ind w:left="646" w:hanging="374"/>
        <w:outlineLvl w:val="9"/>
        <w:rPr>
          <w:rFonts w:ascii="仿宋" w:hAnsi="仿宋" w:eastAsia="仿宋" w:cs="仿宋"/>
          <w:color w:val="000000"/>
        </w:rPr>
      </w:pPr>
      <w:r>
        <w:rPr>
          <w:rFonts w:hint="eastAsia" w:ascii="仿宋" w:hAnsi="仿宋" w:eastAsia="仿宋" w:cs="仿宋"/>
          <w:color w:val="000000"/>
        </w:rPr>
        <w:t>1．标题为二个字的按格式：X    X（中间空2 格）。</w:t>
      </w:r>
    </w:p>
    <w:p>
      <w:pPr>
        <w:pStyle w:val="19"/>
        <w:pageBreakBefore w:val="0"/>
        <w:topLinePunct w:val="0"/>
        <w:bidi w:val="0"/>
        <w:spacing w:line="400" w:lineRule="exact"/>
        <w:ind w:left="646" w:hanging="374"/>
        <w:outlineLvl w:val="9"/>
        <w:rPr>
          <w:rFonts w:ascii="仿宋" w:hAnsi="仿宋" w:eastAsia="仿宋" w:cs="仿宋"/>
          <w:color w:val="000000"/>
        </w:rPr>
      </w:pPr>
      <w:r>
        <w:rPr>
          <w:rFonts w:hint="eastAsia" w:ascii="仿宋" w:hAnsi="仿宋" w:eastAsia="仿宋" w:cs="仿宋"/>
          <w:color w:val="000000"/>
        </w:rPr>
        <w:t>2．标题为三个字的按格式：X  X  X（中间空1格）。</w:t>
      </w:r>
    </w:p>
    <w:p>
      <w:pPr>
        <w:pStyle w:val="19"/>
        <w:pageBreakBefore w:val="0"/>
        <w:topLinePunct w:val="0"/>
        <w:bidi w:val="0"/>
        <w:spacing w:line="400" w:lineRule="exact"/>
        <w:ind w:left="646" w:hanging="374"/>
        <w:outlineLvl w:val="9"/>
        <w:rPr>
          <w:rFonts w:ascii="仿宋" w:hAnsi="仿宋" w:eastAsia="仿宋" w:cs="仿宋"/>
          <w:color w:val="000000"/>
        </w:rPr>
      </w:pPr>
      <w:r>
        <w:rPr>
          <w:rFonts w:hint="eastAsia" w:ascii="仿宋" w:hAnsi="仿宋" w:eastAsia="仿宋" w:cs="仿宋"/>
          <w:color w:val="000000"/>
        </w:rPr>
        <w:t>3．标题为四个字的按格式：X X X X（中间空半格）。</w:t>
      </w:r>
    </w:p>
    <w:p>
      <w:pPr>
        <w:pStyle w:val="19"/>
        <w:pageBreakBefore w:val="0"/>
        <w:topLinePunct w:val="0"/>
        <w:bidi w:val="0"/>
        <w:spacing w:line="400" w:lineRule="exact"/>
        <w:ind w:left="646" w:hanging="374"/>
        <w:outlineLvl w:val="9"/>
        <w:rPr>
          <w:rFonts w:ascii="仿宋" w:hAnsi="仿宋" w:eastAsia="仿宋" w:cs="仿宋"/>
          <w:color w:val="000000"/>
        </w:rPr>
      </w:pPr>
      <w:r>
        <w:rPr>
          <w:rFonts w:hint="eastAsia" w:ascii="仿宋" w:hAnsi="仿宋" w:eastAsia="仿宋" w:cs="仿宋"/>
          <w:color w:val="000000"/>
        </w:rPr>
        <w:t>4．标题为五个字的按格式：XXXXX（中间不空格）。</w:t>
      </w:r>
    </w:p>
    <w:p>
      <w:pPr>
        <w:pageBreakBefore w:val="0"/>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六、图、表版式</w:t>
      </w:r>
    </w:p>
    <w:p>
      <w:pPr>
        <w:pageBreakBefore w:val="0"/>
        <w:numPr>
          <w:ilvl w:val="0"/>
          <w:numId w:val="15"/>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图题及表题占两行，图上面及表下面各空半行。</w:t>
      </w:r>
    </w:p>
    <w:p>
      <w:pPr>
        <w:pageBreakBefore w:val="0"/>
        <w:numPr>
          <w:ilvl w:val="0"/>
          <w:numId w:val="15"/>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图以章为序（图1-1），图序与图题小五宋图下居中，图解、图注用六宋，图与图题不得跨页，“-”为对开线(即半字线)。</w:t>
      </w:r>
    </w:p>
    <w:p>
      <w:pPr>
        <w:pageBreakBefore w:val="0"/>
        <w:topLinePunct w:val="0"/>
        <w:bidi w:val="0"/>
        <w:spacing w:line="400" w:lineRule="exact"/>
        <w:ind w:left="670" w:leftChars="319"/>
        <w:outlineLvl w:val="9"/>
        <w:rPr>
          <w:rFonts w:ascii="仿宋" w:hAnsi="仿宋" w:eastAsia="仿宋" w:cs="仿宋"/>
          <w:color w:val="000000"/>
          <w:szCs w:val="21"/>
        </w:rPr>
      </w:pPr>
      <w:r>
        <w:rPr>
          <w:rFonts w:hint="eastAsia" w:ascii="仿宋" w:hAnsi="仿宋" w:eastAsia="仿宋" w:cs="仿宋"/>
          <w:color w:val="000000"/>
          <w:szCs w:val="21"/>
        </w:rPr>
        <w:t>有分图时，须标注分图名，分图号用(a)、(b)表示。图注和其他说明的文字应写在图题下面（六宋）。正文中引用图号时，用“见图1-1(a)、(b)”或“如图1-1(a)、(b)所示”。</w:t>
      </w:r>
    </w:p>
    <w:p>
      <w:pPr>
        <w:pageBreakBefore w:val="0"/>
        <w:numPr>
          <w:ilvl w:val="0"/>
          <w:numId w:val="15"/>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表以章为序（表1-1），表序与表题小五黑表上居中，表文、表注用六宋，表的上、下两边用反线（即粗线），左右两边不用墙线，表的内线用正线（即细线）。表跨页时要另起表头，并在右上角排小五宋“（续表）”字样，未结束表底线用正线，续表第一条线用反线。</w:t>
      </w:r>
    </w:p>
    <w:p>
      <w:pPr>
        <w:pageBreakBefore w:val="0"/>
        <w:topLinePunct w:val="0"/>
        <w:bidi w:val="0"/>
        <w:spacing w:line="400" w:lineRule="exact"/>
        <w:ind w:firstLine="630" w:firstLineChars="300"/>
        <w:outlineLvl w:val="9"/>
        <w:rPr>
          <w:rFonts w:ascii="仿宋" w:hAnsi="仿宋" w:eastAsia="仿宋" w:cs="仿宋"/>
          <w:color w:val="000000"/>
          <w:szCs w:val="21"/>
        </w:rPr>
      </w:pPr>
      <w:r>
        <w:rPr>
          <w:rFonts w:hint="eastAsia" w:ascii="仿宋" w:hAnsi="仿宋" w:eastAsia="仿宋" w:cs="仿宋"/>
          <w:color w:val="000000"/>
          <w:szCs w:val="21"/>
        </w:rPr>
        <w:t>下面为文稿中图（表）的例子：</w:t>
      </w:r>
    </w:p>
    <w:p>
      <w:pPr>
        <w:pageBreakBefore w:val="0"/>
        <w:topLinePunct w:val="0"/>
        <w:bidi w:val="0"/>
        <w:spacing w:line="400" w:lineRule="exact"/>
        <w:ind w:left="646" w:hanging="374"/>
        <w:jc w:val="center"/>
        <w:outlineLvl w:val="9"/>
        <w:rPr>
          <w:rFonts w:ascii="仿宋" w:hAnsi="仿宋" w:eastAsia="仿宋" w:cs="仿宋"/>
          <w:color w:val="000000"/>
          <w:szCs w:val="21"/>
        </w:rPr>
      </w:pPr>
      <w:r>
        <w:rPr>
          <w:rFonts w:hint="eastAsia" w:ascii="仿宋" w:hAnsi="仿宋" w:eastAsia="仿宋" w:cs="仿宋"/>
          <w:color w:val="000000"/>
          <w:szCs w:val="21"/>
        </w:rPr>
        <w:t>（空2行）</w:t>
      </w:r>
    </w:p>
    <w:p>
      <w:pPr>
        <w:pageBreakBefore w:val="0"/>
        <w:topLinePunct w:val="0"/>
        <w:bidi w:val="0"/>
        <w:spacing w:line="400" w:lineRule="exact"/>
        <w:ind w:left="646" w:hanging="374"/>
        <w:outlineLvl w:val="9"/>
        <w:rPr>
          <w:rFonts w:ascii="仿宋" w:hAnsi="仿宋" w:eastAsia="仿宋" w:cs="仿宋"/>
          <w:color w:val="000000"/>
          <w:szCs w:val="21"/>
        </w:rPr>
      </w:pPr>
      <w:r>
        <w:rPr>
          <w:rFonts w:hint="eastAsia" w:ascii="仿宋" w:hAnsi="仿宋" w:eastAsia="仿宋" w:cs="仿宋"/>
          <w:color w:val="000000"/>
          <w:szCs w:val="21"/>
        </w:rPr>
        <w:t xml:space="preserve">               图1-1  PowerBuilder启动画面（小五号宋体居中排）</w:t>
      </w:r>
    </w:p>
    <w:p>
      <w:pPr>
        <w:pageBreakBefore w:val="0"/>
        <w:tabs>
          <w:tab w:val="right" w:pos="8306"/>
        </w:tabs>
        <w:topLinePunct w:val="0"/>
        <w:bidi w:val="0"/>
        <w:spacing w:line="400" w:lineRule="exact"/>
        <w:ind w:left="646" w:hanging="374"/>
        <w:outlineLvl w:val="9"/>
        <w:rPr>
          <w:rFonts w:ascii="仿宋" w:hAnsi="仿宋" w:eastAsia="仿宋" w:cs="仿宋"/>
          <w:color w:val="000000"/>
          <w:szCs w:val="21"/>
        </w:rPr>
      </w:pPr>
      <w:r>
        <w:rPr>
          <w:rFonts w:hint="eastAsia" w:ascii="仿宋" w:hAnsi="仿宋" w:eastAsia="仿宋" w:cs="仿宋"/>
          <w:color w:val="000000"/>
          <w:szCs w:val="21"/>
        </w:rPr>
        <w:t xml:space="preserve">   </w:t>
      </w:r>
      <w:r>
        <w:rPr>
          <w:rFonts w:hint="eastAsia" w:ascii="仿宋" w:hAnsi="仿宋" w:eastAsia="仿宋" w:cs="仿宋"/>
          <w:color w:val="000000"/>
          <w:szCs w:val="21"/>
        </w:rPr>
        <w:tab/>
      </w:r>
      <w:r>
        <w:rPr>
          <w:rFonts w:hint="eastAsia" w:ascii="仿宋" w:hAnsi="仿宋" w:eastAsia="仿宋" w:cs="仿宋"/>
          <w:color w:val="000000"/>
          <w:szCs w:val="21"/>
        </w:rPr>
        <w:tab/>
      </w:r>
    </w:p>
    <w:p>
      <w:pPr>
        <w:pageBreakBefore w:val="0"/>
        <w:topLinePunct w:val="0"/>
        <w:bidi w:val="0"/>
        <w:spacing w:line="400" w:lineRule="exact"/>
        <w:ind w:left="646" w:hanging="374"/>
        <w:outlineLvl w:val="9"/>
        <w:rPr>
          <w:rFonts w:ascii="仿宋" w:hAnsi="仿宋" w:eastAsia="仿宋" w:cs="仿宋"/>
          <w:color w:val="000000"/>
          <w:szCs w:val="21"/>
        </w:rPr>
      </w:pPr>
      <w:r>
        <w:rPr>
          <w:rFonts w:hint="eastAsia" w:ascii="仿宋" w:hAnsi="仿宋" w:eastAsia="仿宋" w:cs="仿宋"/>
          <w:color w:val="000000"/>
          <w:szCs w:val="21"/>
        </w:rPr>
        <w:t xml:space="preserve">               表1-1  PowerBuilder元件表（小五号黑体居中排）</w:t>
      </w:r>
    </w:p>
    <w:p>
      <w:pPr>
        <w:pageBreakBefore w:val="0"/>
        <w:topLinePunct w:val="0"/>
        <w:bidi w:val="0"/>
        <w:spacing w:line="400" w:lineRule="exact"/>
        <w:ind w:left="646" w:hanging="374"/>
        <w:jc w:val="center"/>
        <w:outlineLvl w:val="9"/>
        <w:rPr>
          <w:rFonts w:ascii="仿宋" w:hAnsi="仿宋" w:eastAsia="仿宋" w:cs="仿宋"/>
          <w:color w:val="000000"/>
          <w:szCs w:val="21"/>
        </w:rPr>
      </w:pPr>
      <w:r>
        <w:rPr>
          <w:rFonts w:hint="eastAsia" w:ascii="仿宋" w:hAnsi="仿宋" w:eastAsia="仿宋" w:cs="仿宋"/>
          <w:color w:val="000000"/>
          <w:szCs w:val="21"/>
        </w:rPr>
        <w:t>表中文字为六号宋体</w:t>
      </w:r>
    </w:p>
    <w:p>
      <w:pPr>
        <w:pStyle w:val="19"/>
        <w:pageBreakBefore w:val="0"/>
        <w:topLinePunct w:val="0"/>
        <w:bidi w:val="0"/>
        <w:spacing w:line="400" w:lineRule="exact"/>
        <w:outlineLvl w:val="9"/>
        <w:rPr>
          <w:rFonts w:ascii="仿宋" w:hAnsi="仿宋" w:eastAsia="仿宋" w:cs="仿宋"/>
          <w:color w:val="000000"/>
        </w:rPr>
      </w:pPr>
      <w:r>
        <w:rPr>
          <w:rFonts w:hint="eastAsia" w:ascii="仿宋" w:hAnsi="仿宋" w:eastAsia="仿宋" w:cs="仿宋"/>
          <w:color w:val="000000"/>
        </w:rPr>
        <w:t>七、附录版式</w:t>
      </w:r>
    </w:p>
    <w:p>
      <w:pPr>
        <w:pStyle w:val="19"/>
        <w:pageBreakBefore w:val="0"/>
        <w:numPr>
          <w:ilvl w:val="0"/>
          <w:numId w:val="16"/>
        </w:numPr>
        <w:topLinePunct w:val="0"/>
        <w:bidi w:val="0"/>
        <w:spacing w:line="400" w:lineRule="exact"/>
        <w:outlineLvl w:val="9"/>
        <w:rPr>
          <w:rFonts w:ascii="仿宋" w:hAnsi="仿宋" w:eastAsia="仿宋" w:cs="仿宋"/>
          <w:color w:val="000000"/>
        </w:rPr>
      </w:pPr>
      <w:r>
        <w:rPr>
          <w:rFonts w:hint="eastAsia" w:ascii="仿宋" w:hAnsi="仿宋" w:eastAsia="仿宋" w:cs="仿宋"/>
          <w:color w:val="000000"/>
        </w:rPr>
        <w:t>全书后面可加附录，附录按附录A、附录B顺序（二级标题(BT2)）。</w:t>
      </w:r>
    </w:p>
    <w:p>
      <w:pPr>
        <w:pStyle w:val="19"/>
        <w:pageBreakBefore w:val="0"/>
        <w:numPr>
          <w:ilvl w:val="0"/>
          <w:numId w:val="16"/>
        </w:numPr>
        <w:topLinePunct w:val="0"/>
        <w:bidi w:val="0"/>
        <w:spacing w:line="400" w:lineRule="exact"/>
        <w:outlineLvl w:val="9"/>
        <w:rPr>
          <w:rFonts w:ascii="仿宋" w:hAnsi="仿宋" w:eastAsia="仿宋" w:cs="仿宋"/>
          <w:color w:val="000000"/>
        </w:rPr>
      </w:pPr>
      <w:r>
        <w:rPr>
          <w:rFonts w:hint="eastAsia" w:ascii="仿宋" w:hAnsi="仿宋" w:eastAsia="仿宋" w:cs="仿宋"/>
          <w:color w:val="000000"/>
        </w:rPr>
        <w:t>只有一个附录时，按附录A排。</w:t>
      </w:r>
    </w:p>
    <w:p>
      <w:pPr>
        <w:pStyle w:val="19"/>
        <w:pageBreakBefore w:val="0"/>
        <w:topLinePunct w:val="0"/>
        <w:bidi w:val="0"/>
        <w:spacing w:line="400" w:lineRule="exact"/>
        <w:outlineLvl w:val="9"/>
        <w:rPr>
          <w:rFonts w:ascii="仿宋" w:hAnsi="仿宋" w:eastAsia="仿宋" w:cs="仿宋"/>
          <w:color w:val="000000"/>
        </w:rPr>
      </w:pPr>
      <w:r>
        <w:rPr>
          <w:rFonts w:hint="eastAsia" w:ascii="仿宋" w:hAnsi="仿宋" w:eastAsia="仿宋" w:cs="仿宋"/>
          <w:color w:val="000000"/>
        </w:rPr>
        <w:t>八、小结、习题版式</w:t>
      </w:r>
    </w:p>
    <w:p>
      <w:pPr>
        <w:pageBreakBefore w:val="0"/>
        <w:numPr>
          <w:ilvl w:val="0"/>
          <w:numId w:val="17"/>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每章加小结，按BT2（小结）。</w:t>
      </w:r>
    </w:p>
    <w:p>
      <w:pPr>
        <w:pageBreakBefore w:val="0"/>
        <w:numPr>
          <w:ilvl w:val="0"/>
          <w:numId w:val="17"/>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每章最后须附有习题，按BT2（习题）。</w:t>
      </w:r>
    </w:p>
    <w:p>
      <w:pPr>
        <w:pageBreakBefore w:val="0"/>
        <w:numPr>
          <w:ilvl w:val="0"/>
          <w:numId w:val="17"/>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习题序号按章编排，如第1章习题的排序为：1.1，1.2……</w:t>
      </w:r>
    </w:p>
    <w:p>
      <w:pPr>
        <w:pageBreakBefore w:val="0"/>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九、定理、定义、推论、公式等版式</w:t>
      </w:r>
    </w:p>
    <w:p>
      <w:pPr>
        <w:pageBreakBefore w:val="0"/>
        <w:numPr>
          <w:ilvl w:val="0"/>
          <w:numId w:val="18"/>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定理、定义、推论等按章排序，如第1章中的应为定理1-1、定理1-2…，定义、推论的编排方法一样。</w:t>
      </w:r>
    </w:p>
    <w:p>
      <w:pPr>
        <w:pageBreakBefore w:val="0"/>
        <w:numPr>
          <w:ilvl w:val="0"/>
          <w:numId w:val="18"/>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具体版式：前空2字，标题五黑（如：定义1-7），内容部分五宋，与标题间空1字，回行顶格。示例如下：</w:t>
      </w:r>
    </w:p>
    <w:p>
      <w:pPr>
        <w:pageBreakBefore w:val="0"/>
        <w:topLinePunct w:val="0"/>
        <w:bidi w:val="0"/>
        <w:spacing w:line="400" w:lineRule="exact"/>
        <w:ind w:left="678" w:leftChars="297" w:hanging="54" w:hangingChars="26"/>
        <w:outlineLvl w:val="9"/>
        <w:rPr>
          <w:rFonts w:ascii="仿宋" w:hAnsi="仿宋" w:eastAsia="仿宋" w:cs="仿宋"/>
          <w:color w:val="000000"/>
          <w:szCs w:val="21"/>
        </w:rPr>
      </w:pPr>
      <w:r>
        <w:rPr>
          <w:rFonts w:hint="eastAsia" w:ascii="仿宋" w:hAnsi="仿宋" w:eastAsia="仿宋" w:cs="仿宋"/>
          <w:color w:val="000000"/>
          <w:szCs w:val="21"/>
        </w:rPr>
        <w:t>定义1-7  如果</w:t>
      </w:r>
      <w:r>
        <w:rPr>
          <w:rFonts w:hint="eastAsia" w:ascii="仿宋" w:hAnsi="仿宋" w:eastAsia="仿宋" w:cs="仿宋"/>
          <w:i/>
          <w:iCs/>
          <w:color w:val="000000"/>
          <w:szCs w:val="21"/>
        </w:rPr>
        <w:t>A</w:t>
      </w:r>
      <w:r>
        <w:rPr>
          <w:rFonts w:hint="eastAsia" w:ascii="仿宋" w:hAnsi="仿宋" w:eastAsia="仿宋" w:cs="仿宋"/>
          <w:color w:val="000000"/>
          <w:szCs w:val="21"/>
          <w:vertAlign w:val="subscript"/>
        </w:rPr>
        <w:t>1</w:t>
      </w:r>
      <w:r>
        <w:rPr>
          <w:rFonts w:hint="eastAsia" w:ascii="仿宋" w:hAnsi="仿宋" w:eastAsia="仿宋" w:cs="仿宋"/>
          <w:color w:val="000000"/>
          <w:szCs w:val="21"/>
        </w:rPr>
        <w:t>是命题公式</w:t>
      </w:r>
      <w:r>
        <w:rPr>
          <w:rFonts w:hint="eastAsia" w:ascii="仿宋" w:hAnsi="仿宋" w:eastAsia="仿宋" w:cs="仿宋"/>
          <w:i/>
          <w:iCs/>
          <w:color w:val="000000"/>
          <w:szCs w:val="21"/>
        </w:rPr>
        <w:t>A</w:t>
      </w:r>
      <w:r>
        <w:rPr>
          <w:rFonts w:hint="eastAsia" w:ascii="仿宋" w:hAnsi="仿宋" w:eastAsia="仿宋" w:cs="仿宋"/>
          <w:color w:val="000000"/>
          <w:szCs w:val="21"/>
        </w:rPr>
        <w:t>的一个组成部分，且</w:t>
      </w:r>
      <w:r>
        <w:rPr>
          <w:rFonts w:hint="eastAsia" w:ascii="仿宋" w:hAnsi="仿宋" w:eastAsia="仿宋" w:cs="仿宋"/>
          <w:i/>
          <w:iCs/>
          <w:color w:val="000000"/>
          <w:szCs w:val="21"/>
        </w:rPr>
        <w:t>A</w:t>
      </w:r>
      <w:r>
        <w:rPr>
          <w:rFonts w:hint="eastAsia" w:ascii="仿宋" w:hAnsi="仿宋" w:eastAsia="仿宋" w:cs="仿宋"/>
          <w:color w:val="000000"/>
          <w:szCs w:val="21"/>
          <w:vertAlign w:val="subscript"/>
        </w:rPr>
        <w:t>1</w:t>
      </w:r>
      <w:r>
        <w:rPr>
          <w:rFonts w:hint="eastAsia" w:ascii="仿宋" w:hAnsi="仿宋" w:eastAsia="仿宋" w:cs="仿宋"/>
          <w:color w:val="000000"/>
          <w:szCs w:val="21"/>
        </w:rPr>
        <w:t>本身也是一个命题公式，称</w:t>
      </w:r>
      <w:r>
        <w:rPr>
          <w:rFonts w:hint="eastAsia" w:ascii="仿宋" w:hAnsi="仿宋" w:eastAsia="仿宋" w:cs="仿宋"/>
          <w:i/>
          <w:iCs/>
          <w:color w:val="000000"/>
          <w:szCs w:val="21"/>
        </w:rPr>
        <w:t>A</w:t>
      </w:r>
      <w:r>
        <w:rPr>
          <w:rFonts w:hint="eastAsia" w:ascii="仿宋" w:hAnsi="仿宋" w:eastAsia="仿宋" w:cs="仿宋"/>
          <w:color w:val="000000"/>
          <w:szCs w:val="21"/>
          <w:vertAlign w:val="subscript"/>
        </w:rPr>
        <w:t>1</w:t>
      </w:r>
      <w:r>
        <w:rPr>
          <w:rFonts w:hint="eastAsia" w:ascii="仿宋" w:hAnsi="仿宋" w:eastAsia="仿宋" w:cs="仿宋"/>
          <w:color w:val="000000"/>
          <w:szCs w:val="21"/>
        </w:rPr>
        <w:t>是</w:t>
      </w:r>
      <w:r>
        <w:rPr>
          <w:rFonts w:hint="eastAsia" w:ascii="仿宋" w:hAnsi="仿宋" w:eastAsia="仿宋" w:cs="仿宋"/>
          <w:i/>
          <w:iCs/>
          <w:color w:val="000000"/>
          <w:szCs w:val="21"/>
        </w:rPr>
        <w:t>A</w:t>
      </w:r>
      <w:r>
        <w:rPr>
          <w:rFonts w:hint="eastAsia" w:ascii="仿宋" w:hAnsi="仿宋" w:eastAsia="仿宋" w:cs="仿宋"/>
          <w:color w:val="000000"/>
          <w:szCs w:val="21"/>
        </w:rPr>
        <w:t>的子命题公式或子公式。</w:t>
      </w:r>
    </w:p>
    <w:p>
      <w:pPr>
        <w:pageBreakBefore w:val="0"/>
        <w:numPr>
          <w:ilvl w:val="0"/>
          <w:numId w:val="18"/>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公式居中书写。若公式前有简短的文字说明（如解、证、令、由此得等），文字顶格书写，公式仍居中书写，公式末不加标点。公式序号按章编排（如(1-1)表示第1章第1个公式），写在公式右侧行末顶边线，并加圆括号。</w:t>
      </w:r>
    </w:p>
    <w:p>
      <w:pPr>
        <w:pageBreakBefore w:val="0"/>
        <w:topLinePunct w:val="0"/>
        <w:bidi w:val="0"/>
        <w:spacing w:line="400" w:lineRule="exact"/>
        <w:ind w:left="630"/>
        <w:outlineLvl w:val="9"/>
        <w:rPr>
          <w:rFonts w:ascii="仿宋" w:hAnsi="仿宋" w:eastAsia="仿宋" w:cs="仿宋"/>
          <w:color w:val="000000"/>
          <w:szCs w:val="21"/>
        </w:rPr>
      </w:pPr>
      <w:r>
        <w:rPr>
          <w:rFonts w:hint="eastAsia" w:ascii="仿宋" w:hAnsi="仿宋" w:eastAsia="仿宋" w:cs="仿宋"/>
          <w:color w:val="000000"/>
          <w:szCs w:val="21"/>
        </w:rPr>
        <w:t>文中引用公式时，用“见式(1-1)”、“见式(2-1)～式(2-4)”。</w:t>
      </w:r>
    </w:p>
    <w:p>
      <w:pPr>
        <w:pageBreakBefore w:val="0"/>
        <w:topLinePunct w:val="0"/>
        <w:bidi w:val="0"/>
        <w:spacing w:line="400" w:lineRule="exact"/>
        <w:ind w:left="270"/>
        <w:outlineLvl w:val="9"/>
        <w:rPr>
          <w:rFonts w:ascii="仿宋" w:hAnsi="仿宋" w:eastAsia="仿宋" w:cs="仿宋"/>
          <w:color w:val="000000"/>
          <w:szCs w:val="21"/>
        </w:rPr>
      </w:pPr>
      <w:r>
        <w:rPr>
          <w:rFonts w:hint="eastAsia" w:ascii="仿宋" w:hAnsi="仿宋" w:eastAsia="仿宋" w:cs="仿宋"/>
          <w:color w:val="000000"/>
          <w:szCs w:val="21"/>
        </w:rPr>
        <w:tab/>
      </w:r>
      <w:r>
        <w:rPr>
          <w:rFonts w:hint="eastAsia" w:ascii="仿宋" w:hAnsi="仿宋" w:eastAsia="仿宋" w:cs="仿宋"/>
          <w:color w:val="000000"/>
          <w:szCs w:val="21"/>
        </w:rPr>
        <w:t xml:space="preserve">  公式及其注释举例如下：</w:t>
      </w:r>
    </w:p>
    <w:p>
      <w:pPr>
        <w:pageBreakBefore w:val="0"/>
        <w:topLinePunct w:val="0"/>
        <w:bidi w:val="0"/>
        <w:spacing w:line="400" w:lineRule="exact"/>
        <w:ind w:left="270"/>
        <w:jc w:val="center"/>
        <w:outlineLvl w:val="9"/>
        <w:rPr>
          <w:rFonts w:ascii="仿宋" w:hAnsi="仿宋" w:eastAsia="仿宋" w:cs="仿宋"/>
          <w:color w:val="000000"/>
          <w:szCs w:val="21"/>
        </w:rPr>
      </w:pPr>
      <w:r>
        <w:rPr>
          <w:rFonts w:hint="eastAsia" w:ascii="仿宋" w:hAnsi="仿宋" w:eastAsia="仿宋" w:cs="仿宋"/>
          <w:i/>
          <w:iCs/>
          <w:color w:val="000000"/>
          <w:szCs w:val="21"/>
        </w:rPr>
        <w:t xml:space="preserve">                          P=KFv</w:t>
      </w:r>
      <w:r>
        <w:rPr>
          <w:rFonts w:hint="eastAsia" w:ascii="仿宋" w:hAnsi="仿宋" w:eastAsia="仿宋" w:cs="仿宋"/>
          <w:color w:val="000000"/>
          <w:szCs w:val="21"/>
        </w:rPr>
        <w:t>/1000</w:t>
      </w:r>
      <w:r>
        <w:rPr>
          <w:rFonts w:hint="eastAsia" w:ascii="仿宋" w:hAnsi="仿宋" w:eastAsia="仿宋" w:cs="仿宋"/>
          <w:i/>
          <w:iCs/>
          <w:color w:val="000000"/>
          <w:szCs w:val="21"/>
        </w:rPr>
        <w:t>η</w:t>
      </w:r>
      <w:r>
        <w:rPr>
          <w:rFonts w:hint="eastAsia" w:ascii="仿宋" w:hAnsi="仿宋" w:eastAsia="仿宋" w:cs="仿宋"/>
          <w:color w:val="000000"/>
          <w:szCs w:val="21"/>
        </w:rPr>
        <w:t xml:space="preserve">                           (2-4)</w:t>
      </w:r>
    </w:p>
    <w:p>
      <w:pPr>
        <w:pageBreakBefore w:val="0"/>
        <w:topLinePunct w:val="0"/>
        <w:bidi w:val="0"/>
        <w:spacing w:line="400" w:lineRule="exact"/>
        <w:ind w:left="668" w:leftChars="318"/>
        <w:outlineLvl w:val="9"/>
        <w:rPr>
          <w:rFonts w:ascii="仿宋" w:hAnsi="仿宋" w:eastAsia="仿宋" w:cs="仿宋"/>
          <w:color w:val="000000"/>
          <w:szCs w:val="21"/>
        </w:rPr>
      </w:pPr>
      <w:r>
        <w:rPr>
          <w:rFonts w:hint="eastAsia" w:ascii="仿宋" w:hAnsi="仿宋" w:eastAsia="仿宋" w:cs="仿宋"/>
          <w:color w:val="000000"/>
          <w:szCs w:val="21"/>
        </w:rPr>
        <w:t>式中，</w:t>
      </w:r>
      <w:r>
        <w:rPr>
          <w:rFonts w:hint="eastAsia" w:ascii="仿宋" w:hAnsi="仿宋" w:eastAsia="仿宋" w:cs="仿宋"/>
          <w:i/>
          <w:iCs/>
          <w:color w:val="000000"/>
          <w:szCs w:val="21"/>
        </w:rPr>
        <w:t>P</w:t>
      </w:r>
      <w:r>
        <w:rPr>
          <w:rFonts w:hint="eastAsia" w:ascii="仿宋" w:hAnsi="仿宋" w:eastAsia="仿宋" w:cs="仿宋"/>
          <w:color w:val="000000"/>
          <w:szCs w:val="21"/>
        </w:rPr>
        <w:t>是电动机功率，单位为kW；</w:t>
      </w:r>
      <w:r>
        <w:rPr>
          <w:rFonts w:hint="eastAsia" w:ascii="仿宋" w:hAnsi="仿宋" w:eastAsia="仿宋" w:cs="仿宋"/>
          <w:i/>
          <w:iCs/>
          <w:color w:val="000000"/>
          <w:szCs w:val="21"/>
        </w:rPr>
        <w:t>K</w:t>
      </w:r>
      <w:r>
        <w:rPr>
          <w:rFonts w:hint="eastAsia" w:ascii="仿宋" w:hAnsi="仿宋" w:eastAsia="仿宋" w:cs="仿宋"/>
          <w:color w:val="000000"/>
          <w:szCs w:val="21"/>
        </w:rPr>
        <w:t>是安全因数，</w:t>
      </w:r>
      <w:r>
        <w:rPr>
          <w:rFonts w:hint="eastAsia" w:ascii="仿宋" w:hAnsi="仿宋" w:eastAsia="仿宋" w:cs="仿宋"/>
          <w:i/>
          <w:iCs/>
          <w:color w:val="000000"/>
          <w:szCs w:val="21"/>
        </w:rPr>
        <w:t>K</w:t>
      </w:r>
      <w:r>
        <w:rPr>
          <w:rFonts w:hint="eastAsia" w:ascii="仿宋" w:hAnsi="仿宋" w:eastAsia="仿宋" w:cs="仿宋"/>
          <w:color w:val="000000"/>
          <w:szCs w:val="21"/>
        </w:rPr>
        <w:t>=1.2～1.5；</w:t>
      </w:r>
      <w:r>
        <w:rPr>
          <w:rFonts w:hint="eastAsia" w:ascii="仿宋" w:hAnsi="仿宋" w:eastAsia="仿宋" w:cs="仿宋"/>
          <w:i/>
          <w:iCs/>
          <w:color w:val="000000"/>
          <w:szCs w:val="21"/>
        </w:rPr>
        <w:t>F</w:t>
      </w:r>
      <w:r>
        <w:rPr>
          <w:rFonts w:hint="eastAsia" w:ascii="仿宋" w:hAnsi="仿宋" w:eastAsia="仿宋" w:cs="仿宋"/>
          <w:color w:val="000000"/>
          <w:szCs w:val="21"/>
        </w:rPr>
        <w:t>是最大牵引力，单位为N，可按式(2-2)计算；</w:t>
      </w:r>
      <w:r>
        <w:rPr>
          <w:rFonts w:hint="eastAsia" w:ascii="仿宋" w:hAnsi="仿宋" w:eastAsia="仿宋" w:cs="仿宋"/>
          <w:i/>
          <w:iCs/>
          <w:color w:val="000000"/>
          <w:szCs w:val="21"/>
        </w:rPr>
        <w:t>v</w:t>
      </w:r>
      <w:r>
        <w:rPr>
          <w:rFonts w:hint="eastAsia" w:ascii="仿宋" w:hAnsi="仿宋" w:eastAsia="仿宋" w:cs="仿宋"/>
          <w:color w:val="000000"/>
          <w:szCs w:val="21"/>
        </w:rPr>
        <w:t>是输送速度，单位为m/s；</w:t>
      </w:r>
      <w:r>
        <w:rPr>
          <w:rFonts w:hint="eastAsia" w:ascii="仿宋" w:hAnsi="仿宋" w:eastAsia="仿宋" w:cs="仿宋"/>
          <w:i/>
          <w:iCs/>
          <w:color w:val="000000"/>
          <w:szCs w:val="21"/>
        </w:rPr>
        <w:t>η</w:t>
      </w:r>
      <w:r>
        <w:rPr>
          <w:rFonts w:hint="eastAsia" w:ascii="仿宋" w:hAnsi="仿宋" w:eastAsia="仿宋" w:cs="仿宋"/>
          <w:color w:val="000000"/>
          <w:szCs w:val="21"/>
        </w:rPr>
        <w:t>是驱动装置效率，</w:t>
      </w:r>
      <w:r>
        <w:rPr>
          <w:rFonts w:hint="eastAsia" w:ascii="仿宋" w:hAnsi="仿宋" w:eastAsia="仿宋" w:cs="仿宋"/>
          <w:i/>
          <w:iCs/>
          <w:color w:val="000000"/>
          <w:szCs w:val="21"/>
        </w:rPr>
        <w:t>η</w:t>
      </w:r>
      <w:r>
        <w:rPr>
          <w:rFonts w:hint="eastAsia" w:ascii="仿宋" w:hAnsi="仿宋" w:eastAsia="仿宋" w:cs="仿宋"/>
          <w:color w:val="000000"/>
          <w:szCs w:val="21"/>
        </w:rPr>
        <w:t>=0.65。</w:t>
      </w:r>
    </w:p>
    <w:p>
      <w:pPr>
        <w:pageBreakBefore w:val="0"/>
        <w:topLinePunct w:val="0"/>
        <w:bidi w:val="0"/>
        <w:spacing w:line="400" w:lineRule="exact"/>
        <w:outlineLvl w:val="9"/>
        <w:rPr>
          <w:rFonts w:ascii="仿宋" w:hAnsi="仿宋" w:eastAsia="仿宋" w:cs="仿宋"/>
          <w:color w:val="000000"/>
          <w:szCs w:val="21"/>
        </w:rPr>
      </w:pPr>
      <w:r>
        <w:rPr>
          <w:rFonts w:hint="eastAsia" w:ascii="仿宋" w:hAnsi="仿宋" w:eastAsia="仿宋" w:cs="仿宋"/>
          <w:b/>
          <w:color w:val="000000"/>
          <w:szCs w:val="21"/>
        </w:rPr>
        <w:t>十、</w:t>
      </w:r>
      <w:r>
        <w:rPr>
          <w:rFonts w:hint="eastAsia" w:ascii="仿宋" w:hAnsi="仿宋" w:eastAsia="仿宋" w:cs="仿宋"/>
          <w:color w:val="000000"/>
          <w:szCs w:val="21"/>
        </w:rPr>
        <w:t>参考文献</w:t>
      </w:r>
    </w:p>
    <w:p>
      <w:pPr>
        <w:pageBreakBefore w:val="0"/>
        <w:topLinePunct w:val="0"/>
        <w:bidi w:val="0"/>
        <w:spacing w:line="400" w:lineRule="exact"/>
        <w:ind w:left="270" w:firstLine="420" w:firstLineChars="200"/>
        <w:outlineLvl w:val="9"/>
        <w:rPr>
          <w:rFonts w:ascii="仿宋" w:hAnsi="仿宋" w:eastAsia="仿宋" w:cs="仿宋"/>
          <w:color w:val="000000"/>
          <w:szCs w:val="21"/>
        </w:rPr>
      </w:pPr>
      <w:r>
        <w:rPr>
          <w:rFonts w:hint="eastAsia" w:ascii="仿宋" w:hAnsi="仿宋" w:eastAsia="仿宋" w:cs="仿宋"/>
          <w:color w:val="000000"/>
          <w:szCs w:val="21"/>
        </w:rPr>
        <w:t>全书后面一般应给出参考文献，参考文献格式为：</w:t>
      </w:r>
    </w:p>
    <w:p>
      <w:pPr>
        <w:pageBreakBefore w:val="0"/>
        <w:topLinePunct w:val="0"/>
        <w:bidi w:val="0"/>
        <w:spacing w:line="400" w:lineRule="exact"/>
        <w:ind w:firstLine="540"/>
        <w:outlineLvl w:val="9"/>
        <w:rPr>
          <w:rFonts w:ascii="仿宋" w:hAnsi="仿宋" w:eastAsia="仿宋" w:cs="仿宋"/>
          <w:color w:val="000000"/>
          <w:szCs w:val="21"/>
        </w:rPr>
      </w:pPr>
      <w:r>
        <w:rPr>
          <w:rFonts w:hint="eastAsia" w:ascii="仿宋" w:hAnsi="仿宋" w:eastAsia="仿宋" w:cs="仿宋"/>
          <w:color w:val="000000"/>
          <w:szCs w:val="21"/>
        </w:rPr>
        <w:t xml:space="preserve"> 著作格式：作者.书名.版次（第1版不注）.出版地：出版者,出版年</w:t>
      </w:r>
    </w:p>
    <w:p>
      <w:pPr>
        <w:pageBreakBefore w:val="0"/>
        <w:topLinePunct w:val="0"/>
        <w:bidi w:val="0"/>
        <w:spacing w:line="400" w:lineRule="exact"/>
        <w:ind w:left="2220" w:leftChars="257" w:hanging="1680" w:hangingChars="800"/>
        <w:outlineLvl w:val="9"/>
        <w:rPr>
          <w:rFonts w:ascii="仿宋" w:hAnsi="仿宋" w:eastAsia="仿宋" w:cs="仿宋"/>
          <w:color w:val="000000"/>
          <w:szCs w:val="21"/>
        </w:rPr>
      </w:pPr>
      <w:r>
        <w:rPr>
          <w:rFonts w:hint="eastAsia" w:ascii="仿宋" w:hAnsi="仿宋" w:eastAsia="仿宋" w:cs="仿宋"/>
          <w:color w:val="000000"/>
          <w:szCs w:val="21"/>
        </w:rPr>
        <w:t xml:space="preserve"> 翻译图书格式：作者. 译者.书名.版次（第1版不注）.出版地：出版者,出版年</w:t>
      </w:r>
    </w:p>
    <w:p>
      <w:pPr>
        <w:pageBreakBefore w:val="0"/>
        <w:topLinePunct w:val="0"/>
        <w:bidi w:val="0"/>
        <w:spacing w:line="400" w:lineRule="exact"/>
        <w:ind w:firstLine="540"/>
        <w:outlineLvl w:val="9"/>
        <w:rPr>
          <w:rFonts w:ascii="仿宋" w:hAnsi="仿宋" w:eastAsia="仿宋" w:cs="仿宋"/>
          <w:color w:val="000000"/>
          <w:szCs w:val="21"/>
        </w:rPr>
      </w:pPr>
      <w:r>
        <w:rPr>
          <w:rFonts w:hint="eastAsia" w:ascii="仿宋" w:hAnsi="仿宋" w:eastAsia="仿宋" w:cs="仿宋"/>
          <w:color w:val="000000"/>
          <w:szCs w:val="21"/>
        </w:rPr>
        <w:t xml:space="preserve"> 期刊格式：作者.文章名.期刊名,年,卷(期)：起止页</w:t>
      </w:r>
    </w:p>
    <w:p>
      <w:pPr>
        <w:pageBreakBefore w:val="0"/>
        <w:topLinePunct w:val="0"/>
        <w:bidi w:val="0"/>
        <w:spacing w:line="400" w:lineRule="exact"/>
        <w:ind w:left="270"/>
        <w:outlineLvl w:val="9"/>
        <w:rPr>
          <w:rFonts w:ascii="仿宋" w:hAnsi="仿宋" w:eastAsia="仿宋" w:cs="仿宋"/>
          <w:b/>
          <w:color w:val="000000"/>
          <w:szCs w:val="21"/>
        </w:rPr>
      </w:pPr>
      <w:r>
        <w:rPr>
          <w:rFonts w:hint="eastAsia" w:ascii="仿宋" w:hAnsi="仿宋" w:eastAsia="仿宋" w:cs="仿宋"/>
          <w:color w:val="000000"/>
          <w:szCs w:val="21"/>
        </w:rPr>
        <w:t xml:space="preserve">   (多作者之间用逗号分开)</w:t>
      </w:r>
    </w:p>
    <w:p>
      <w:pPr>
        <w:pageBreakBefore w:val="0"/>
        <w:topLinePunct w:val="0"/>
        <w:bidi w:val="0"/>
        <w:spacing w:line="400" w:lineRule="exact"/>
        <w:outlineLvl w:val="9"/>
        <w:rPr>
          <w:rFonts w:ascii="仿宋" w:hAnsi="仿宋" w:eastAsia="仿宋" w:cs="仿宋"/>
          <w:color w:val="000000"/>
          <w:szCs w:val="21"/>
        </w:rPr>
      </w:pPr>
      <w:r>
        <w:rPr>
          <w:rFonts w:hint="eastAsia" w:ascii="仿宋" w:hAnsi="仿宋" w:eastAsia="仿宋" w:cs="仿宋"/>
          <w:b/>
          <w:color w:val="000000"/>
          <w:szCs w:val="21"/>
        </w:rPr>
        <w:t>十一、</w:t>
      </w:r>
      <w:r>
        <w:rPr>
          <w:rFonts w:hint="eastAsia" w:ascii="仿宋" w:hAnsi="仿宋" w:eastAsia="仿宋" w:cs="仿宋"/>
          <w:color w:val="000000"/>
          <w:szCs w:val="21"/>
        </w:rPr>
        <w:t>例子、程序等版式要求</w:t>
      </w:r>
    </w:p>
    <w:p>
      <w:pPr>
        <w:pageBreakBefore w:val="0"/>
        <w:numPr>
          <w:ilvl w:val="0"/>
          <w:numId w:val="19"/>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操作步骤前空2个汉字，回行顶格，以①、②、③开始，以句号结尾。</w:t>
      </w:r>
    </w:p>
    <w:p>
      <w:pPr>
        <w:pageBreakBefore w:val="0"/>
        <w:numPr>
          <w:ilvl w:val="0"/>
          <w:numId w:val="19"/>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居中圆点前空2个汉字，回行顶格。结尾用分号（短句）、句号（句子）或不加符号（短语）。</w:t>
      </w:r>
    </w:p>
    <w:p>
      <w:pPr>
        <w:pageBreakBefore w:val="0"/>
        <w:numPr>
          <w:ilvl w:val="0"/>
          <w:numId w:val="19"/>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例子前空2个汉字，回行顶格，以章为序，如【例3-2】。“-”为对开线。</w:t>
      </w:r>
    </w:p>
    <w:p>
      <w:pPr>
        <w:pageBreakBefore w:val="0"/>
        <w:numPr>
          <w:ilvl w:val="0"/>
          <w:numId w:val="18"/>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程序前空4个汉字，程序体为小五号宋体，程序段前后各空半行，程序中的引号用西文引号。</w:t>
      </w:r>
    </w:p>
    <w:p>
      <w:pPr>
        <w:pageBreakBefore w:val="0"/>
        <w:numPr>
          <w:ilvl w:val="0"/>
          <w:numId w:val="18"/>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单行程序语句上、下各空半行，前空4个汉字。</w:t>
      </w:r>
    </w:p>
    <w:p>
      <w:pPr>
        <w:pageBreakBefore w:val="0"/>
        <w:topLinePunct w:val="0"/>
        <w:bidi w:val="0"/>
        <w:spacing w:line="400" w:lineRule="exact"/>
        <w:outlineLvl w:val="9"/>
        <w:rPr>
          <w:rFonts w:ascii="仿宋" w:hAnsi="仿宋" w:eastAsia="仿宋" w:cs="仿宋"/>
          <w:b/>
          <w:color w:val="000000"/>
          <w:szCs w:val="21"/>
        </w:rPr>
      </w:pPr>
      <w:r>
        <w:rPr>
          <w:rFonts w:hint="eastAsia" w:ascii="仿宋" w:hAnsi="仿宋" w:eastAsia="仿宋" w:cs="仿宋"/>
          <w:b/>
          <w:color w:val="000000"/>
          <w:szCs w:val="21"/>
        </w:rPr>
        <w:t xml:space="preserve"> 十二、</w:t>
      </w:r>
      <w:r>
        <w:rPr>
          <w:rFonts w:hint="eastAsia" w:ascii="仿宋" w:hAnsi="仿宋" w:eastAsia="仿宋" w:cs="仿宋"/>
          <w:color w:val="000000"/>
          <w:szCs w:val="21"/>
        </w:rPr>
        <w:t>语言文字的规范化</w:t>
      </w:r>
    </w:p>
    <w:p>
      <w:pPr>
        <w:pStyle w:val="15"/>
        <w:pageBreakBefore w:val="0"/>
        <w:numPr>
          <w:ilvl w:val="0"/>
          <w:numId w:val="20"/>
        </w:numPr>
        <w:tabs>
          <w:tab w:val="left" w:pos="598"/>
          <w:tab w:val="clear" w:pos="630"/>
        </w:tabs>
        <w:topLinePunct w:val="0"/>
        <w:bidi w:val="0"/>
        <w:spacing w:after="0" w:line="400" w:lineRule="exact"/>
        <w:ind w:left="598"/>
        <w:jc w:val="left"/>
        <w:outlineLvl w:val="9"/>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尽量使用无人称的表述形式，而不用“你”、“我”、“你们”等形式的人称，如确实无法避免，请选“用户”、“读者”这样的称谓。</w:t>
      </w:r>
    </w:p>
    <w:p>
      <w:pPr>
        <w:pageBreakBefore w:val="0"/>
        <w:numPr>
          <w:ilvl w:val="0"/>
          <w:numId w:val="20"/>
        </w:numPr>
        <w:tabs>
          <w:tab w:val="left" w:pos="598"/>
          <w:tab w:val="clear" w:pos="630"/>
        </w:tabs>
        <w:topLinePunct w:val="0"/>
        <w:bidi w:val="0"/>
        <w:spacing w:line="400" w:lineRule="exact"/>
        <w:ind w:left="598"/>
        <w:outlineLvl w:val="9"/>
        <w:rPr>
          <w:rFonts w:ascii="仿宋" w:hAnsi="仿宋" w:eastAsia="仿宋" w:cs="仿宋"/>
          <w:color w:val="000000"/>
          <w:szCs w:val="21"/>
        </w:rPr>
      </w:pPr>
      <w:r>
        <w:rPr>
          <w:rFonts w:hint="eastAsia" w:ascii="仿宋" w:hAnsi="仿宋" w:eastAsia="仿宋" w:cs="仿宋"/>
          <w:color w:val="000000"/>
          <w:szCs w:val="21"/>
        </w:rPr>
        <w:t>键名不要用任何标识符号进行标识，直接书写。键名的写法要与键盘上的标注一致。复合键用加号“+”连接，例如：Ctrl+P。</w:t>
      </w:r>
    </w:p>
    <w:p>
      <w:pPr>
        <w:pageBreakBefore w:val="0"/>
        <w:numPr>
          <w:ilvl w:val="0"/>
          <w:numId w:val="20"/>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所有中文提示，如按钮、菜单、对话框名等，均用双引号（“”）括起来，如单击“开始”按钮，打开“我的电脑”窗口。要确保引用内容与屏幕上显示的名称或文本完全一致。</w:t>
      </w:r>
    </w:p>
    <w:p>
      <w:pPr>
        <w:pageBreakBefore w:val="0"/>
        <w:numPr>
          <w:ilvl w:val="0"/>
          <w:numId w:val="20"/>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英文提示直接书写（不用“”隔开），要确保文中引用的内容、字母拼写、大小写与屏幕上显示的内容完全一致。</w:t>
      </w:r>
    </w:p>
    <w:p>
      <w:pPr>
        <w:pageBreakBefore w:val="0"/>
        <w:numPr>
          <w:ilvl w:val="0"/>
          <w:numId w:val="20"/>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为使行文简洁，连续操作的菜单采用如“文件”│“另存为”方式。英文版的表示为File│Save As。</w:t>
      </w:r>
    </w:p>
    <w:p>
      <w:pPr>
        <w:pageBreakBefore w:val="0"/>
        <w:numPr>
          <w:ilvl w:val="0"/>
          <w:numId w:val="20"/>
        </w:numPr>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Cs w:val="21"/>
        </w:rPr>
        <w:t>文中若需对个别内容（如全称、缩写等）注释，应在正文该内容第一次出现时进行，并在以后的正文内容中统一，不要全称和缩写混用。注释格式如下：传输控制协议（Transmission Control Protocal，TCP），注释中的关键字母大小写要全书一致。英文版软件的书中需要注释时应先英文后中文，如File（文件）；中文版软件的书中则相反。</w:t>
      </w:r>
    </w:p>
    <w:p>
      <w:pPr>
        <w:pStyle w:val="21"/>
        <w:pageBreakBefore w:val="0"/>
        <w:numPr>
          <w:ilvl w:val="0"/>
          <w:numId w:val="20"/>
        </w:numPr>
        <w:topLinePunct w:val="0"/>
        <w:bidi w:val="0"/>
        <w:spacing w:line="400" w:lineRule="exact"/>
        <w:ind w:leftChars="0"/>
        <w:outlineLvl w:val="9"/>
        <w:rPr>
          <w:rFonts w:ascii="仿宋" w:hAnsi="仿宋" w:eastAsia="仿宋" w:cs="仿宋"/>
          <w:color w:val="000000"/>
          <w:szCs w:val="21"/>
        </w:rPr>
      </w:pPr>
      <w:r>
        <w:rPr>
          <w:rFonts w:hint="eastAsia" w:ascii="仿宋" w:hAnsi="仿宋" w:eastAsia="仿宋" w:cs="仿宋"/>
          <w:color w:val="000000"/>
          <w:szCs w:val="21"/>
        </w:rPr>
        <w:t>下列词语不用括号中的写法：</w:t>
      </w:r>
    </w:p>
    <w:p>
      <w:pPr>
        <w:pageBreakBefore w:val="0"/>
        <w:topLinePunct w:val="0"/>
        <w:bidi w:val="0"/>
        <w:spacing w:line="400" w:lineRule="exact"/>
        <w:ind w:left="629" w:firstLine="105" w:firstLineChars="50"/>
        <w:outlineLvl w:val="9"/>
        <w:rPr>
          <w:rFonts w:ascii="仿宋" w:hAnsi="仿宋" w:eastAsia="仿宋" w:cs="仿宋"/>
          <w:color w:val="000000"/>
          <w:szCs w:val="21"/>
        </w:rPr>
      </w:pPr>
      <w:r>
        <w:rPr>
          <w:rFonts w:hint="eastAsia" w:ascii="仿宋" w:hAnsi="仿宋" w:eastAsia="仿宋" w:cs="仿宋"/>
          <w:color w:val="000000"/>
          <w:szCs w:val="21"/>
        </w:rPr>
        <w:t>PowerBuilder（POWERBUILDER）、Windows（WINDOWS）、Pascal（PASCAL）、</w:t>
      </w:r>
    </w:p>
    <w:p>
      <w:pPr>
        <w:pageBreakBefore w:val="0"/>
        <w:topLinePunct w:val="0"/>
        <w:bidi w:val="0"/>
        <w:spacing w:line="400" w:lineRule="exact"/>
        <w:ind w:left="646" w:firstLine="105" w:firstLineChars="50"/>
        <w:outlineLvl w:val="9"/>
        <w:rPr>
          <w:rFonts w:ascii="仿宋" w:hAnsi="仿宋" w:eastAsia="仿宋" w:cs="仿宋"/>
          <w:color w:val="000000"/>
          <w:szCs w:val="21"/>
        </w:rPr>
      </w:pPr>
      <w:r>
        <w:rPr>
          <w:rFonts w:hint="eastAsia" w:ascii="仿宋" w:hAnsi="仿宋" w:eastAsia="仿宋" w:cs="仿宋"/>
          <w:color w:val="000000"/>
          <w:szCs w:val="21"/>
        </w:rPr>
        <w:t>FoxBASE（FOXBASE）、其他的窗口（其他的窗口）。</w:t>
      </w:r>
    </w:p>
    <w:p>
      <w:pPr>
        <w:pageBreakBefore w:val="0"/>
        <w:topLinePunct w:val="0"/>
        <w:bidi w:val="0"/>
        <w:spacing w:line="400" w:lineRule="exact"/>
        <w:ind w:firstLine="735" w:firstLineChars="350"/>
        <w:outlineLvl w:val="9"/>
        <w:rPr>
          <w:rFonts w:ascii="仿宋" w:hAnsi="仿宋" w:eastAsia="仿宋" w:cs="仿宋"/>
          <w:color w:val="000000"/>
          <w:szCs w:val="21"/>
        </w:rPr>
      </w:pPr>
      <w:r>
        <w:rPr>
          <w:rFonts w:hint="eastAsia" w:ascii="仿宋" w:hAnsi="仿宋" w:eastAsia="仿宋" w:cs="仿宋"/>
          <w:color w:val="000000"/>
          <w:szCs w:val="21"/>
        </w:rPr>
        <w:t>还有一些常用的名词术语应采用如下方式(不用括号中的写法)：</w:t>
      </w:r>
    </w:p>
    <w:p>
      <w:pPr>
        <w:pStyle w:val="21"/>
        <w:pageBreakBefore w:val="0"/>
        <w:topLinePunct w:val="0"/>
        <w:bidi w:val="0"/>
        <w:spacing w:line="400" w:lineRule="exact"/>
        <w:ind w:left="729" w:leftChars="347"/>
        <w:outlineLvl w:val="9"/>
        <w:rPr>
          <w:rFonts w:ascii="仿宋" w:hAnsi="仿宋" w:eastAsia="仿宋" w:cs="仿宋"/>
          <w:color w:val="000000"/>
          <w:szCs w:val="21"/>
        </w:rPr>
      </w:pPr>
      <w:r>
        <w:rPr>
          <w:rFonts w:hint="eastAsia" w:ascii="仿宋" w:hAnsi="仿宋" w:eastAsia="仿宋" w:cs="仿宋"/>
          <w:color w:val="000000"/>
          <w:szCs w:val="21"/>
        </w:rPr>
        <w:t>图像（象），影像（象），像（象）素、像（象）….一样、好像（象）、存储（存贮）、互联网、因特网、万维网。</w:t>
      </w:r>
    </w:p>
    <w:p>
      <w:pPr>
        <w:pStyle w:val="21"/>
        <w:pageBreakBefore w:val="0"/>
        <w:numPr>
          <w:ilvl w:val="0"/>
          <w:numId w:val="20"/>
        </w:numPr>
        <w:topLinePunct w:val="0"/>
        <w:bidi w:val="0"/>
        <w:spacing w:line="400" w:lineRule="exact"/>
        <w:ind w:leftChars="0"/>
        <w:outlineLvl w:val="9"/>
        <w:rPr>
          <w:rFonts w:ascii="仿宋" w:hAnsi="仿宋" w:eastAsia="仿宋" w:cs="仿宋"/>
          <w:color w:val="000000"/>
          <w:szCs w:val="21"/>
        </w:rPr>
      </w:pPr>
      <w:r>
        <w:rPr>
          <w:rFonts w:hint="eastAsia" w:ascii="仿宋" w:hAnsi="仿宋" w:eastAsia="仿宋" w:cs="仿宋"/>
          <w:color w:val="000000"/>
          <w:szCs w:val="21"/>
        </w:rPr>
        <w:t>电子技术类图书请按出版社统一要求（见附件）。</w:t>
      </w:r>
    </w:p>
    <w:p>
      <w:pPr>
        <w:pageBreakBefore w:val="0"/>
        <w:topLinePunct w:val="0"/>
        <w:bidi w:val="0"/>
        <w:spacing w:line="400" w:lineRule="exact"/>
        <w:outlineLvl w:val="9"/>
        <w:rPr>
          <w:rFonts w:ascii="仿宋" w:hAnsi="仿宋" w:eastAsia="仿宋" w:cs="仿宋"/>
          <w:color w:val="000000"/>
          <w:szCs w:val="21"/>
        </w:rPr>
      </w:pPr>
      <w:r>
        <w:rPr>
          <w:rFonts w:hint="eastAsia" w:ascii="仿宋" w:hAnsi="仿宋" w:eastAsia="仿宋" w:cs="仿宋"/>
          <w:color w:val="000000"/>
          <w:sz w:val="36"/>
          <w:szCs w:val="36"/>
        </w:rPr>
        <w:br w:type="page"/>
      </w:r>
      <w:r>
        <w:rPr>
          <w:rFonts w:hint="eastAsia" w:ascii="仿宋" w:hAnsi="仿宋" w:eastAsia="仿宋" w:cs="仿宋"/>
          <w:b/>
          <w:bCs/>
          <w:color w:val="000000"/>
          <w:sz w:val="24"/>
        </w:rPr>
        <w:t>附件3</w:t>
      </w:r>
    </w:p>
    <w:p>
      <w:pPr>
        <w:pageBreakBefore w:val="0"/>
        <w:topLinePunct w:val="0"/>
        <w:bidi w:val="0"/>
        <w:spacing w:after="312" w:afterLines="100" w:line="400" w:lineRule="exact"/>
        <w:jc w:val="center"/>
        <w:outlineLvl w:val="9"/>
        <w:rPr>
          <w:rFonts w:ascii="仿宋" w:hAnsi="仿宋" w:eastAsia="仿宋" w:cs="仿宋"/>
          <w:b/>
          <w:color w:val="000000"/>
          <w:sz w:val="28"/>
          <w:szCs w:val="28"/>
        </w:rPr>
      </w:pPr>
      <w:r>
        <w:rPr>
          <w:rFonts w:hint="eastAsia" w:ascii="仿宋" w:hAnsi="仿宋" w:eastAsia="仿宋" w:cs="仿宋"/>
          <w:b/>
          <w:color w:val="000000"/>
          <w:sz w:val="28"/>
          <w:szCs w:val="28"/>
        </w:rPr>
        <w:t>电子类图书量和单位的名称、符号的一些规定</w:t>
      </w:r>
    </w:p>
    <w:p>
      <w:pPr>
        <w:pageBreakBefore w:val="0"/>
        <w:topLinePunct w:val="0"/>
        <w:bidi w:val="0"/>
        <w:spacing w:line="400" w:lineRule="exact"/>
        <w:ind w:firstLine="420" w:firstLineChars="200"/>
        <w:outlineLvl w:val="9"/>
        <w:rPr>
          <w:rFonts w:ascii="仿宋" w:hAnsi="仿宋" w:eastAsia="仿宋" w:cs="仿宋"/>
          <w:color w:val="000000"/>
          <w:szCs w:val="21"/>
        </w:rPr>
      </w:pPr>
      <w:r>
        <w:rPr>
          <w:rFonts w:hint="eastAsia" w:ascii="仿宋" w:hAnsi="仿宋" w:eastAsia="仿宋" w:cs="仿宋"/>
          <w:color w:val="000000"/>
          <w:szCs w:val="21"/>
        </w:rPr>
        <w:t>为了更好地做好教材的编辑加工工作，较正确地使用有关量的名称、符号，SI单位名称与符号，各种元器件等的名称和代号，特做出以下约定：</w:t>
      </w:r>
    </w:p>
    <w:p>
      <w:pPr>
        <w:pageBreakBefore w:val="0"/>
        <w:topLinePunct w:val="0"/>
        <w:bidi w:val="0"/>
        <w:spacing w:line="400" w:lineRule="exact"/>
        <w:ind w:firstLine="540"/>
        <w:outlineLvl w:val="9"/>
        <w:rPr>
          <w:rFonts w:ascii="仿宋" w:hAnsi="仿宋" w:eastAsia="仿宋" w:cs="仿宋"/>
          <w:color w:val="000000"/>
          <w:szCs w:val="21"/>
        </w:rPr>
      </w:pPr>
      <w:r>
        <w:rPr>
          <w:rFonts w:hint="eastAsia" w:ascii="仿宋" w:hAnsi="仿宋" w:eastAsia="仿宋" w:cs="仿宋"/>
          <w:color w:val="000000"/>
          <w:szCs w:val="21"/>
        </w:rPr>
        <w:t>1．依照出版社编著的《著译者须知》有关规定，和李慎安等编的计量出版社出版的《作者、编辑、记者常用量和单位简明手册》中的“常用量名称、符号、SI单位名称与符号简表”中的有关规定，用好有关量、SI单位的名称和符号。当《著译者须知》的有些规定与后者有矛盾时，以中国标准出版社出版的《作者、编辑常用标准及规范》和《电气制图及图形符号国家标准汇编》为准。</w:t>
      </w:r>
    </w:p>
    <w:p>
      <w:pPr>
        <w:pageBreakBefore w:val="0"/>
        <w:topLinePunct w:val="0"/>
        <w:bidi w:val="0"/>
        <w:spacing w:line="400" w:lineRule="exact"/>
        <w:ind w:firstLine="540"/>
        <w:outlineLvl w:val="9"/>
        <w:rPr>
          <w:rFonts w:ascii="仿宋" w:hAnsi="仿宋" w:eastAsia="仿宋" w:cs="仿宋"/>
          <w:color w:val="000000"/>
          <w:szCs w:val="21"/>
        </w:rPr>
      </w:pPr>
      <w:r>
        <w:rPr>
          <w:rFonts w:hint="eastAsia" w:ascii="仿宋" w:hAnsi="仿宋" w:eastAsia="仿宋" w:cs="仿宋"/>
          <w:color w:val="000000"/>
          <w:szCs w:val="21"/>
        </w:rPr>
        <w:t>2．变压器、晶体管、集成电路等名称的符号全部用正体。如变压器用T(T</w:t>
      </w:r>
      <w:r>
        <w:rPr>
          <w:rFonts w:hint="eastAsia" w:ascii="仿宋" w:hAnsi="仿宋" w:eastAsia="仿宋" w:cs="仿宋"/>
          <w:color w:val="000000"/>
          <w:szCs w:val="21"/>
          <w:vertAlign w:val="subscript"/>
        </w:rPr>
        <w:t>1</w:t>
      </w:r>
      <w:r>
        <w:rPr>
          <w:rFonts w:hint="eastAsia" w:ascii="仿宋" w:hAnsi="仿宋" w:eastAsia="仿宋" w:cs="仿宋"/>
          <w:color w:val="000000"/>
          <w:szCs w:val="21"/>
        </w:rPr>
        <w:t>,T</w:t>
      </w:r>
      <w:r>
        <w:rPr>
          <w:rFonts w:hint="eastAsia" w:ascii="仿宋" w:hAnsi="仿宋" w:eastAsia="仿宋" w:cs="仿宋"/>
          <w:color w:val="000000"/>
          <w:szCs w:val="21"/>
          <w:vertAlign w:val="subscript"/>
        </w:rPr>
        <w:t>2</w:t>
      </w:r>
      <w:r>
        <w:rPr>
          <w:rFonts w:hint="eastAsia" w:ascii="仿宋" w:hAnsi="仿宋" w:eastAsia="仿宋" w:cs="仿宋"/>
          <w:color w:val="000000"/>
          <w:szCs w:val="21"/>
        </w:rPr>
        <w:t>…)，电位器用RP，开关用S(S</w:t>
      </w:r>
      <w:r>
        <w:rPr>
          <w:rFonts w:hint="eastAsia" w:ascii="仿宋" w:hAnsi="仿宋" w:eastAsia="仿宋" w:cs="仿宋"/>
          <w:color w:val="000000"/>
          <w:szCs w:val="21"/>
          <w:vertAlign w:val="subscript"/>
        </w:rPr>
        <w:t>1</w:t>
      </w:r>
      <w:r>
        <w:rPr>
          <w:rFonts w:hint="eastAsia" w:ascii="仿宋" w:hAnsi="仿宋" w:eastAsia="仿宋" w:cs="仿宋"/>
          <w:color w:val="000000"/>
          <w:szCs w:val="21"/>
        </w:rPr>
        <w:t>,S</w:t>
      </w:r>
      <w:r>
        <w:rPr>
          <w:rFonts w:hint="eastAsia" w:ascii="仿宋" w:hAnsi="仿宋" w:eastAsia="仿宋" w:cs="仿宋"/>
          <w:color w:val="000000"/>
          <w:szCs w:val="21"/>
          <w:vertAlign w:val="subscript"/>
        </w:rPr>
        <w:t>2</w:t>
      </w:r>
      <w:r>
        <w:rPr>
          <w:rFonts w:hint="eastAsia" w:ascii="仿宋" w:hAnsi="仿宋" w:eastAsia="仿宋" w:cs="仿宋"/>
          <w:color w:val="000000"/>
          <w:szCs w:val="21"/>
        </w:rPr>
        <w:t>…)，二极管用VD(VD</w:t>
      </w:r>
      <w:r>
        <w:rPr>
          <w:rFonts w:hint="eastAsia" w:ascii="仿宋" w:hAnsi="仿宋" w:eastAsia="仿宋" w:cs="仿宋"/>
          <w:color w:val="000000"/>
          <w:szCs w:val="21"/>
          <w:vertAlign w:val="subscript"/>
        </w:rPr>
        <w:t>1</w:t>
      </w:r>
      <w:r>
        <w:rPr>
          <w:rFonts w:hint="eastAsia" w:ascii="仿宋" w:hAnsi="仿宋" w:eastAsia="仿宋" w:cs="仿宋"/>
          <w:color w:val="000000"/>
          <w:szCs w:val="21"/>
        </w:rPr>
        <w:t>,VD</w:t>
      </w:r>
      <w:r>
        <w:rPr>
          <w:rFonts w:hint="eastAsia" w:ascii="仿宋" w:hAnsi="仿宋" w:eastAsia="仿宋" w:cs="仿宋"/>
          <w:color w:val="000000"/>
          <w:szCs w:val="21"/>
          <w:vertAlign w:val="subscript"/>
        </w:rPr>
        <w:t>2</w:t>
      </w:r>
      <w:r>
        <w:rPr>
          <w:rFonts w:hint="eastAsia" w:ascii="仿宋" w:hAnsi="仿宋" w:eastAsia="仿宋" w:cs="仿宋"/>
          <w:color w:val="000000"/>
          <w:szCs w:val="21"/>
        </w:rPr>
        <w:t xml:space="preserve"> …)，三极管用VT(VT</w:t>
      </w:r>
      <w:r>
        <w:rPr>
          <w:rFonts w:hint="eastAsia" w:ascii="仿宋" w:hAnsi="仿宋" w:eastAsia="仿宋" w:cs="仿宋"/>
          <w:color w:val="000000"/>
          <w:szCs w:val="21"/>
          <w:vertAlign w:val="subscript"/>
        </w:rPr>
        <w:t>1</w:t>
      </w:r>
      <w:r>
        <w:rPr>
          <w:rFonts w:hint="eastAsia" w:ascii="仿宋" w:hAnsi="仿宋" w:eastAsia="仿宋" w:cs="仿宋"/>
          <w:color w:val="000000"/>
          <w:szCs w:val="21"/>
        </w:rPr>
        <w:t>,VT</w:t>
      </w:r>
      <w:r>
        <w:rPr>
          <w:rFonts w:hint="eastAsia" w:ascii="仿宋" w:hAnsi="仿宋" w:eastAsia="仿宋" w:cs="仿宋"/>
          <w:color w:val="000000"/>
          <w:szCs w:val="21"/>
          <w:vertAlign w:val="subscript"/>
        </w:rPr>
        <w:t>2</w:t>
      </w:r>
      <w:r>
        <w:rPr>
          <w:rFonts w:hint="eastAsia" w:ascii="仿宋" w:hAnsi="仿宋" w:eastAsia="仿宋" w:cs="仿宋"/>
          <w:color w:val="000000"/>
          <w:szCs w:val="21"/>
        </w:rPr>
        <w:t xml:space="preserve"> …)。</w:t>
      </w:r>
    </w:p>
    <w:p>
      <w:pPr>
        <w:pageBreakBefore w:val="0"/>
        <w:topLinePunct w:val="0"/>
        <w:bidi w:val="0"/>
        <w:spacing w:line="400" w:lineRule="exact"/>
        <w:ind w:firstLine="540"/>
        <w:outlineLvl w:val="9"/>
        <w:rPr>
          <w:rFonts w:ascii="仿宋" w:hAnsi="仿宋" w:eastAsia="仿宋" w:cs="仿宋"/>
          <w:color w:val="000000"/>
          <w:szCs w:val="21"/>
        </w:rPr>
      </w:pPr>
      <w:r>
        <w:rPr>
          <w:rFonts w:hint="eastAsia" w:ascii="仿宋" w:hAnsi="仿宋" w:eastAsia="仿宋" w:cs="仿宋"/>
          <w:color w:val="000000"/>
          <w:szCs w:val="21"/>
        </w:rPr>
        <w:t>3．当一些符号既可作为物理量使用，又可参加运算，也可作为元件的名称时，在文、图中均为斜体，如</w:t>
      </w:r>
      <w:r>
        <w:rPr>
          <w:rFonts w:hint="eastAsia" w:ascii="仿宋" w:hAnsi="仿宋" w:eastAsia="仿宋" w:cs="仿宋"/>
          <w:i/>
          <w:color w:val="000000"/>
          <w:szCs w:val="21"/>
        </w:rPr>
        <w:t>R,C,L</w:t>
      </w:r>
      <w:r>
        <w:rPr>
          <w:rFonts w:hint="eastAsia" w:ascii="仿宋" w:hAnsi="仿宋" w:eastAsia="仿宋" w:cs="仿宋"/>
          <w:color w:val="000000"/>
          <w:szCs w:val="21"/>
        </w:rPr>
        <w:t xml:space="preserve"> …。</w:t>
      </w:r>
    </w:p>
    <w:p>
      <w:pPr>
        <w:pageBreakBefore w:val="0"/>
        <w:topLinePunct w:val="0"/>
        <w:bidi w:val="0"/>
        <w:spacing w:line="400" w:lineRule="exact"/>
        <w:ind w:firstLine="540"/>
        <w:outlineLvl w:val="9"/>
        <w:rPr>
          <w:rFonts w:ascii="仿宋" w:hAnsi="仿宋" w:eastAsia="仿宋" w:cs="仿宋"/>
          <w:color w:val="000000"/>
          <w:szCs w:val="21"/>
        </w:rPr>
      </w:pPr>
      <w:r>
        <w:rPr>
          <w:rFonts w:hint="eastAsia" w:ascii="仿宋" w:hAnsi="仿宋" w:eastAsia="仿宋" w:cs="仿宋"/>
          <w:color w:val="000000"/>
          <w:szCs w:val="21"/>
        </w:rPr>
        <w:t>4．电阻值、电容值、电感值，不可省略单位名称（</w:t>
      </w:r>
      <w:r>
        <w:rPr>
          <w:rFonts w:hint="eastAsia" w:ascii="仿宋" w:hAnsi="仿宋" w:eastAsia="仿宋" w:cs="仿宋"/>
          <w:i/>
          <w:color w:val="000000"/>
          <w:sz w:val="24"/>
        </w:rPr>
        <w:sym w:font="Symbol" w:char="F057"/>
      </w:r>
      <w:r>
        <w:rPr>
          <w:rFonts w:hint="eastAsia" w:ascii="仿宋" w:hAnsi="仿宋" w:eastAsia="仿宋" w:cs="仿宋"/>
          <w:i/>
          <w:color w:val="000000"/>
          <w:sz w:val="24"/>
        </w:rPr>
        <w:t>，F，H）</w:t>
      </w:r>
      <w:r>
        <w:rPr>
          <w:rFonts w:hint="eastAsia" w:ascii="仿宋" w:hAnsi="仿宋" w:eastAsia="仿宋" w:cs="仿宋"/>
          <w:color w:val="000000"/>
          <w:szCs w:val="21"/>
        </w:rPr>
        <w:t>。</w:t>
      </w:r>
    </w:p>
    <w:p>
      <w:pPr>
        <w:pageBreakBefore w:val="0"/>
        <w:topLinePunct w:val="0"/>
        <w:bidi w:val="0"/>
        <w:spacing w:line="400" w:lineRule="exact"/>
        <w:ind w:firstLine="540"/>
        <w:outlineLvl w:val="9"/>
        <w:rPr>
          <w:rFonts w:ascii="仿宋" w:hAnsi="仿宋" w:eastAsia="仿宋" w:cs="仿宋"/>
          <w:color w:val="000000"/>
          <w:szCs w:val="21"/>
        </w:rPr>
      </w:pPr>
      <w:r>
        <w:rPr>
          <w:rFonts w:hint="eastAsia" w:ascii="仿宋" w:hAnsi="仿宋" w:eastAsia="仿宋" w:cs="仿宋"/>
          <w:color w:val="000000"/>
          <w:szCs w:val="21"/>
        </w:rPr>
        <w:t>5．在电流、电压物理量中，</w:t>
      </w:r>
      <w:r>
        <w:rPr>
          <w:rFonts w:hint="eastAsia" w:ascii="仿宋" w:hAnsi="仿宋" w:eastAsia="仿宋" w:cs="仿宋"/>
          <w:i/>
          <w:color w:val="000000"/>
          <w:szCs w:val="21"/>
        </w:rPr>
        <w:t>I</w:t>
      </w:r>
      <w:r>
        <w:rPr>
          <w:rFonts w:hint="eastAsia" w:ascii="仿宋" w:hAnsi="仿宋" w:eastAsia="仿宋" w:cs="仿宋"/>
          <w:color w:val="000000"/>
          <w:szCs w:val="21"/>
        </w:rPr>
        <w:t>表示直流电流和直流增量值，</w:t>
      </w:r>
      <w:r>
        <w:rPr>
          <w:rFonts w:hint="eastAsia" w:ascii="仿宋" w:hAnsi="仿宋" w:eastAsia="仿宋" w:cs="仿宋"/>
          <w:i/>
          <w:color w:val="000000"/>
          <w:szCs w:val="21"/>
        </w:rPr>
        <w:t>U</w:t>
      </w:r>
      <w:r>
        <w:rPr>
          <w:rFonts w:hint="eastAsia" w:ascii="仿宋" w:hAnsi="仿宋" w:eastAsia="仿宋" w:cs="仿宋"/>
          <w:color w:val="000000"/>
          <w:szCs w:val="21"/>
        </w:rPr>
        <w:t>表示直流电压和直流增量值，当其下角标为英小时，表示正弦电流电压的有效值；</w:t>
      </w:r>
      <w:r>
        <w:rPr>
          <w:rFonts w:hint="eastAsia" w:ascii="仿宋" w:hAnsi="仿宋" w:eastAsia="仿宋" w:cs="仿宋"/>
          <w:i/>
          <w:color w:val="000000"/>
          <w:sz w:val="24"/>
        </w:rPr>
        <w:t>i、u</w:t>
      </w:r>
      <w:r>
        <w:rPr>
          <w:rFonts w:hint="eastAsia" w:ascii="仿宋" w:hAnsi="仿宋" w:eastAsia="仿宋" w:cs="仿宋"/>
          <w:color w:val="000000"/>
          <w:szCs w:val="21"/>
        </w:rPr>
        <w:t>分别表示含有直流成分的电流和电压的瞬时值。当</w:t>
      </w:r>
      <w:r>
        <w:rPr>
          <w:rFonts w:hint="eastAsia" w:ascii="仿宋" w:hAnsi="仿宋" w:eastAsia="仿宋" w:cs="仿宋"/>
          <w:i/>
          <w:color w:val="000000"/>
          <w:sz w:val="24"/>
        </w:rPr>
        <w:t>i、u</w:t>
      </w:r>
      <w:r>
        <w:rPr>
          <w:rFonts w:hint="eastAsia" w:ascii="仿宋" w:hAnsi="仿宋" w:eastAsia="仿宋" w:cs="仿宋"/>
          <w:color w:val="000000"/>
          <w:szCs w:val="21"/>
        </w:rPr>
        <w:t>的下角标为英小时（如</w:t>
      </w:r>
      <w:r>
        <w:rPr>
          <w:rFonts w:hint="eastAsia" w:ascii="仿宋" w:hAnsi="仿宋" w:eastAsia="仿宋" w:cs="仿宋"/>
          <w:i/>
          <w:color w:val="000000"/>
          <w:sz w:val="24"/>
        </w:rPr>
        <w:t>i</w:t>
      </w:r>
      <w:r>
        <w:rPr>
          <w:rFonts w:hint="eastAsia" w:ascii="仿宋" w:hAnsi="仿宋" w:eastAsia="仿宋" w:cs="仿宋"/>
          <w:color w:val="000000"/>
          <w:sz w:val="24"/>
          <w:vertAlign w:val="subscript"/>
        </w:rPr>
        <w:t>b</w:t>
      </w:r>
      <w:r>
        <w:rPr>
          <w:rFonts w:hint="eastAsia" w:ascii="仿宋" w:hAnsi="仿宋" w:eastAsia="仿宋" w:cs="仿宋"/>
          <w:color w:val="000000"/>
          <w:sz w:val="24"/>
        </w:rPr>
        <w:t>、</w:t>
      </w:r>
      <w:r>
        <w:rPr>
          <w:rFonts w:hint="eastAsia" w:ascii="仿宋" w:hAnsi="仿宋" w:eastAsia="仿宋" w:cs="仿宋"/>
          <w:i/>
          <w:color w:val="000000"/>
          <w:sz w:val="24"/>
        </w:rPr>
        <w:t>u</w:t>
      </w:r>
      <w:r>
        <w:rPr>
          <w:rFonts w:hint="eastAsia" w:ascii="仿宋" w:hAnsi="仿宋" w:eastAsia="仿宋" w:cs="仿宋"/>
          <w:color w:val="000000"/>
          <w:sz w:val="24"/>
          <w:vertAlign w:val="subscript"/>
        </w:rPr>
        <w:t>be</w:t>
      </w:r>
      <w:r>
        <w:rPr>
          <w:rFonts w:hint="eastAsia" w:ascii="仿宋" w:hAnsi="仿宋" w:eastAsia="仿宋" w:cs="仿宋"/>
          <w:color w:val="000000"/>
          <w:sz w:val="24"/>
        </w:rPr>
        <w:t>）</w:t>
      </w:r>
      <w:r>
        <w:rPr>
          <w:rFonts w:hint="eastAsia" w:ascii="仿宋" w:hAnsi="仿宋" w:eastAsia="仿宋" w:cs="仿宋"/>
          <w:color w:val="000000"/>
          <w:szCs w:val="21"/>
        </w:rPr>
        <w:t>，表示电流、电压交流分量的瞬时值；当</w:t>
      </w:r>
      <w:r>
        <w:rPr>
          <w:rFonts w:hint="eastAsia" w:ascii="仿宋" w:hAnsi="仿宋" w:eastAsia="仿宋" w:cs="仿宋"/>
          <w:i/>
          <w:color w:val="000000"/>
          <w:szCs w:val="21"/>
        </w:rPr>
        <w:t>i、u</w:t>
      </w:r>
      <w:r>
        <w:rPr>
          <w:rFonts w:hint="eastAsia" w:ascii="仿宋" w:hAnsi="仿宋" w:eastAsia="仿宋" w:cs="仿宋"/>
          <w:color w:val="000000"/>
          <w:szCs w:val="21"/>
        </w:rPr>
        <w:t>的下角标为英大时（如</w:t>
      </w:r>
      <w:r>
        <w:rPr>
          <w:rFonts w:hint="eastAsia" w:ascii="仿宋" w:hAnsi="仿宋" w:eastAsia="仿宋" w:cs="仿宋"/>
          <w:i/>
          <w:color w:val="000000"/>
          <w:sz w:val="24"/>
        </w:rPr>
        <w:t>i</w:t>
      </w:r>
      <w:r>
        <w:rPr>
          <w:rFonts w:hint="eastAsia" w:ascii="仿宋" w:hAnsi="仿宋" w:eastAsia="仿宋" w:cs="仿宋"/>
          <w:color w:val="000000"/>
          <w:sz w:val="24"/>
          <w:vertAlign w:val="subscript"/>
        </w:rPr>
        <w:t>B</w:t>
      </w:r>
      <w:r>
        <w:rPr>
          <w:rFonts w:hint="eastAsia" w:ascii="仿宋" w:hAnsi="仿宋" w:eastAsia="仿宋" w:cs="仿宋"/>
          <w:color w:val="000000"/>
          <w:sz w:val="24"/>
        </w:rPr>
        <w:t>、</w:t>
      </w:r>
      <w:r>
        <w:rPr>
          <w:rFonts w:hint="eastAsia" w:ascii="仿宋" w:hAnsi="仿宋" w:eastAsia="仿宋" w:cs="仿宋"/>
          <w:i/>
          <w:color w:val="000000"/>
          <w:sz w:val="24"/>
        </w:rPr>
        <w:t>u</w:t>
      </w:r>
      <w:r>
        <w:rPr>
          <w:rFonts w:hint="eastAsia" w:ascii="仿宋" w:hAnsi="仿宋" w:eastAsia="仿宋" w:cs="仿宋"/>
          <w:color w:val="000000"/>
          <w:sz w:val="24"/>
          <w:vertAlign w:val="subscript"/>
        </w:rPr>
        <w:t>BE</w:t>
      </w:r>
      <w:r>
        <w:rPr>
          <w:rFonts w:hint="eastAsia" w:ascii="仿宋" w:hAnsi="仿宋" w:eastAsia="仿宋" w:cs="仿宋"/>
          <w:color w:val="000000"/>
          <w:sz w:val="24"/>
        </w:rPr>
        <w:t>）</w:t>
      </w:r>
      <w:r>
        <w:rPr>
          <w:rFonts w:hint="eastAsia" w:ascii="仿宋" w:hAnsi="仿宋" w:eastAsia="仿宋" w:cs="仿宋"/>
          <w:color w:val="000000"/>
          <w:szCs w:val="21"/>
        </w:rPr>
        <w:t>，表示总电流、总电压的瞬时值。如</w:t>
      </w:r>
    </w:p>
    <w:p>
      <w:pPr>
        <w:pageBreakBefore w:val="0"/>
        <w:topLinePunct w:val="0"/>
        <w:bidi w:val="0"/>
        <w:spacing w:line="400" w:lineRule="exact"/>
        <w:ind w:firstLine="3240" w:firstLineChars="1350"/>
        <w:jc w:val="center"/>
        <w:outlineLvl w:val="9"/>
        <w:rPr>
          <w:rFonts w:ascii="仿宋" w:hAnsi="仿宋" w:eastAsia="仿宋" w:cs="仿宋"/>
          <w:color w:val="000000"/>
          <w:sz w:val="24"/>
        </w:rPr>
      </w:pPr>
      <w:r>
        <w:rPr>
          <w:rFonts w:hint="eastAsia" w:ascii="仿宋" w:hAnsi="仿宋" w:eastAsia="仿宋" w:cs="仿宋"/>
          <w:i/>
          <w:color w:val="000000"/>
          <w:sz w:val="24"/>
        </w:rPr>
        <w:t>i</w:t>
      </w:r>
      <w:r>
        <w:rPr>
          <w:rFonts w:hint="eastAsia" w:ascii="仿宋" w:hAnsi="仿宋" w:eastAsia="仿宋" w:cs="仿宋"/>
          <w:color w:val="000000"/>
          <w:sz w:val="24"/>
          <w:vertAlign w:val="subscript"/>
        </w:rPr>
        <w:t xml:space="preserve">B </w:t>
      </w:r>
      <w:r>
        <w:rPr>
          <w:rFonts w:hint="eastAsia" w:ascii="仿宋" w:hAnsi="仿宋" w:eastAsia="仿宋" w:cs="仿宋"/>
          <w:color w:val="000000"/>
          <w:sz w:val="24"/>
        </w:rPr>
        <w:t>=</w:t>
      </w:r>
      <w:r>
        <w:rPr>
          <w:rFonts w:hint="eastAsia" w:ascii="仿宋" w:hAnsi="仿宋" w:eastAsia="仿宋" w:cs="仿宋"/>
          <w:i/>
          <w:color w:val="000000"/>
          <w:sz w:val="24"/>
        </w:rPr>
        <w:t>I</w:t>
      </w:r>
      <w:r>
        <w:rPr>
          <w:rFonts w:hint="eastAsia" w:ascii="仿宋" w:hAnsi="仿宋" w:eastAsia="仿宋" w:cs="仿宋"/>
          <w:color w:val="000000"/>
          <w:sz w:val="24"/>
          <w:vertAlign w:val="subscript"/>
        </w:rPr>
        <w:t>B</w:t>
      </w:r>
      <w:r>
        <w:rPr>
          <w:rFonts w:hint="eastAsia" w:ascii="仿宋" w:hAnsi="仿宋" w:eastAsia="仿宋" w:cs="仿宋"/>
          <w:color w:val="000000"/>
          <w:sz w:val="24"/>
        </w:rPr>
        <w:t>+</w:t>
      </w:r>
      <w:r>
        <w:rPr>
          <w:rFonts w:hint="eastAsia" w:ascii="仿宋" w:hAnsi="仿宋" w:eastAsia="仿宋" w:cs="仿宋"/>
          <w:i/>
          <w:color w:val="000000"/>
          <w:sz w:val="24"/>
        </w:rPr>
        <w:t>i</w:t>
      </w:r>
      <w:r>
        <w:rPr>
          <w:rFonts w:hint="eastAsia" w:ascii="仿宋" w:hAnsi="仿宋" w:eastAsia="仿宋" w:cs="仿宋"/>
          <w:color w:val="000000"/>
          <w:sz w:val="24"/>
        </w:rPr>
        <w:t xml:space="preserve"> </w:t>
      </w:r>
      <w:r>
        <w:rPr>
          <w:rFonts w:hint="eastAsia" w:ascii="仿宋" w:hAnsi="仿宋" w:eastAsia="仿宋" w:cs="仿宋"/>
          <w:color w:val="000000"/>
          <w:sz w:val="24"/>
          <w:vertAlign w:val="subscript"/>
        </w:rPr>
        <w:t>b                                  (1-1)</w:t>
      </w:r>
    </w:p>
    <w:p>
      <w:pPr>
        <w:pageBreakBefore w:val="0"/>
        <w:topLinePunct w:val="0"/>
        <w:bidi w:val="0"/>
        <w:spacing w:line="400" w:lineRule="exact"/>
        <w:ind w:firstLine="720" w:firstLineChars="300"/>
        <w:outlineLvl w:val="9"/>
        <w:rPr>
          <w:rFonts w:ascii="仿宋" w:hAnsi="仿宋" w:eastAsia="仿宋" w:cs="仿宋"/>
          <w:color w:val="000000"/>
          <w:sz w:val="24"/>
        </w:rPr>
      </w:pPr>
      <w:r>
        <w:rPr>
          <w:rFonts w:hint="eastAsia" w:ascii="仿宋" w:hAnsi="仿宋" w:eastAsia="仿宋" w:cs="仿宋"/>
          <w:color w:val="000000"/>
          <w:sz w:val="24"/>
        </w:rPr>
        <w:t xml:space="preserve">式中  </w:t>
      </w:r>
      <w:r>
        <w:rPr>
          <w:rFonts w:hint="eastAsia" w:ascii="仿宋" w:hAnsi="仿宋" w:eastAsia="仿宋" w:cs="仿宋"/>
          <w:i/>
          <w:color w:val="000000"/>
          <w:sz w:val="24"/>
        </w:rPr>
        <w:t>i</w:t>
      </w:r>
      <w:r>
        <w:rPr>
          <w:rFonts w:hint="eastAsia" w:ascii="仿宋" w:hAnsi="仿宋" w:eastAsia="仿宋" w:cs="仿宋"/>
          <w:color w:val="000000"/>
          <w:sz w:val="24"/>
          <w:vertAlign w:val="subscript"/>
        </w:rPr>
        <w:t>B</w:t>
      </w:r>
      <w:r>
        <w:rPr>
          <w:rFonts w:hint="eastAsia" w:ascii="仿宋" w:hAnsi="仿宋" w:eastAsia="仿宋" w:cs="仿宋"/>
          <w:color w:val="000000"/>
          <w:sz w:val="24"/>
        </w:rPr>
        <w:t>──</w:t>
      </w:r>
      <w:r>
        <w:rPr>
          <w:rFonts w:hint="eastAsia" w:ascii="仿宋" w:hAnsi="仿宋" w:eastAsia="仿宋" w:cs="仿宋"/>
          <w:color w:val="000000"/>
          <w:szCs w:val="21"/>
        </w:rPr>
        <w:t>基极电流的瞬时值</w:t>
      </w:r>
      <w:r>
        <w:rPr>
          <w:rFonts w:hint="eastAsia" w:ascii="仿宋" w:hAnsi="仿宋" w:eastAsia="仿宋" w:cs="仿宋"/>
          <w:color w:val="000000"/>
          <w:sz w:val="24"/>
        </w:rPr>
        <w:t>(mA)；</w:t>
      </w:r>
    </w:p>
    <w:p>
      <w:pPr>
        <w:pageBreakBefore w:val="0"/>
        <w:topLinePunct w:val="0"/>
        <w:bidi w:val="0"/>
        <w:spacing w:line="400" w:lineRule="exact"/>
        <w:outlineLvl w:val="9"/>
        <w:rPr>
          <w:rFonts w:ascii="仿宋" w:hAnsi="仿宋" w:eastAsia="仿宋" w:cs="仿宋"/>
          <w:color w:val="000000"/>
          <w:sz w:val="24"/>
        </w:rPr>
      </w:pPr>
      <w:r>
        <w:rPr>
          <w:rFonts w:hint="eastAsia" w:ascii="仿宋" w:hAnsi="仿宋" w:eastAsia="仿宋" w:cs="仿宋"/>
          <w:color w:val="000000"/>
          <w:sz w:val="24"/>
        </w:rPr>
        <w:t>　　      　</w:t>
      </w:r>
      <w:r>
        <w:rPr>
          <w:rFonts w:hint="eastAsia" w:ascii="仿宋" w:hAnsi="仿宋" w:eastAsia="仿宋" w:cs="仿宋"/>
          <w:i/>
          <w:color w:val="000000"/>
          <w:sz w:val="24"/>
        </w:rPr>
        <w:t>I</w:t>
      </w:r>
      <w:r>
        <w:rPr>
          <w:rFonts w:hint="eastAsia" w:ascii="仿宋" w:hAnsi="仿宋" w:eastAsia="仿宋" w:cs="仿宋"/>
          <w:color w:val="000000"/>
          <w:sz w:val="24"/>
          <w:vertAlign w:val="subscript"/>
        </w:rPr>
        <w:t>B</w:t>
      </w:r>
      <w:r>
        <w:rPr>
          <w:rFonts w:hint="eastAsia" w:ascii="仿宋" w:hAnsi="仿宋" w:eastAsia="仿宋" w:cs="仿宋"/>
          <w:color w:val="000000"/>
          <w:sz w:val="24"/>
        </w:rPr>
        <w:t>──</w:t>
      </w:r>
      <w:r>
        <w:rPr>
          <w:rFonts w:hint="eastAsia" w:ascii="仿宋" w:hAnsi="仿宋" w:eastAsia="仿宋" w:cs="仿宋"/>
          <w:color w:val="000000"/>
          <w:szCs w:val="21"/>
        </w:rPr>
        <w:t>基极电流的直流分量（又称静态值）</w:t>
      </w:r>
      <w:r>
        <w:rPr>
          <w:rFonts w:hint="eastAsia" w:ascii="仿宋" w:hAnsi="仿宋" w:eastAsia="仿宋" w:cs="仿宋"/>
          <w:color w:val="000000"/>
          <w:sz w:val="24"/>
        </w:rPr>
        <w:t>(mA)；</w:t>
      </w:r>
    </w:p>
    <w:p>
      <w:pPr>
        <w:pageBreakBefore w:val="0"/>
        <w:topLinePunct w:val="0"/>
        <w:bidi w:val="0"/>
        <w:spacing w:line="400" w:lineRule="exact"/>
        <w:outlineLvl w:val="9"/>
        <w:rPr>
          <w:rFonts w:ascii="仿宋" w:hAnsi="仿宋" w:eastAsia="仿宋" w:cs="仿宋"/>
          <w:color w:val="000000"/>
          <w:sz w:val="24"/>
        </w:rPr>
      </w:pPr>
      <w:r>
        <w:rPr>
          <w:rFonts w:hint="eastAsia" w:ascii="仿宋" w:hAnsi="仿宋" w:eastAsia="仿宋" w:cs="仿宋"/>
          <w:color w:val="000000"/>
          <w:sz w:val="24"/>
        </w:rPr>
        <w:t>　　      　</w:t>
      </w:r>
      <w:r>
        <w:rPr>
          <w:rFonts w:hint="eastAsia" w:ascii="仿宋" w:hAnsi="仿宋" w:eastAsia="仿宋" w:cs="仿宋"/>
          <w:i/>
          <w:color w:val="000000"/>
          <w:sz w:val="24"/>
        </w:rPr>
        <w:t>i</w:t>
      </w:r>
      <w:r>
        <w:rPr>
          <w:rFonts w:hint="eastAsia" w:ascii="仿宋" w:hAnsi="仿宋" w:eastAsia="仿宋" w:cs="仿宋"/>
          <w:color w:val="000000"/>
          <w:sz w:val="24"/>
        </w:rPr>
        <w:t xml:space="preserve"> </w:t>
      </w:r>
      <w:r>
        <w:rPr>
          <w:rFonts w:hint="eastAsia" w:ascii="仿宋" w:hAnsi="仿宋" w:eastAsia="仿宋" w:cs="仿宋"/>
          <w:color w:val="000000"/>
          <w:sz w:val="24"/>
          <w:vertAlign w:val="subscript"/>
        </w:rPr>
        <w:t>b</w:t>
      </w:r>
      <w:r>
        <w:rPr>
          <w:rFonts w:hint="eastAsia" w:ascii="仿宋" w:hAnsi="仿宋" w:eastAsia="仿宋" w:cs="仿宋"/>
          <w:color w:val="000000"/>
          <w:sz w:val="24"/>
        </w:rPr>
        <w:t>──</w:t>
      </w:r>
      <w:r>
        <w:rPr>
          <w:rFonts w:hint="eastAsia" w:ascii="仿宋" w:hAnsi="仿宋" w:eastAsia="仿宋" w:cs="仿宋"/>
          <w:color w:val="000000"/>
          <w:szCs w:val="21"/>
        </w:rPr>
        <w:t>基极电流交流分量的瞬时值</w:t>
      </w:r>
      <w:r>
        <w:rPr>
          <w:rFonts w:hint="eastAsia" w:ascii="仿宋" w:hAnsi="仿宋" w:eastAsia="仿宋" w:cs="仿宋"/>
          <w:color w:val="000000"/>
          <w:sz w:val="24"/>
        </w:rPr>
        <w:t>(mA)。</w:t>
      </w:r>
    </w:p>
    <w:p>
      <w:pPr>
        <w:pageBreakBefore w:val="0"/>
        <w:topLinePunct w:val="0"/>
        <w:bidi w:val="0"/>
        <w:spacing w:line="400" w:lineRule="exact"/>
        <w:ind w:left="1200" w:hanging="1200" w:hangingChars="500"/>
        <w:outlineLvl w:val="9"/>
        <w:rPr>
          <w:rFonts w:ascii="仿宋" w:hAnsi="仿宋" w:eastAsia="仿宋" w:cs="仿宋"/>
          <w:color w:val="000000"/>
          <w:szCs w:val="21"/>
        </w:rPr>
      </w:pPr>
      <w:r>
        <w:rPr>
          <w:rFonts w:hint="eastAsia" w:ascii="仿宋" w:hAnsi="仿宋" w:eastAsia="仿宋" w:cs="仿宋"/>
          <w:color w:val="000000"/>
          <w:sz w:val="24"/>
        </w:rPr>
        <w:t xml:space="preserve">　  </w:t>
      </w:r>
      <w:r>
        <w:rPr>
          <w:rFonts w:hint="eastAsia" w:ascii="仿宋" w:hAnsi="仿宋" w:eastAsia="仿宋" w:cs="仿宋"/>
          <w:color w:val="000000"/>
          <w:szCs w:val="21"/>
        </w:rPr>
        <w:t>注意：文中有多个公式时，需要加公式号（按章排队，如第一章第一个公式的公式号为1-1），并在公式出现前的文中加以说明。</w:t>
      </w:r>
    </w:p>
    <w:p>
      <w:pPr>
        <w:pageBreakBefore w:val="0"/>
        <w:topLinePunct w:val="0"/>
        <w:bidi w:val="0"/>
        <w:spacing w:line="400" w:lineRule="exact"/>
        <w:outlineLvl w:val="9"/>
        <w:rPr>
          <w:rFonts w:ascii="仿宋" w:hAnsi="仿宋" w:eastAsia="仿宋" w:cs="仿宋"/>
          <w:color w:val="000000"/>
          <w:sz w:val="24"/>
        </w:rPr>
      </w:pPr>
      <w:r>
        <w:rPr>
          <w:rFonts w:hint="eastAsia" w:ascii="仿宋" w:hAnsi="仿宋" w:eastAsia="仿宋" w:cs="仿宋"/>
          <w:color w:val="000000"/>
          <w:szCs w:val="21"/>
        </w:rPr>
        <w:t>又如：</w:t>
      </w:r>
      <w:r>
        <w:rPr>
          <w:rFonts w:hint="eastAsia" w:ascii="仿宋" w:hAnsi="仿宋" w:eastAsia="仿宋" w:cs="仿宋"/>
          <w:color w:val="000000"/>
          <w:sz w:val="24"/>
        </w:rPr>
        <w:t xml:space="preserve">                        </w:t>
      </w:r>
      <w:r>
        <w:rPr>
          <w:rFonts w:hint="eastAsia" w:ascii="仿宋" w:hAnsi="仿宋" w:eastAsia="仿宋" w:cs="仿宋"/>
          <w:i/>
          <w:color w:val="000000"/>
          <w:sz w:val="24"/>
        </w:rPr>
        <w:t>u</w:t>
      </w:r>
      <w:r>
        <w:rPr>
          <w:rFonts w:hint="eastAsia" w:ascii="仿宋" w:hAnsi="仿宋" w:eastAsia="仿宋" w:cs="仿宋"/>
          <w:color w:val="000000"/>
          <w:sz w:val="24"/>
          <w:vertAlign w:val="subscript"/>
        </w:rPr>
        <w:t>BE</w:t>
      </w:r>
      <w:r>
        <w:rPr>
          <w:rFonts w:hint="eastAsia" w:ascii="仿宋" w:hAnsi="仿宋" w:eastAsia="仿宋" w:cs="仿宋"/>
          <w:color w:val="000000"/>
          <w:sz w:val="24"/>
        </w:rPr>
        <w:t>=</w:t>
      </w:r>
      <w:r>
        <w:rPr>
          <w:rFonts w:hint="eastAsia" w:ascii="仿宋" w:hAnsi="仿宋" w:eastAsia="仿宋" w:cs="仿宋"/>
          <w:i/>
          <w:color w:val="000000"/>
          <w:sz w:val="24"/>
        </w:rPr>
        <w:t>U</w:t>
      </w:r>
      <w:r>
        <w:rPr>
          <w:rFonts w:hint="eastAsia" w:ascii="仿宋" w:hAnsi="仿宋" w:eastAsia="仿宋" w:cs="仿宋"/>
          <w:color w:val="000000"/>
          <w:sz w:val="24"/>
          <w:vertAlign w:val="subscript"/>
        </w:rPr>
        <w:t>BE</w:t>
      </w:r>
      <w:r>
        <w:rPr>
          <w:rFonts w:hint="eastAsia" w:ascii="仿宋" w:hAnsi="仿宋" w:eastAsia="仿宋" w:cs="仿宋"/>
          <w:color w:val="000000"/>
          <w:sz w:val="24"/>
        </w:rPr>
        <w:t>+</w:t>
      </w:r>
      <w:r>
        <w:rPr>
          <w:rFonts w:hint="eastAsia" w:ascii="仿宋" w:hAnsi="仿宋" w:eastAsia="仿宋" w:cs="仿宋"/>
          <w:i/>
          <w:color w:val="000000"/>
          <w:sz w:val="24"/>
        </w:rPr>
        <w:t>u</w:t>
      </w:r>
      <w:r>
        <w:rPr>
          <w:rFonts w:hint="eastAsia" w:ascii="仿宋" w:hAnsi="仿宋" w:eastAsia="仿宋" w:cs="仿宋"/>
          <w:color w:val="000000"/>
          <w:sz w:val="24"/>
          <w:vertAlign w:val="subscript"/>
        </w:rPr>
        <w:t>be</w:t>
      </w:r>
      <w:r>
        <w:rPr>
          <w:rFonts w:hint="eastAsia" w:ascii="仿宋" w:hAnsi="仿宋" w:eastAsia="仿宋" w:cs="仿宋"/>
          <w:color w:val="000000"/>
          <w:sz w:val="24"/>
        </w:rPr>
        <w:t xml:space="preserve">　                  </w:t>
      </w:r>
      <w:r>
        <w:rPr>
          <w:rFonts w:hint="eastAsia" w:ascii="仿宋" w:hAnsi="仿宋" w:eastAsia="仿宋" w:cs="仿宋"/>
          <w:color w:val="000000"/>
          <w:sz w:val="24"/>
          <w:vertAlign w:val="subscript"/>
        </w:rPr>
        <w:t>(1-2)</w:t>
      </w:r>
    </w:p>
    <w:p>
      <w:pPr>
        <w:pageBreakBefore w:val="0"/>
        <w:topLinePunct w:val="0"/>
        <w:bidi w:val="0"/>
        <w:spacing w:line="400" w:lineRule="exact"/>
        <w:ind w:firstLine="720" w:firstLineChars="300"/>
        <w:outlineLvl w:val="9"/>
        <w:rPr>
          <w:rFonts w:ascii="仿宋" w:hAnsi="仿宋" w:eastAsia="仿宋" w:cs="仿宋"/>
          <w:color w:val="000000"/>
          <w:sz w:val="24"/>
        </w:rPr>
      </w:pPr>
      <w:r>
        <w:rPr>
          <w:rFonts w:hint="eastAsia" w:ascii="仿宋" w:hAnsi="仿宋" w:eastAsia="仿宋" w:cs="仿宋"/>
          <w:color w:val="000000"/>
          <w:sz w:val="24"/>
        </w:rPr>
        <w:t xml:space="preserve">式中  </w:t>
      </w:r>
      <w:r>
        <w:rPr>
          <w:rFonts w:hint="eastAsia" w:ascii="仿宋" w:hAnsi="仿宋" w:eastAsia="仿宋" w:cs="仿宋"/>
          <w:i/>
          <w:color w:val="000000"/>
          <w:sz w:val="24"/>
        </w:rPr>
        <w:t>u</w:t>
      </w:r>
      <w:r>
        <w:rPr>
          <w:rFonts w:hint="eastAsia" w:ascii="仿宋" w:hAnsi="仿宋" w:eastAsia="仿宋" w:cs="仿宋"/>
          <w:color w:val="000000"/>
          <w:sz w:val="24"/>
          <w:vertAlign w:val="subscript"/>
        </w:rPr>
        <w:t>BE</w:t>
      </w:r>
      <w:r>
        <w:rPr>
          <w:rFonts w:hint="eastAsia" w:ascii="仿宋" w:hAnsi="仿宋" w:eastAsia="仿宋" w:cs="仿宋"/>
          <w:color w:val="000000"/>
          <w:sz w:val="24"/>
        </w:rPr>
        <w:t>──</w:t>
      </w:r>
      <w:r>
        <w:rPr>
          <w:rFonts w:hint="eastAsia" w:ascii="仿宋" w:hAnsi="仿宋" w:eastAsia="仿宋" w:cs="仿宋"/>
          <w:color w:val="000000"/>
          <w:szCs w:val="21"/>
        </w:rPr>
        <w:t>发射结电压瞬时值</w:t>
      </w:r>
      <w:r>
        <w:rPr>
          <w:rFonts w:hint="eastAsia" w:ascii="仿宋" w:hAnsi="仿宋" w:eastAsia="仿宋" w:cs="仿宋"/>
          <w:color w:val="000000"/>
          <w:sz w:val="24"/>
        </w:rPr>
        <w:t>(V)；</w:t>
      </w:r>
    </w:p>
    <w:p>
      <w:pPr>
        <w:pageBreakBefore w:val="0"/>
        <w:topLinePunct w:val="0"/>
        <w:bidi w:val="0"/>
        <w:spacing w:line="400" w:lineRule="exact"/>
        <w:ind w:firstLine="1332" w:firstLineChars="555"/>
        <w:outlineLvl w:val="9"/>
        <w:rPr>
          <w:rFonts w:ascii="仿宋" w:hAnsi="仿宋" w:eastAsia="仿宋" w:cs="仿宋"/>
          <w:color w:val="000000"/>
          <w:sz w:val="24"/>
        </w:rPr>
      </w:pPr>
      <w:r>
        <w:rPr>
          <w:rFonts w:hint="eastAsia" w:ascii="仿宋" w:hAnsi="仿宋" w:eastAsia="仿宋" w:cs="仿宋"/>
          <w:color w:val="000000"/>
          <w:sz w:val="24"/>
        </w:rPr>
        <w:t xml:space="preserve"> </w:t>
      </w:r>
      <w:r>
        <w:rPr>
          <w:rFonts w:hint="eastAsia" w:ascii="仿宋" w:hAnsi="仿宋" w:eastAsia="仿宋" w:cs="仿宋"/>
          <w:i/>
          <w:color w:val="000000"/>
          <w:sz w:val="24"/>
        </w:rPr>
        <w:t>U</w:t>
      </w:r>
      <w:r>
        <w:rPr>
          <w:rFonts w:hint="eastAsia" w:ascii="仿宋" w:hAnsi="仿宋" w:eastAsia="仿宋" w:cs="仿宋"/>
          <w:color w:val="000000"/>
          <w:sz w:val="24"/>
          <w:vertAlign w:val="subscript"/>
        </w:rPr>
        <w:t>BE</w:t>
      </w:r>
      <w:r>
        <w:rPr>
          <w:rFonts w:hint="eastAsia" w:ascii="仿宋" w:hAnsi="仿宋" w:eastAsia="仿宋" w:cs="仿宋"/>
          <w:color w:val="000000"/>
          <w:sz w:val="24"/>
        </w:rPr>
        <w:t>──</w:t>
      </w:r>
      <w:r>
        <w:rPr>
          <w:rFonts w:hint="eastAsia" w:ascii="仿宋" w:hAnsi="仿宋" w:eastAsia="仿宋" w:cs="仿宋"/>
          <w:color w:val="000000"/>
          <w:szCs w:val="21"/>
        </w:rPr>
        <w:t>发射结电压的直流分量（又称静态值）</w:t>
      </w:r>
      <w:r>
        <w:rPr>
          <w:rFonts w:hint="eastAsia" w:ascii="仿宋" w:hAnsi="仿宋" w:eastAsia="仿宋" w:cs="仿宋"/>
          <w:color w:val="000000"/>
          <w:sz w:val="24"/>
        </w:rPr>
        <w:t>(V)；</w:t>
      </w:r>
    </w:p>
    <w:p>
      <w:pPr>
        <w:pageBreakBefore w:val="0"/>
        <w:topLinePunct w:val="0"/>
        <w:bidi w:val="0"/>
        <w:spacing w:line="400" w:lineRule="exact"/>
        <w:ind w:firstLine="540"/>
        <w:outlineLvl w:val="9"/>
        <w:rPr>
          <w:rFonts w:ascii="仿宋" w:hAnsi="仿宋" w:eastAsia="仿宋" w:cs="仿宋"/>
          <w:color w:val="000000"/>
          <w:sz w:val="24"/>
        </w:rPr>
      </w:pPr>
      <w:r>
        <w:rPr>
          <w:rFonts w:hint="eastAsia" w:ascii="仿宋" w:hAnsi="仿宋" w:eastAsia="仿宋" w:cs="仿宋"/>
          <w:color w:val="000000"/>
          <w:sz w:val="24"/>
        </w:rPr>
        <w:t xml:space="preserve">        </w:t>
      </w:r>
      <w:r>
        <w:rPr>
          <w:rFonts w:hint="eastAsia" w:ascii="仿宋" w:hAnsi="仿宋" w:eastAsia="仿宋" w:cs="仿宋"/>
          <w:i/>
          <w:color w:val="000000"/>
          <w:sz w:val="24"/>
        </w:rPr>
        <w:t>u</w:t>
      </w:r>
      <w:r>
        <w:rPr>
          <w:rFonts w:hint="eastAsia" w:ascii="仿宋" w:hAnsi="仿宋" w:eastAsia="仿宋" w:cs="仿宋"/>
          <w:color w:val="000000"/>
          <w:sz w:val="24"/>
          <w:vertAlign w:val="subscript"/>
        </w:rPr>
        <w:t xml:space="preserve">be  </w:t>
      </w:r>
      <w:r>
        <w:rPr>
          <w:rFonts w:hint="eastAsia" w:ascii="仿宋" w:hAnsi="仿宋" w:eastAsia="仿宋" w:cs="仿宋"/>
          <w:color w:val="000000"/>
          <w:sz w:val="24"/>
        </w:rPr>
        <w:t>──</w:t>
      </w:r>
      <w:r>
        <w:rPr>
          <w:rFonts w:hint="eastAsia" w:ascii="仿宋" w:hAnsi="仿宋" w:eastAsia="仿宋" w:cs="仿宋"/>
          <w:color w:val="000000"/>
          <w:szCs w:val="21"/>
        </w:rPr>
        <w:t>发射结电压的交流分量的瞬时值</w:t>
      </w:r>
      <w:r>
        <w:rPr>
          <w:rFonts w:hint="eastAsia" w:ascii="仿宋" w:hAnsi="仿宋" w:eastAsia="仿宋" w:cs="仿宋"/>
          <w:color w:val="000000"/>
          <w:sz w:val="24"/>
        </w:rPr>
        <w:t>(V)。</w:t>
      </w:r>
    </w:p>
    <w:p>
      <w:pPr>
        <w:pageBreakBefore w:val="0"/>
        <w:topLinePunct w:val="0"/>
        <w:bidi w:val="0"/>
        <w:spacing w:line="400" w:lineRule="exact"/>
        <w:ind w:firstLine="540"/>
        <w:outlineLvl w:val="9"/>
        <w:rPr>
          <w:rFonts w:ascii="仿宋" w:hAnsi="仿宋" w:eastAsia="仿宋" w:cs="仿宋"/>
          <w:color w:val="000000"/>
          <w:szCs w:val="21"/>
        </w:rPr>
      </w:pPr>
      <w:r>
        <w:rPr>
          <w:rFonts w:hint="eastAsia" w:ascii="仿宋" w:hAnsi="仿宋" w:eastAsia="仿宋" w:cs="仿宋"/>
          <w:color w:val="000000"/>
          <w:szCs w:val="21"/>
        </w:rPr>
        <w:t>6．一般情况下角标用正体。</w:t>
      </w:r>
    </w:p>
    <w:p>
      <w:pPr>
        <w:pageBreakBefore w:val="0"/>
        <w:topLinePunct w:val="0"/>
        <w:bidi w:val="0"/>
        <w:spacing w:line="400" w:lineRule="exact"/>
        <w:ind w:firstLine="540"/>
        <w:outlineLvl w:val="9"/>
        <w:rPr>
          <w:rFonts w:ascii="仿宋" w:hAnsi="仿宋" w:eastAsia="仿宋" w:cs="仿宋"/>
          <w:color w:val="000000"/>
          <w:szCs w:val="21"/>
        </w:rPr>
      </w:pPr>
      <w:r>
        <w:rPr>
          <w:rFonts w:hint="eastAsia" w:ascii="仿宋" w:hAnsi="仿宋" w:eastAsia="仿宋" w:cs="仿宋"/>
          <w:color w:val="000000"/>
          <w:szCs w:val="21"/>
        </w:rPr>
        <w:t>7．坐标轴上的物理量用斜体。用西文字母表示坐标系上的点用斜体。当坐标轴上的量为数值时，坐标原点为零（0）；当坐标轴上均为物理量时，坐标原点为英文</w:t>
      </w:r>
      <w:r>
        <w:rPr>
          <w:rFonts w:hint="eastAsia" w:ascii="仿宋" w:hAnsi="仿宋" w:eastAsia="仿宋" w:cs="仿宋"/>
          <w:i/>
          <w:color w:val="000000"/>
          <w:szCs w:val="21"/>
        </w:rPr>
        <w:t>O</w:t>
      </w:r>
      <w:r>
        <w:rPr>
          <w:rFonts w:hint="eastAsia" w:ascii="仿宋" w:hAnsi="仿宋" w:eastAsia="仿宋" w:cs="仿宋"/>
          <w:color w:val="000000"/>
          <w:szCs w:val="21"/>
        </w:rPr>
        <w:t>(大写斜体)。</w:t>
      </w:r>
    </w:p>
    <w:p>
      <w:pPr>
        <w:pageBreakBefore w:val="0"/>
        <w:topLinePunct w:val="0"/>
        <w:bidi w:val="0"/>
        <w:spacing w:line="400" w:lineRule="exact"/>
        <w:ind w:firstLine="540"/>
        <w:outlineLvl w:val="9"/>
        <w:rPr>
          <w:rFonts w:ascii="仿宋" w:hAnsi="仿宋" w:eastAsia="仿宋" w:cs="仿宋"/>
          <w:color w:val="000000"/>
          <w:sz w:val="24"/>
        </w:rPr>
      </w:pPr>
      <w:r>
        <w:rPr>
          <w:rFonts w:hint="eastAsia" w:ascii="仿宋" w:hAnsi="仿宋" w:eastAsia="仿宋" w:cs="仿宋"/>
          <w:color w:val="000000"/>
          <w:szCs w:val="21"/>
        </w:rPr>
        <w:t>8．微分符号、偏微分符号、数学增量符号用正体。如</w:t>
      </w:r>
      <w:r>
        <w:rPr>
          <w:rFonts w:hint="eastAsia" w:ascii="仿宋" w:hAnsi="仿宋" w:eastAsia="仿宋" w:cs="仿宋"/>
          <w:color w:val="000000"/>
          <w:sz w:val="24"/>
        </w:rPr>
        <w:t>d</w:t>
      </w:r>
      <w:r>
        <w:rPr>
          <w:rFonts w:hint="eastAsia" w:ascii="仿宋" w:hAnsi="仿宋" w:eastAsia="仿宋" w:cs="仿宋"/>
          <w:i/>
          <w:color w:val="000000"/>
          <w:sz w:val="24"/>
        </w:rPr>
        <w:t>x</w:t>
      </w:r>
      <w:r>
        <w:rPr>
          <w:rFonts w:hint="eastAsia" w:ascii="仿宋" w:hAnsi="仿宋" w:eastAsia="仿宋" w:cs="仿宋"/>
          <w:color w:val="000000"/>
          <w:sz w:val="24"/>
        </w:rPr>
        <w:t>/d</w:t>
      </w:r>
      <w:r>
        <w:rPr>
          <w:rFonts w:hint="eastAsia" w:ascii="仿宋" w:hAnsi="仿宋" w:eastAsia="仿宋" w:cs="仿宋"/>
          <w:i/>
          <w:color w:val="000000"/>
          <w:sz w:val="24"/>
        </w:rPr>
        <w:t>t</w:t>
      </w:r>
      <w:r>
        <w:rPr>
          <w:rFonts w:hint="eastAsia" w:ascii="仿宋" w:hAnsi="仿宋" w:eastAsia="仿宋" w:cs="仿宋"/>
          <w:color w:val="000000"/>
          <w:sz w:val="24"/>
        </w:rPr>
        <w:t>，d</w:t>
      </w:r>
      <w:r>
        <w:rPr>
          <w:rFonts w:hint="eastAsia" w:ascii="仿宋" w:hAnsi="仿宋" w:eastAsia="仿宋" w:cs="仿宋"/>
          <w:color w:val="000000"/>
          <w:szCs w:val="21"/>
        </w:rPr>
        <w:t>为正体</w:t>
      </w:r>
      <w:r>
        <w:rPr>
          <w:rFonts w:hint="eastAsia" w:ascii="仿宋" w:hAnsi="仿宋" w:eastAsia="仿宋" w:cs="仿宋"/>
          <w:color w:val="000000"/>
          <w:sz w:val="24"/>
        </w:rPr>
        <w:t>，</w:t>
      </w:r>
      <w:r>
        <w:rPr>
          <w:rFonts w:hint="eastAsia" w:ascii="仿宋" w:hAnsi="仿宋" w:eastAsia="仿宋" w:cs="仿宋"/>
          <w:i/>
          <w:color w:val="000000"/>
          <w:sz w:val="24"/>
        </w:rPr>
        <w:t>x,t</w:t>
      </w:r>
      <w:r>
        <w:rPr>
          <w:rFonts w:hint="eastAsia" w:ascii="仿宋" w:hAnsi="仿宋" w:eastAsia="仿宋" w:cs="仿宋"/>
          <w:color w:val="000000"/>
          <w:szCs w:val="21"/>
        </w:rPr>
        <w:t>为斜体</w:t>
      </w:r>
      <w:r>
        <w:rPr>
          <w:rFonts w:hint="eastAsia" w:ascii="仿宋" w:hAnsi="仿宋" w:eastAsia="仿宋" w:cs="仿宋"/>
          <w:color w:val="000000"/>
          <w:sz w:val="24"/>
        </w:rPr>
        <w:t>。</w:t>
      </w:r>
      <w:r>
        <w:rPr>
          <w:rFonts w:hint="eastAsia" w:ascii="仿宋" w:hAnsi="仿宋" w:eastAsia="仿宋" w:cs="仿宋"/>
          <w:color w:val="000000"/>
          <w:sz w:val="24"/>
        </w:rPr>
        <w:sym w:font="Symbol" w:char="F0B6"/>
      </w:r>
      <w:r>
        <w:rPr>
          <w:rFonts w:hint="eastAsia" w:ascii="仿宋" w:hAnsi="仿宋" w:eastAsia="仿宋" w:cs="仿宋"/>
          <w:i/>
          <w:color w:val="000000"/>
          <w:sz w:val="24"/>
        </w:rPr>
        <w:t>x</w:t>
      </w:r>
      <w:r>
        <w:rPr>
          <w:rFonts w:hint="eastAsia" w:ascii="仿宋" w:hAnsi="仿宋" w:eastAsia="仿宋" w:cs="仿宋"/>
          <w:color w:val="000000"/>
          <w:sz w:val="24"/>
        </w:rPr>
        <w:t>/</w:t>
      </w:r>
      <w:r>
        <w:rPr>
          <w:rFonts w:hint="eastAsia" w:ascii="仿宋" w:hAnsi="仿宋" w:eastAsia="仿宋" w:cs="仿宋"/>
          <w:color w:val="000000"/>
          <w:sz w:val="24"/>
        </w:rPr>
        <w:sym w:font="Symbol" w:char="F0B6"/>
      </w:r>
      <w:r>
        <w:rPr>
          <w:rFonts w:hint="eastAsia" w:ascii="仿宋" w:hAnsi="仿宋" w:eastAsia="仿宋" w:cs="仿宋"/>
          <w:i/>
          <w:color w:val="000000"/>
          <w:sz w:val="24"/>
        </w:rPr>
        <w:t>t</w:t>
      </w:r>
      <w:r>
        <w:rPr>
          <w:rFonts w:hint="eastAsia" w:ascii="仿宋" w:hAnsi="仿宋" w:eastAsia="仿宋" w:cs="仿宋"/>
          <w:color w:val="000000"/>
          <w:szCs w:val="21"/>
        </w:rPr>
        <w:t>中</w:t>
      </w:r>
      <w:r>
        <w:rPr>
          <w:rFonts w:hint="eastAsia" w:ascii="仿宋" w:hAnsi="仿宋" w:eastAsia="仿宋" w:cs="仿宋"/>
          <w:color w:val="000000"/>
          <w:sz w:val="24"/>
        </w:rPr>
        <w:sym w:font="Symbol" w:char="F0B6"/>
      </w:r>
      <w:r>
        <w:rPr>
          <w:rFonts w:hint="eastAsia" w:ascii="仿宋" w:hAnsi="仿宋" w:eastAsia="仿宋" w:cs="仿宋"/>
          <w:color w:val="000000"/>
          <w:szCs w:val="21"/>
        </w:rPr>
        <w:t>为正体</w:t>
      </w:r>
      <w:r>
        <w:rPr>
          <w:rFonts w:hint="eastAsia" w:ascii="仿宋" w:hAnsi="仿宋" w:eastAsia="仿宋" w:cs="仿宋"/>
          <w:color w:val="000000"/>
          <w:sz w:val="24"/>
        </w:rPr>
        <w:t>，</w:t>
      </w:r>
      <w:r>
        <w:rPr>
          <w:rFonts w:hint="eastAsia" w:ascii="仿宋" w:hAnsi="仿宋" w:eastAsia="仿宋" w:cs="仿宋"/>
          <w:i/>
          <w:color w:val="000000"/>
          <w:sz w:val="24"/>
        </w:rPr>
        <w:t>x,</w:t>
      </w:r>
      <w:r>
        <w:rPr>
          <w:rFonts w:hint="eastAsia" w:ascii="仿宋" w:hAnsi="仿宋" w:eastAsia="仿宋" w:cs="仿宋"/>
          <w:i/>
          <w:color w:val="000000"/>
          <w:szCs w:val="21"/>
        </w:rPr>
        <w:t>t</w:t>
      </w:r>
      <w:r>
        <w:rPr>
          <w:rFonts w:hint="eastAsia" w:ascii="仿宋" w:hAnsi="仿宋" w:eastAsia="仿宋" w:cs="仿宋"/>
          <w:color w:val="000000"/>
          <w:szCs w:val="21"/>
        </w:rPr>
        <w:t>为斜体。</w:t>
      </w:r>
      <w:r>
        <w:rPr>
          <w:rFonts w:hint="eastAsia" w:ascii="仿宋" w:hAnsi="仿宋" w:eastAsia="仿宋" w:cs="仿宋"/>
          <w:color w:val="000000"/>
          <w:sz w:val="24"/>
        </w:rPr>
        <w:sym w:font="Symbol" w:char="F044"/>
      </w:r>
      <w:r>
        <w:rPr>
          <w:rFonts w:hint="eastAsia" w:ascii="仿宋" w:hAnsi="仿宋" w:eastAsia="仿宋" w:cs="仿宋"/>
          <w:i/>
          <w:color w:val="000000"/>
          <w:sz w:val="24"/>
        </w:rPr>
        <w:t>x</w:t>
      </w:r>
      <w:r>
        <w:rPr>
          <w:rFonts w:hint="eastAsia" w:ascii="仿宋" w:hAnsi="仿宋" w:eastAsia="仿宋" w:cs="仿宋"/>
          <w:color w:val="000000"/>
          <w:szCs w:val="21"/>
        </w:rPr>
        <w:t>中</w:t>
      </w:r>
      <w:r>
        <w:rPr>
          <w:rFonts w:hint="eastAsia" w:ascii="仿宋" w:hAnsi="仿宋" w:eastAsia="仿宋" w:cs="仿宋"/>
          <w:color w:val="000000"/>
          <w:sz w:val="24"/>
        </w:rPr>
        <w:sym w:font="Symbol" w:char="F044"/>
      </w:r>
      <w:r>
        <w:rPr>
          <w:rFonts w:hint="eastAsia" w:ascii="仿宋" w:hAnsi="仿宋" w:eastAsia="仿宋" w:cs="仿宋"/>
          <w:color w:val="000000"/>
          <w:szCs w:val="21"/>
        </w:rPr>
        <w:t>为正体</w:t>
      </w:r>
      <w:r>
        <w:rPr>
          <w:rFonts w:hint="eastAsia" w:ascii="仿宋" w:hAnsi="仿宋" w:eastAsia="仿宋" w:cs="仿宋"/>
          <w:color w:val="000000"/>
          <w:sz w:val="24"/>
        </w:rPr>
        <w:t>，</w:t>
      </w:r>
      <w:r>
        <w:rPr>
          <w:rFonts w:hint="eastAsia" w:ascii="仿宋" w:hAnsi="仿宋" w:eastAsia="仿宋" w:cs="仿宋"/>
          <w:i/>
          <w:color w:val="000000"/>
          <w:sz w:val="24"/>
        </w:rPr>
        <w:t>x</w:t>
      </w:r>
      <w:r>
        <w:rPr>
          <w:rFonts w:hint="eastAsia" w:ascii="仿宋" w:hAnsi="仿宋" w:eastAsia="仿宋" w:cs="仿宋"/>
          <w:color w:val="000000"/>
          <w:szCs w:val="21"/>
        </w:rPr>
        <w:t>为斜体。</w:t>
      </w:r>
    </w:p>
    <w:p>
      <w:pPr>
        <w:pageBreakBefore w:val="0"/>
        <w:topLinePunct w:val="0"/>
        <w:bidi w:val="0"/>
        <w:spacing w:line="400" w:lineRule="exact"/>
        <w:ind w:firstLine="540"/>
        <w:outlineLvl w:val="9"/>
        <w:rPr>
          <w:rFonts w:ascii="仿宋" w:hAnsi="仿宋" w:eastAsia="仿宋" w:cs="仿宋"/>
          <w:color w:val="000000"/>
          <w:szCs w:val="21"/>
        </w:rPr>
      </w:pPr>
      <w:r>
        <w:rPr>
          <w:rFonts w:hint="eastAsia" w:ascii="仿宋" w:hAnsi="仿宋" w:eastAsia="仿宋" w:cs="仿宋"/>
          <w:color w:val="000000"/>
          <w:szCs w:val="21"/>
        </w:rPr>
        <w:t>9．集成电路的管脚符号、逻辑符号在文、图中均为正体。</w:t>
      </w:r>
    </w:p>
    <w:p>
      <w:pPr>
        <w:pageBreakBefore w:val="0"/>
        <w:topLinePunct w:val="0"/>
        <w:bidi w:val="0"/>
        <w:spacing w:line="400" w:lineRule="exact"/>
        <w:ind w:firstLine="540"/>
        <w:outlineLvl w:val="9"/>
        <w:rPr>
          <w:rFonts w:ascii="仿宋" w:hAnsi="仿宋" w:eastAsia="仿宋" w:cs="仿宋"/>
          <w:color w:val="000000"/>
          <w:szCs w:val="21"/>
        </w:rPr>
      </w:pPr>
      <w:r>
        <w:rPr>
          <w:rFonts w:hint="eastAsia" w:ascii="仿宋" w:hAnsi="仿宋" w:eastAsia="仿宋" w:cs="仿宋"/>
          <w:color w:val="000000"/>
          <w:szCs w:val="21"/>
        </w:rPr>
        <w:t>10．</w:t>
      </w:r>
      <w:r>
        <w:rPr>
          <w:rFonts w:hint="eastAsia" w:ascii="仿宋" w:hAnsi="仿宋" w:eastAsia="仿宋" w:cs="仿宋"/>
          <w:color w:val="000000"/>
          <w:sz w:val="24"/>
        </w:rPr>
        <w:sym w:font="Symbol" w:char="F070"/>
      </w:r>
      <w:r>
        <w:rPr>
          <w:rFonts w:hint="eastAsia" w:ascii="仿宋" w:hAnsi="仿宋" w:eastAsia="仿宋" w:cs="仿宋"/>
          <w:color w:val="000000"/>
          <w:sz w:val="24"/>
        </w:rPr>
        <w:t>、e</w:t>
      </w:r>
      <w:r>
        <w:rPr>
          <w:rFonts w:hint="eastAsia" w:ascii="仿宋" w:hAnsi="仿宋" w:eastAsia="仿宋" w:cs="仿宋"/>
          <w:color w:val="000000"/>
          <w:szCs w:val="21"/>
        </w:rPr>
        <w:t>（自然对数的底）、三角函数</w:t>
      </w:r>
      <w:r>
        <w:rPr>
          <w:rFonts w:hint="eastAsia" w:ascii="仿宋" w:hAnsi="仿宋" w:eastAsia="仿宋" w:cs="仿宋"/>
          <w:color w:val="000000"/>
          <w:sz w:val="24"/>
        </w:rPr>
        <w:t>（sin、cos、tan…）、</w:t>
      </w:r>
      <w:r>
        <w:rPr>
          <w:rFonts w:hint="eastAsia" w:ascii="仿宋" w:hAnsi="仿宋" w:eastAsia="仿宋" w:cs="仿宋"/>
          <w:color w:val="000000"/>
          <w:szCs w:val="21"/>
        </w:rPr>
        <w:t>对数</w:t>
      </w:r>
      <w:r>
        <w:rPr>
          <w:rFonts w:hint="eastAsia" w:ascii="仿宋" w:hAnsi="仿宋" w:eastAsia="仿宋" w:cs="仿宋"/>
          <w:color w:val="000000"/>
          <w:sz w:val="24"/>
        </w:rPr>
        <w:t>（lg、ln、log</w:t>
      </w:r>
      <w:r>
        <w:rPr>
          <w:rFonts w:hint="eastAsia" w:ascii="仿宋" w:hAnsi="仿宋" w:eastAsia="仿宋" w:cs="仿宋"/>
          <w:color w:val="000000"/>
          <w:sz w:val="24"/>
          <w:vertAlign w:val="subscript"/>
        </w:rPr>
        <w:t>2</w:t>
      </w:r>
      <w:r>
        <w:rPr>
          <w:rFonts w:hint="eastAsia" w:ascii="仿宋" w:hAnsi="仿宋" w:eastAsia="仿宋" w:cs="仿宋"/>
          <w:color w:val="000000"/>
          <w:sz w:val="24"/>
        </w:rPr>
        <w:t>）</w:t>
      </w:r>
      <w:r>
        <w:rPr>
          <w:rFonts w:hint="eastAsia" w:ascii="仿宋" w:hAnsi="仿宋" w:eastAsia="仿宋" w:cs="仿宋"/>
          <w:color w:val="000000"/>
          <w:szCs w:val="21"/>
        </w:rPr>
        <w:t>等为正体。</w:t>
      </w:r>
    </w:p>
    <w:p>
      <w:pPr>
        <w:pageBreakBefore w:val="0"/>
        <w:topLinePunct w:val="0"/>
        <w:bidi w:val="0"/>
        <w:spacing w:line="400" w:lineRule="exact"/>
        <w:ind w:firstLine="540"/>
        <w:outlineLvl w:val="9"/>
        <w:rPr>
          <w:rFonts w:ascii="仿宋" w:hAnsi="仿宋" w:eastAsia="仿宋" w:cs="仿宋"/>
          <w:color w:val="000000"/>
          <w:szCs w:val="21"/>
        </w:rPr>
      </w:pPr>
      <w:r>
        <w:rPr>
          <w:rFonts w:hint="eastAsia" w:ascii="仿宋" w:hAnsi="仿宋" w:eastAsia="仿宋" w:cs="仿宋"/>
          <w:color w:val="000000"/>
          <w:szCs w:val="21"/>
        </w:rPr>
        <w:t>11．带有物理量的算式运算，其运算过程中不带单位，物理量的数学运算应将数值和单位一起带入量方程中，考虑到有时计算式中包含的量较多，允许将计算最终得出的单位写在数值运算末尾，例如：</w:t>
      </w:r>
      <w:r>
        <w:rPr>
          <w:rFonts w:hint="eastAsia" w:ascii="仿宋" w:hAnsi="仿宋" w:eastAsia="仿宋" w:cs="仿宋"/>
          <w:i/>
          <w:color w:val="000000"/>
          <w:sz w:val="24"/>
        </w:rPr>
        <w:t>U=</w:t>
      </w:r>
      <w:r>
        <w:rPr>
          <w:rFonts w:hint="eastAsia" w:ascii="仿宋" w:hAnsi="仿宋" w:eastAsia="仿宋" w:cs="仿宋"/>
          <w:color w:val="000000"/>
          <w:sz w:val="24"/>
        </w:rPr>
        <w:t>5V，</w:t>
      </w:r>
      <w:r>
        <w:rPr>
          <w:rFonts w:hint="eastAsia" w:ascii="仿宋" w:hAnsi="仿宋" w:eastAsia="仿宋" w:cs="仿宋"/>
          <w:i/>
          <w:color w:val="000000"/>
          <w:sz w:val="24"/>
        </w:rPr>
        <w:t>R</w:t>
      </w:r>
      <w:r>
        <w:rPr>
          <w:rFonts w:hint="eastAsia" w:ascii="仿宋" w:hAnsi="仿宋" w:eastAsia="仿宋" w:cs="仿宋"/>
          <w:color w:val="000000"/>
          <w:sz w:val="24"/>
        </w:rPr>
        <w:t>=100</w:t>
      </w:r>
      <w:r>
        <w:rPr>
          <w:rFonts w:hint="eastAsia" w:ascii="仿宋" w:hAnsi="仿宋" w:eastAsia="仿宋" w:cs="仿宋"/>
          <w:color w:val="000000"/>
          <w:sz w:val="24"/>
        </w:rPr>
        <w:sym w:font="Symbol" w:char="F057"/>
      </w:r>
      <w:r>
        <w:rPr>
          <w:rFonts w:hint="eastAsia" w:ascii="仿宋" w:hAnsi="仿宋" w:eastAsia="仿宋" w:cs="仿宋"/>
          <w:color w:val="000000"/>
          <w:szCs w:val="21"/>
        </w:rPr>
        <w:t>时，电流为</w:t>
      </w:r>
    </w:p>
    <w:p>
      <w:pPr>
        <w:pageBreakBefore w:val="0"/>
        <w:topLinePunct w:val="0"/>
        <w:bidi w:val="0"/>
        <w:outlineLvl w:val="9"/>
        <w:rPr>
          <w:rFonts w:ascii="仿宋" w:hAnsi="仿宋" w:eastAsia="仿宋" w:cs="仿宋"/>
          <w:color w:val="000000"/>
          <w:sz w:val="24"/>
        </w:rPr>
      </w:pPr>
      <w:r>
        <w:rPr>
          <w:rFonts w:hint="eastAsia" w:ascii="仿宋" w:hAnsi="仿宋" w:eastAsia="仿宋" w:cs="仿宋"/>
          <w:color w:val="000000"/>
        </w:rPr>
        <w:pict>
          <v:shape id="文本框 47" o:spid="_x0000_s1234" o:spt="202" type="#_x0000_t202" style="position:absolute;left:0pt;margin-left:288pt;margin-top:7.8pt;height:23.4pt;width:54pt;z-index:251800576;mso-width-relative:page;mso-height-relative:page;" filled="f" stroked="f" coordsize="21600,21600" o:allowincell="f" o:gfxdata="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spRMtYAAAAJAQAADwAA&#10;AAAAAAABACAAAAAiAAAAZHJzL2Rvd25yZXYueG1sUEsBAhQAFAAAAAgAh07iQD0BtV8YAgAAFgQA&#10;AA4AAAAAAAAAAQAgAAAAJQEAAGRycy9lMm9Eb2MueG1sUEsFBgAAAAAGAAYAWQEAAK8FAAAAAA==&#10;">
            <v:path/>
            <v:fill on="f" focussize="0,0"/>
            <v:stroke on="f"/>
            <v:imagedata o:title=""/>
            <o:lock v:ext="edit" aspectratio="f"/>
            <v:textbox>
              <w:txbxContent>
                <w:p>
                  <w:pPr>
                    <w:rPr>
                      <w:sz w:val="24"/>
                    </w:rPr>
                  </w:pPr>
                  <w:r>
                    <w:rPr>
                      <w:sz w:val="24"/>
                    </w:rPr>
                    <w:t>=0.05A</w:t>
                  </w:r>
                </w:p>
              </w:txbxContent>
            </v:textbox>
          </v:shape>
        </w:pict>
      </w:r>
      <w:r>
        <w:rPr>
          <w:rFonts w:hint="eastAsia" w:ascii="仿宋" w:hAnsi="仿宋" w:eastAsia="仿宋" w:cs="仿宋"/>
          <w:color w:val="000000"/>
        </w:rPr>
        <w:pict>
          <v:shape id="文本框 46" o:spid="_x0000_s1235" o:spt="202" type="#_x0000_t202" style="position:absolute;left:0pt;margin-left:270pt;margin-top:7.8pt;height:23.25pt;width:36pt;z-index:251802624;mso-width-relative:page;mso-height-relative:page;" filled="f" stroked="f" coordsize="21600,21600" o:allowincell="f" o:gfxdata="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cEcDvWAAAACQEAAA8AAAAA&#10;AAAAAQAgAAAAIgAAAGRycy9kb3ducmV2LnhtbFBLAQIUABQAAAAIAIdO4kAXXT4RFgIAABYEAAAO&#10;AAAAAAAAAAEAIAAAACUBAABkcnMvZTJvRG9jLnhtbFBLBQYAAAAABgAGAFkBAACtBQAAAAA=&#10;">
            <v:path/>
            <v:fill on="f" focussize="0,0"/>
            <v:stroke on="f"/>
            <v:imagedata o:title=""/>
            <o:lock v:ext="edit" aspectratio="f"/>
            <v:textbox>
              <w:txbxContent>
                <w:p>
                  <w:pPr>
                    <w:rPr>
                      <w:sz w:val="24"/>
                    </w:rPr>
                  </w:pPr>
                  <w:r>
                    <w:rPr>
                      <w:sz w:val="24"/>
                    </w:rPr>
                    <w:t>A)</w:t>
                  </w:r>
                </w:p>
              </w:txbxContent>
            </v:textbox>
          </v:shape>
        </w:pict>
      </w:r>
      <w:r>
        <w:rPr>
          <w:rFonts w:hint="eastAsia" w:ascii="仿宋" w:hAnsi="仿宋" w:eastAsia="仿宋" w:cs="仿宋"/>
          <w:color w:val="000000"/>
        </w:rPr>
        <w:pict>
          <v:shape id="_x0000_s1236" o:spid="_x0000_s1236" o:spt="202" type="#_x0000_t202" style="position:absolute;left:0pt;margin-left:225pt;margin-top:7.8pt;height:23.4pt;width:36pt;z-index:251801600;mso-width-relative:page;mso-height-relative:page;" filled="f" stroked="f" coordsize="21600,21600" o:allowincell="f" o:gfxdata="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9X4/LWAAAACQEAAA8AAAAA&#10;AAAAAQAgAAAAIgAAAGRycy9kb3ducmV2LnhtbFBLAQIUABQAAAAIAIdO4kDRlZlfFgIAABYEAAAO&#10;AAAAAAAAAAEAIAAAACUBAABkcnMvZTJvRG9jLnhtbFBLBQYAAAAABgAGAFkBAACtBQAAAAA=&#10;">
            <v:path/>
            <v:fill on="f" focussize="0,0"/>
            <v:stroke on="f"/>
            <v:imagedata o:title=""/>
            <o:lock v:ext="edit" aspectratio="f"/>
            <v:textbox>
              <w:txbxContent>
                <w:p>
                  <w:pPr>
                    <w:rPr>
                      <w:sz w:val="24"/>
                    </w:rPr>
                  </w:pPr>
                  <w:r>
                    <w:rPr>
                      <w:sz w:val="24"/>
                    </w:rPr>
                    <w:t>(</w:t>
                  </w:r>
                  <w:r>
                    <w:rPr>
                      <w:rFonts w:hint="eastAsia"/>
                      <w:sz w:val="24"/>
                    </w:rPr>
                    <w:t>或</w:t>
                  </w:r>
                  <w:r>
                    <w:rPr>
                      <w:sz w:val="24"/>
                    </w:rPr>
                    <w:t xml:space="preserve"> </w:t>
                  </w:r>
                  <w:r>
                    <w:rPr>
                      <w:rFonts w:hint="eastAsia"/>
                      <w:sz w:val="24"/>
                    </w:rPr>
                    <w:t xml:space="preserve"> </w:t>
                  </w:r>
                </w:p>
              </w:txbxContent>
            </v:textbox>
          </v:shape>
        </w:pict>
      </w:r>
      <w:r>
        <w:rPr>
          <w:rFonts w:hint="eastAsia" w:ascii="仿宋" w:hAnsi="仿宋" w:eastAsia="仿宋" w:cs="仿宋"/>
          <w:color w:val="000000"/>
        </w:rPr>
        <w:pict>
          <v:shape id="_x0000_s1237" o:spid="_x0000_s1237" o:spt="202" type="#_x0000_t202" style="position:absolute;left:0pt;margin-left:171pt;margin-top:7.8pt;height:23.4pt;width:18pt;z-index:251799552;mso-width-relative:page;mso-height-relative:page;" filled="f" stroked="f" coordsize="21600,21600" o:allowincell="f" o:gfxdata="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hPhmfXAAAACQEAAA8A&#10;AAAAAAAAAQAgAAAAIgAAAGRycy9kb3ducmV2LnhtbFBLAQIUABQAAAAIAIdO4kAydOyOGAIAABYE&#10;AAAOAAAAAAAAAAEAIAAAACYBAABkcnMvZTJvRG9jLnhtbFBLBQYAAAAABgAGAFkBAACwBQAAAAA=&#10;">
            <v:path/>
            <v:fill on="f" focussize="0,0"/>
            <v:stroke on="f"/>
            <v:imagedata o:title=""/>
            <o:lock v:ext="edit" aspectratio="f"/>
            <v:textbox>
              <w:txbxContent>
                <w:p>
                  <w:pPr>
                    <w:rPr>
                      <w:sz w:val="24"/>
                    </w:rPr>
                  </w:pPr>
                  <w:r>
                    <w:rPr>
                      <w:sz w:val="24"/>
                    </w:rPr>
                    <w:t>=</w:t>
                  </w:r>
                </w:p>
              </w:txbxContent>
            </v:textbox>
          </v:shape>
        </w:pict>
      </w:r>
      <w:r>
        <w:rPr>
          <w:rFonts w:hint="eastAsia" w:ascii="仿宋" w:hAnsi="仿宋" w:eastAsia="仿宋" w:cs="仿宋"/>
          <w:color w:val="000000"/>
        </w:rPr>
        <w:pict>
          <v:shape id="文本框 43" o:spid="_x0000_s1238" o:spt="202" type="#_x0000_t202" style="position:absolute;left:0pt;margin-left:135pt;margin-top:7.8pt;height:23.4pt;width:18pt;z-index:251796480;mso-width-relative:page;mso-height-relative:page;" filled="f" stroked="f" coordsize="21600,21600" o:allowincell="f" o:gfxdata="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lGN6NYAAAAJAQAADwAA&#10;AAAAAAABACAAAAAiAAAAZHJzL2Rvd25yZXYueG1sUEsBAhQAFAAAAAgAh07iQL3ocNgYAgAAFgQA&#10;AA4AAAAAAAAAAQAgAAAAJQEAAGRycy9lMm9Eb2MueG1sUEsFBgAAAAAGAAYAWQEAAK8FAAAAAA==&#10;">
            <v:path/>
            <v:fill on="f" focussize="0,0"/>
            <v:stroke on="f"/>
            <v:imagedata o:title=""/>
            <o:lock v:ext="edit" aspectratio="f"/>
            <v:textbox>
              <w:txbxContent>
                <w:p>
                  <w:pPr>
                    <w:rPr>
                      <w:rFonts w:ascii="宋体"/>
                      <w:sz w:val="24"/>
                    </w:rPr>
                  </w:pPr>
                  <w:r>
                    <w:rPr>
                      <w:rFonts w:ascii="宋体"/>
                      <w:sz w:val="24"/>
                    </w:rPr>
                    <w:t>=</w:t>
                  </w:r>
                </w:p>
              </w:txbxContent>
            </v:textbox>
          </v:shape>
        </w:pict>
      </w:r>
      <w:r>
        <w:rPr>
          <w:rFonts w:hint="eastAsia" w:ascii="仿宋" w:hAnsi="仿宋" w:eastAsia="仿宋" w:cs="仿宋"/>
          <w:color w:val="000000"/>
        </w:rPr>
        <w:pict>
          <v:shape id="文本框 42" o:spid="_x0000_s1239" o:spt="202" type="#_x0000_t202" style="position:absolute;left:0pt;margin-left:126pt;margin-top:7.8pt;height:23.4pt;width:18pt;z-index:251794432;mso-width-relative:page;mso-height-relative:page;" filled="f" stroked="f" coordsize="21600,21600" o:allowincell="f" o:gfxdata="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fDsEdYAAAAJAQAADwAA&#10;AAAAAAABACAAAAAiAAAAZHJzL2Rvd25yZXYueG1sUEsBAhQAFAAAAAgAh07iQMnZqQsYAgAAFgQA&#10;AA4AAAAAAAAAAQAgAAAAJQEAAGRycy9lMm9Eb2MueG1sUEsFBgAAAAAGAAYAWQEAAK8FAAAAAA==&#10;">
            <v:path/>
            <v:fill on="f" focussize="0,0"/>
            <v:stroke on="f"/>
            <v:imagedata o:title=""/>
            <o:lock v:ext="edit" aspectratio="f"/>
            <v:textbox>
              <w:txbxContent>
                <w:p>
                  <w:pPr>
                    <w:pStyle w:val="2"/>
                  </w:pPr>
                  <w:r>
                    <w:t>I</w:t>
                  </w:r>
                </w:p>
              </w:txbxContent>
            </v:textbox>
          </v:shape>
        </w:pict>
      </w:r>
      <w:r>
        <w:rPr>
          <w:rFonts w:hint="eastAsia" w:ascii="仿宋" w:hAnsi="仿宋" w:eastAsia="仿宋" w:cs="仿宋"/>
          <w:color w:val="000000"/>
          <w:sz w:val="24"/>
        </w:rPr>
        <w:t xml:space="preserve">                          </w:t>
      </w:r>
      <w:r>
        <w:rPr>
          <w:rFonts w:hint="eastAsia" w:ascii="仿宋" w:hAnsi="仿宋" w:eastAsia="仿宋" w:cs="仿宋"/>
          <w:i/>
          <w:color w:val="000000"/>
          <w:sz w:val="24"/>
        </w:rPr>
        <w:t>U</w:t>
      </w:r>
      <w:r>
        <w:rPr>
          <w:rFonts w:hint="eastAsia" w:ascii="仿宋" w:hAnsi="仿宋" w:eastAsia="仿宋" w:cs="仿宋"/>
          <w:color w:val="000000"/>
          <w:sz w:val="24"/>
        </w:rPr>
        <w:t xml:space="preserve">      5V        5</w:t>
      </w:r>
    </w:p>
    <w:p>
      <w:pPr>
        <w:pageBreakBefore w:val="0"/>
        <w:topLinePunct w:val="0"/>
        <w:bidi w:val="0"/>
        <w:outlineLvl w:val="9"/>
        <w:rPr>
          <w:rFonts w:ascii="仿宋" w:hAnsi="仿宋" w:eastAsia="仿宋" w:cs="仿宋"/>
          <w:color w:val="000000"/>
          <w:sz w:val="24"/>
        </w:rPr>
      </w:pPr>
      <w:r>
        <w:rPr>
          <w:rFonts w:hint="eastAsia" w:ascii="仿宋" w:hAnsi="仿宋" w:eastAsia="仿宋" w:cs="仿宋"/>
          <w:color w:val="000000"/>
        </w:rPr>
        <w:pict>
          <v:line id="直接连接符 41" o:spid="_x0000_s1240" o:spt="20" style="position:absolute;left:0pt;margin-left:252pt;margin-top:0pt;height:0pt;width:27pt;z-index:251797504;mso-width-relative:page;mso-height-relative:page;" filled="f" stroked="t" coordsize="21600,21600" o:allowincell="f" o:gfxdata="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7S0ZNdQAAAAFAQAA&#10;DwAAAAAAAAABACAAAAAiAAAAZHJzL2Rvd25yZXYueG1sUEsBAhQAFAAAAAgAh07iQJTYeQHkAQAA&#10;qwMAAA4AAAAAAAAAAQAgAAAAIwEAAGRycy9lMm9Eb2MueG1sUEsFBgAAAAAGAAYAWQEAAHkFAAAA&#10;AA==&#10;">
            <v:path arrowok="t"/>
            <v:fill on="f" focussize="0,0"/>
            <v:stroke joinstyle="round"/>
            <v:imagedata o:title=""/>
            <o:lock v:ext="edit" aspectratio="f"/>
          </v:line>
        </w:pict>
      </w:r>
      <w:r>
        <w:rPr>
          <w:rFonts w:hint="eastAsia" w:ascii="仿宋" w:hAnsi="仿宋" w:eastAsia="仿宋" w:cs="仿宋"/>
          <w:color w:val="000000"/>
        </w:rPr>
        <w:pict>
          <v:line id="直接连接符 40" o:spid="_x0000_s1241" o:spt="20" style="position:absolute;left:0pt;margin-left:189pt;margin-top:0pt;height:0pt;width:36pt;z-index:251798528;mso-width-relative:page;mso-height-relative:page;" filled="f" stroked="t" coordsize="21600,21600" o:allowincell="f" o:gfxdata="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Y0WwtQAAAAFAQAA&#10;DwAAAAAAAAABACAAAAAiAAAAZHJzL2Rvd25yZXYueG1sUEsBAhQAFAAAAAgAh07iQCxMIw/kAQAA&#10;qwMAAA4AAAAAAAAAAQAgAAAAIwEAAGRycy9lMm9Eb2MueG1sUEsFBgAAAAAGAAYAWQEAAHkFAAAA&#10;AA==&#10;">
            <v:path arrowok="t"/>
            <v:fill on="f" focussize="0,0"/>
            <v:stroke joinstyle="round"/>
            <v:imagedata o:title=""/>
            <o:lock v:ext="edit" aspectratio="f"/>
          </v:line>
        </w:pict>
      </w:r>
      <w:r>
        <w:rPr>
          <w:rFonts w:hint="eastAsia" w:ascii="仿宋" w:hAnsi="仿宋" w:eastAsia="仿宋" w:cs="仿宋"/>
          <w:color w:val="000000"/>
        </w:rPr>
        <w:pict>
          <v:line id="直接连接符 39" o:spid="_x0000_s1242" o:spt="20" style="position:absolute;left:0pt;margin-left:153pt;margin-top:0pt;height:0pt;width:18pt;z-index:251795456;mso-width-relative:page;mso-height-relative:page;" filled="f" stroked="t" coordsize="21600,21600" o:allowincell="f" o:gfxdata="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pSQ1c0wAAAAUBAAAP&#10;AAAAAAAAAAEAIAAAACIAAABkcnMvZG93bnJldi54bWxQSwECFAAUAAAACACHTuJAEwdW4+QBAACr&#10;AwAADgAAAAAAAAABACAAAAAiAQAAZHJzL2Uyb0RvYy54bWxQSwUGAAAAAAYABgBZAQAAeAUAAAAA&#10;">
            <v:path arrowok="t"/>
            <v:fill on="f" focussize="0,0"/>
            <v:stroke joinstyle="round"/>
            <v:imagedata o:title=""/>
            <o:lock v:ext="edit" aspectratio="f"/>
          </v:line>
        </w:pict>
      </w:r>
      <w:r>
        <w:rPr>
          <w:rFonts w:hint="eastAsia" w:ascii="仿宋" w:hAnsi="仿宋" w:eastAsia="仿宋" w:cs="仿宋"/>
          <w:color w:val="000000"/>
          <w:sz w:val="24"/>
        </w:rPr>
        <w:t xml:space="preserve">                          </w:t>
      </w:r>
      <w:r>
        <w:rPr>
          <w:rFonts w:hint="eastAsia" w:ascii="仿宋" w:hAnsi="仿宋" w:eastAsia="仿宋" w:cs="仿宋"/>
          <w:i/>
          <w:color w:val="000000"/>
          <w:sz w:val="24"/>
        </w:rPr>
        <w:t>R</w:t>
      </w:r>
      <w:r>
        <w:rPr>
          <w:rFonts w:hint="eastAsia" w:ascii="仿宋" w:hAnsi="仿宋" w:eastAsia="仿宋" w:cs="仿宋"/>
          <w:color w:val="000000"/>
          <w:sz w:val="24"/>
        </w:rPr>
        <w:t xml:space="preserve">     100</w:t>
      </w:r>
      <w:r>
        <w:rPr>
          <w:rFonts w:hint="eastAsia" w:ascii="仿宋" w:hAnsi="仿宋" w:eastAsia="仿宋" w:cs="仿宋"/>
          <w:color w:val="000000"/>
          <w:sz w:val="24"/>
        </w:rPr>
        <w:sym w:font="Symbol" w:char="F057"/>
      </w:r>
      <w:r>
        <w:rPr>
          <w:rFonts w:hint="eastAsia" w:ascii="仿宋" w:hAnsi="仿宋" w:eastAsia="仿宋" w:cs="仿宋"/>
          <w:i/>
          <w:color w:val="000000"/>
          <w:sz w:val="24"/>
        </w:rPr>
        <w:t xml:space="preserve">      </w:t>
      </w:r>
      <w:r>
        <w:rPr>
          <w:rFonts w:hint="eastAsia" w:ascii="仿宋" w:hAnsi="仿宋" w:eastAsia="仿宋" w:cs="仿宋"/>
          <w:color w:val="000000"/>
          <w:sz w:val="24"/>
        </w:rPr>
        <w:t>100</w:t>
      </w:r>
    </w:p>
    <w:p>
      <w:pPr>
        <w:pageBreakBefore w:val="0"/>
        <w:topLinePunct w:val="0"/>
        <w:bidi w:val="0"/>
        <w:spacing w:line="360" w:lineRule="auto"/>
        <w:ind w:firstLine="540"/>
        <w:outlineLvl w:val="9"/>
        <w:rPr>
          <w:rFonts w:ascii="仿宋" w:hAnsi="仿宋" w:eastAsia="仿宋" w:cs="仿宋"/>
          <w:color w:val="000000"/>
          <w:szCs w:val="21"/>
        </w:rPr>
      </w:pPr>
      <w:r>
        <w:rPr>
          <w:rFonts w:hint="eastAsia" w:ascii="仿宋" w:hAnsi="仿宋" w:eastAsia="仿宋" w:cs="仿宋"/>
          <w:color w:val="000000"/>
          <w:szCs w:val="21"/>
        </w:rPr>
        <w:t>运算结果的单位符号不用括号。</w:t>
      </w:r>
    </w:p>
    <w:p>
      <w:pPr>
        <w:pageBreakBefore w:val="0"/>
        <w:topLinePunct w:val="0"/>
        <w:bidi w:val="0"/>
        <w:outlineLvl w:val="9"/>
        <w:rPr>
          <w:rFonts w:ascii="仿宋" w:hAnsi="仿宋" w:eastAsia="仿宋" w:cs="仿宋"/>
          <w:b/>
          <w:color w:val="000000"/>
          <w:sz w:val="24"/>
        </w:rPr>
      </w:pPr>
      <w:r>
        <w:rPr>
          <w:rFonts w:hint="eastAsia" w:ascii="仿宋" w:hAnsi="仿宋" w:eastAsia="仿宋" w:cs="仿宋"/>
          <w:color w:val="000000"/>
        </w:rPr>
        <w:br w:type="page"/>
      </w:r>
      <w:r>
        <w:rPr>
          <w:rFonts w:hint="eastAsia" w:ascii="仿宋" w:hAnsi="仿宋" w:eastAsia="仿宋" w:cs="仿宋"/>
          <w:b/>
          <w:color w:val="000000"/>
          <w:sz w:val="24"/>
        </w:rPr>
        <w:t xml:space="preserve"> </w:t>
      </w:r>
      <w:r>
        <w:rPr>
          <w:rFonts w:hint="eastAsia" w:ascii="仿宋" w:hAnsi="仿宋" w:eastAsia="仿宋" w:cs="仿宋"/>
          <w:b/>
          <w:color w:val="000000"/>
          <w:szCs w:val="21"/>
        </w:rPr>
        <w:t>附件4</w:t>
      </w:r>
    </w:p>
    <w:p>
      <w:pPr>
        <w:pageBreakBefore w:val="0"/>
        <w:topLinePunct w:val="0"/>
        <w:bidi w:val="0"/>
        <w:jc w:val="center"/>
        <w:outlineLvl w:val="9"/>
        <w:rPr>
          <w:rFonts w:ascii="仿宋" w:hAnsi="仿宋" w:eastAsia="仿宋" w:cs="仿宋"/>
          <w:b/>
          <w:bCs/>
          <w:color w:val="000000"/>
          <w:sz w:val="32"/>
          <w:szCs w:val="32"/>
        </w:rPr>
      </w:pPr>
      <w:r>
        <w:rPr>
          <w:rFonts w:hint="eastAsia" w:ascii="仿宋" w:hAnsi="仿宋" w:eastAsia="仿宋" w:cs="仿宋"/>
          <w:b/>
          <w:bCs/>
          <w:color w:val="000000"/>
          <w:sz w:val="32"/>
          <w:szCs w:val="32"/>
        </w:rPr>
        <w:t>上海电子信息职业技术学院</w:t>
      </w:r>
    </w:p>
    <w:p>
      <w:pPr>
        <w:pageBreakBefore w:val="0"/>
        <w:topLinePunct w:val="0"/>
        <w:bidi w:val="0"/>
        <w:jc w:val="center"/>
        <w:outlineLvl w:val="9"/>
        <w:rPr>
          <w:rFonts w:ascii="仿宋" w:hAnsi="仿宋" w:eastAsia="仿宋" w:cs="仿宋"/>
          <w:b/>
          <w:bCs/>
          <w:color w:val="000000"/>
          <w:sz w:val="32"/>
          <w:szCs w:val="32"/>
        </w:rPr>
      </w:pPr>
      <w:r>
        <w:rPr>
          <w:rFonts w:hint="eastAsia" w:ascii="仿宋" w:hAnsi="仿宋" w:eastAsia="仿宋" w:cs="仿宋"/>
          <w:b/>
          <w:bCs/>
          <w:color w:val="000000"/>
          <w:sz w:val="32"/>
          <w:szCs w:val="32"/>
        </w:rPr>
        <w:t>校本教材印制申请单</w:t>
      </w:r>
    </w:p>
    <w:p>
      <w:pPr>
        <w:pageBreakBefore w:val="0"/>
        <w:topLinePunct w:val="0"/>
        <w:bidi w:val="0"/>
        <w:ind w:firstLine="480" w:firstLineChars="200"/>
        <w:outlineLvl w:val="9"/>
        <w:rPr>
          <w:rFonts w:ascii="仿宋" w:hAnsi="仿宋" w:eastAsia="仿宋" w:cs="仿宋"/>
          <w:color w:val="000000"/>
          <w:sz w:val="24"/>
        </w:rPr>
      </w:pPr>
      <w:r>
        <w:rPr>
          <w:rFonts w:hint="eastAsia" w:ascii="仿宋" w:hAnsi="仿宋" w:eastAsia="仿宋" w:cs="仿宋"/>
          <w:color w:val="000000"/>
          <w:sz w:val="24"/>
        </w:rPr>
        <w:t>申请部门：              申请人：             申请时间：</w:t>
      </w:r>
    </w:p>
    <w:tbl>
      <w:tblPr>
        <w:tblStyle w:val="3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3284"/>
        <w:gridCol w:w="1381"/>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967" w:type="dxa"/>
            <w:noWrap w:val="0"/>
            <w:vAlign w:val="center"/>
          </w:tcPr>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课程名称</w:t>
            </w:r>
          </w:p>
        </w:tc>
        <w:tc>
          <w:tcPr>
            <w:tcW w:w="6555" w:type="dxa"/>
            <w:gridSpan w:val="3"/>
            <w:noWrap w:val="0"/>
            <w:vAlign w:val="center"/>
          </w:tcPr>
          <w:p>
            <w:pPr>
              <w:pageBreakBefore w:val="0"/>
              <w:topLinePunct w:val="0"/>
              <w:bidi w:val="0"/>
              <w:outlineLvl w:val="9"/>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967" w:type="dxa"/>
            <w:noWrap w:val="0"/>
            <w:vAlign w:val="center"/>
          </w:tcPr>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教材名称</w:t>
            </w:r>
          </w:p>
        </w:tc>
        <w:tc>
          <w:tcPr>
            <w:tcW w:w="3284" w:type="dxa"/>
            <w:noWrap w:val="0"/>
            <w:vAlign w:val="center"/>
          </w:tcPr>
          <w:p>
            <w:pPr>
              <w:pageBreakBefore w:val="0"/>
              <w:topLinePunct w:val="0"/>
              <w:bidi w:val="0"/>
              <w:outlineLvl w:val="9"/>
              <w:rPr>
                <w:rFonts w:ascii="仿宋" w:hAnsi="仿宋" w:eastAsia="仿宋" w:cs="仿宋"/>
                <w:color w:val="000000"/>
                <w:sz w:val="24"/>
              </w:rPr>
            </w:pPr>
          </w:p>
        </w:tc>
        <w:tc>
          <w:tcPr>
            <w:tcW w:w="1381" w:type="dxa"/>
            <w:noWrap w:val="0"/>
            <w:vAlign w:val="center"/>
          </w:tcPr>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编者</w:t>
            </w:r>
          </w:p>
        </w:tc>
        <w:tc>
          <w:tcPr>
            <w:tcW w:w="1890" w:type="dxa"/>
            <w:noWrap w:val="0"/>
            <w:vAlign w:val="center"/>
          </w:tcPr>
          <w:p>
            <w:pPr>
              <w:pageBreakBefore w:val="0"/>
              <w:topLinePunct w:val="0"/>
              <w:bidi w:val="0"/>
              <w:outlineLvl w:val="9"/>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967" w:type="dxa"/>
            <w:noWrap w:val="0"/>
            <w:vAlign w:val="center"/>
          </w:tcPr>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参编者</w:t>
            </w:r>
          </w:p>
        </w:tc>
        <w:tc>
          <w:tcPr>
            <w:tcW w:w="3284" w:type="dxa"/>
            <w:noWrap w:val="0"/>
            <w:vAlign w:val="center"/>
          </w:tcPr>
          <w:p>
            <w:pPr>
              <w:pageBreakBefore w:val="0"/>
              <w:topLinePunct w:val="0"/>
              <w:bidi w:val="0"/>
              <w:outlineLvl w:val="9"/>
              <w:rPr>
                <w:rFonts w:ascii="仿宋" w:hAnsi="仿宋" w:eastAsia="仿宋" w:cs="仿宋"/>
                <w:color w:val="000000"/>
                <w:sz w:val="24"/>
              </w:rPr>
            </w:pPr>
          </w:p>
        </w:tc>
        <w:tc>
          <w:tcPr>
            <w:tcW w:w="1381" w:type="dxa"/>
            <w:noWrap w:val="0"/>
            <w:vAlign w:val="center"/>
          </w:tcPr>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编写时间</w:t>
            </w:r>
          </w:p>
        </w:tc>
        <w:tc>
          <w:tcPr>
            <w:tcW w:w="1890" w:type="dxa"/>
            <w:noWrap w:val="0"/>
            <w:vAlign w:val="center"/>
          </w:tcPr>
          <w:p>
            <w:pPr>
              <w:pageBreakBefore w:val="0"/>
              <w:topLinePunct w:val="0"/>
              <w:bidi w:val="0"/>
              <w:outlineLvl w:val="9"/>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967" w:type="dxa"/>
            <w:noWrap w:val="0"/>
            <w:vAlign w:val="center"/>
          </w:tcPr>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印制年级、班级与人数</w:t>
            </w:r>
          </w:p>
        </w:tc>
        <w:tc>
          <w:tcPr>
            <w:tcW w:w="3284" w:type="dxa"/>
            <w:noWrap w:val="0"/>
            <w:vAlign w:val="center"/>
          </w:tcPr>
          <w:p>
            <w:pPr>
              <w:pageBreakBefore w:val="0"/>
              <w:topLinePunct w:val="0"/>
              <w:bidi w:val="0"/>
              <w:outlineLvl w:val="9"/>
              <w:rPr>
                <w:rFonts w:ascii="仿宋" w:hAnsi="仿宋" w:eastAsia="仿宋" w:cs="仿宋"/>
                <w:color w:val="000000"/>
                <w:sz w:val="24"/>
              </w:rPr>
            </w:pPr>
          </w:p>
        </w:tc>
        <w:tc>
          <w:tcPr>
            <w:tcW w:w="1381" w:type="dxa"/>
            <w:noWrap w:val="0"/>
            <w:vAlign w:val="center"/>
          </w:tcPr>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使用时间</w:t>
            </w:r>
          </w:p>
        </w:tc>
        <w:tc>
          <w:tcPr>
            <w:tcW w:w="1890" w:type="dxa"/>
            <w:noWrap w:val="0"/>
            <w:vAlign w:val="center"/>
          </w:tcPr>
          <w:p>
            <w:pPr>
              <w:pageBreakBefore w:val="0"/>
              <w:topLinePunct w:val="0"/>
              <w:bidi w:val="0"/>
              <w:outlineLvl w:val="9"/>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967" w:type="dxa"/>
            <w:noWrap w:val="0"/>
            <w:vAlign w:val="center"/>
          </w:tcPr>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印制教师人数</w:t>
            </w:r>
          </w:p>
        </w:tc>
        <w:tc>
          <w:tcPr>
            <w:tcW w:w="3284" w:type="dxa"/>
            <w:noWrap w:val="0"/>
            <w:vAlign w:val="center"/>
          </w:tcPr>
          <w:p>
            <w:pPr>
              <w:pageBreakBefore w:val="0"/>
              <w:topLinePunct w:val="0"/>
              <w:bidi w:val="0"/>
              <w:outlineLvl w:val="9"/>
              <w:rPr>
                <w:rFonts w:ascii="仿宋" w:hAnsi="仿宋" w:eastAsia="仿宋" w:cs="仿宋"/>
                <w:color w:val="000000"/>
                <w:sz w:val="24"/>
              </w:rPr>
            </w:pPr>
          </w:p>
        </w:tc>
        <w:tc>
          <w:tcPr>
            <w:tcW w:w="1381" w:type="dxa"/>
            <w:noWrap w:val="0"/>
            <w:vAlign w:val="center"/>
          </w:tcPr>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印制总册数</w:t>
            </w:r>
          </w:p>
        </w:tc>
        <w:tc>
          <w:tcPr>
            <w:tcW w:w="1890" w:type="dxa"/>
            <w:noWrap w:val="0"/>
            <w:vAlign w:val="center"/>
          </w:tcPr>
          <w:p>
            <w:pPr>
              <w:pageBreakBefore w:val="0"/>
              <w:topLinePunct w:val="0"/>
              <w:bidi w:val="0"/>
              <w:jc w:val="center"/>
              <w:outlineLvl w:val="9"/>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1" w:hRule="atLeast"/>
        </w:trPr>
        <w:tc>
          <w:tcPr>
            <w:tcW w:w="1967" w:type="dxa"/>
            <w:noWrap w:val="0"/>
            <w:vAlign w:val="center"/>
          </w:tcPr>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印制事由</w:t>
            </w:r>
          </w:p>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（教材用途）</w:t>
            </w:r>
          </w:p>
        </w:tc>
        <w:tc>
          <w:tcPr>
            <w:tcW w:w="6555" w:type="dxa"/>
            <w:gridSpan w:val="3"/>
            <w:noWrap w:val="0"/>
            <w:vAlign w:val="center"/>
          </w:tcPr>
          <w:p>
            <w:pPr>
              <w:pageBreakBefore w:val="0"/>
              <w:topLinePunct w:val="0"/>
              <w:bidi w:val="0"/>
              <w:jc w:val="center"/>
              <w:outlineLvl w:val="9"/>
              <w:rPr>
                <w:rFonts w:ascii="仿宋" w:hAnsi="仿宋" w:eastAsia="仿宋" w:cs="仿宋"/>
                <w:color w:val="000000"/>
                <w:sz w:val="24"/>
              </w:rPr>
            </w:pPr>
          </w:p>
          <w:p>
            <w:pPr>
              <w:pageBreakBefore w:val="0"/>
              <w:topLinePunct w:val="0"/>
              <w:bidi w:val="0"/>
              <w:jc w:val="center"/>
              <w:outlineLvl w:val="9"/>
              <w:rPr>
                <w:rFonts w:ascii="仿宋" w:hAnsi="仿宋" w:eastAsia="仿宋" w:cs="仿宋"/>
                <w:color w:val="000000"/>
                <w:sz w:val="24"/>
              </w:rPr>
            </w:pPr>
          </w:p>
          <w:p>
            <w:pPr>
              <w:pageBreakBefore w:val="0"/>
              <w:topLinePunct w:val="0"/>
              <w:bidi w:val="0"/>
              <w:jc w:val="center"/>
              <w:outlineLvl w:val="9"/>
              <w:rPr>
                <w:rFonts w:ascii="仿宋" w:hAnsi="仿宋" w:eastAsia="仿宋" w:cs="仿宋"/>
                <w:color w:val="000000"/>
                <w:sz w:val="24"/>
              </w:rPr>
            </w:pPr>
          </w:p>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 xml:space="preserve">               印制部门负责人签名：</w:t>
            </w:r>
          </w:p>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trPr>
        <w:tc>
          <w:tcPr>
            <w:tcW w:w="1967" w:type="dxa"/>
            <w:noWrap w:val="0"/>
            <w:vAlign w:val="center"/>
          </w:tcPr>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二级学院意见</w:t>
            </w:r>
          </w:p>
          <w:p>
            <w:pPr>
              <w:pageBreakBefore w:val="0"/>
              <w:topLinePunct w:val="0"/>
              <w:bidi w:val="0"/>
              <w:jc w:val="center"/>
              <w:outlineLvl w:val="9"/>
              <w:rPr>
                <w:rFonts w:ascii="仿宋" w:hAnsi="仿宋" w:eastAsia="仿宋" w:cs="仿宋"/>
                <w:color w:val="000000"/>
                <w:sz w:val="24"/>
              </w:rPr>
            </w:pPr>
          </w:p>
        </w:tc>
        <w:tc>
          <w:tcPr>
            <w:tcW w:w="6555" w:type="dxa"/>
            <w:gridSpan w:val="3"/>
            <w:noWrap w:val="0"/>
            <w:vAlign w:val="center"/>
          </w:tcPr>
          <w:p>
            <w:pPr>
              <w:pageBreakBefore w:val="0"/>
              <w:topLinePunct w:val="0"/>
              <w:bidi w:val="0"/>
              <w:jc w:val="left"/>
              <w:outlineLvl w:val="9"/>
              <w:rPr>
                <w:rFonts w:ascii="仿宋" w:hAnsi="仿宋" w:eastAsia="仿宋" w:cs="仿宋"/>
                <w:color w:val="000000"/>
                <w:sz w:val="24"/>
              </w:rPr>
            </w:pPr>
            <w:r>
              <w:rPr>
                <w:rFonts w:hint="eastAsia" w:ascii="仿宋" w:hAnsi="仿宋" w:eastAsia="仿宋" w:cs="仿宋"/>
                <w:color w:val="000000"/>
                <w:sz w:val="24"/>
              </w:rPr>
              <w:t>二级学院审核教材是否已经走过分委会审核</w:t>
            </w:r>
          </w:p>
          <w:p>
            <w:pPr>
              <w:pageBreakBefore w:val="0"/>
              <w:topLinePunct w:val="0"/>
              <w:bidi w:val="0"/>
              <w:jc w:val="right"/>
              <w:outlineLvl w:val="9"/>
              <w:rPr>
                <w:rFonts w:ascii="仿宋" w:hAnsi="仿宋" w:eastAsia="仿宋" w:cs="仿宋"/>
                <w:color w:val="000000"/>
                <w:sz w:val="24"/>
              </w:rPr>
            </w:pPr>
          </w:p>
          <w:p>
            <w:pPr>
              <w:pageBreakBefore w:val="0"/>
              <w:topLinePunct w:val="0"/>
              <w:bidi w:val="0"/>
              <w:jc w:val="right"/>
              <w:outlineLvl w:val="9"/>
              <w:rPr>
                <w:rFonts w:ascii="仿宋" w:hAnsi="仿宋" w:eastAsia="仿宋" w:cs="仿宋"/>
                <w:color w:val="000000"/>
                <w:sz w:val="24"/>
              </w:rPr>
            </w:pPr>
          </w:p>
          <w:p>
            <w:pPr>
              <w:pageBreakBefore w:val="0"/>
              <w:topLinePunct w:val="0"/>
              <w:bidi w:val="0"/>
              <w:jc w:val="right"/>
              <w:outlineLvl w:val="9"/>
              <w:rPr>
                <w:rFonts w:ascii="仿宋" w:hAnsi="仿宋" w:eastAsia="仿宋" w:cs="仿宋"/>
                <w:color w:val="000000"/>
                <w:sz w:val="24"/>
              </w:rPr>
            </w:pPr>
          </w:p>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 xml:space="preserve">       负责人签字：</w:t>
            </w:r>
          </w:p>
          <w:p>
            <w:pPr>
              <w:pageBreakBefore w:val="0"/>
              <w:topLinePunct w:val="0"/>
              <w:bidi w:val="0"/>
              <w:jc w:val="right"/>
              <w:outlineLvl w:val="9"/>
              <w:rPr>
                <w:rFonts w:ascii="仿宋" w:hAnsi="仿宋" w:eastAsia="仿宋" w:cs="仿宋"/>
                <w:color w:val="000000"/>
                <w:sz w:val="24"/>
              </w:rPr>
            </w:pPr>
            <w:r>
              <w:rPr>
                <w:rFonts w:hint="eastAsia" w:ascii="仿宋" w:hAnsi="仿宋" w:eastAsia="仿宋" w:cs="仿宋"/>
                <w:color w:val="000000"/>
                <w:sz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9" w:hRule="atLeast"/>
        </w:trPr>
        <w:tc>
          <w:tcPr>
            <w:tcW w:w="1967" w:type="dxa"/>
            <w:noWrap w:val="0"/>
            <w:vAlign w:val="center"/>
          </w:tcPr>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教务处审核意见</w:t>
            </w:r>
          </w:p>
          <w:p>
            <w:pPr>
              <w:pageBreakBefore w:val="0"/>
              <w:topLinePunct w:val="0"/>
              <w:bidi w:val="0"/>
              <w:jc w:val="center"/>
              <w:outlineLvl w:val="9"/>
              <w:rPr>
                <w:rFonts w:ascii="仿宋" w:hAnsi="仿宋" w:eastAsia="仿宋" w:cs="仿宋"/>
                <w:color w:val="000000"/>
                <w:sz w:val="24"/>
              </w:rPr>
            </w:pPr>
          </w:p>
        </w:tc>
        <w:tc>
          <w:tcPr>
            <w:tcW w:w="6555" w:type="dxa"/>
            <w:gridSpan w:val="3"/>
            <w:noWrap w:val="0"/>
            <w:vAlign w:val="center"/>
          </w:tcPr>
          <w:p>
            <w:pPr>
              <w:pageBreakBefore w:val="0"/>
              <w:topLinePunct w:val="0"/>
              <w:bidi w:val="0"/>
              <w:jc w:val="left"/>
              <w:outlineLvl w:val="9"/>
              <w:rPr>
                <w:rFonts w:ascii="仿宋" w:hAnsi="仿宋" w:eastAsia="仿宋" w:cs="仿宋"/>
                <w:color w:val="000000"/>
                <w:sz w:val="24"/>
              </w:rPr>
            </w:pPr>
            <w:r>
              <w:rPr>
                <w:rFonts w:hint="eastAsia" w:ascii="仿宋" w:hAnsi="仿宋" w:eastAsia="仿宋" w:cs="仿宋"/>
                <w:color w:val="000000"/>
                <w:sz w:val="24"/>
              </w:rPr>
              <w:t>教务处审核校本教材的审核备案流程是否完善</w:t>
            </w:r>
          </w:p>
          <w:p>
            <w:pPr>
              <w:pageBreakBefore w:val="0"/>
              <w:topLinePunct w:val="0"/>
              <w:bidi w:val="0"/>
              <w:jc w:val="center"/>
              <w:outlineLvl w:val="9"/>
              <w:rPr>
                <w:rFonts w:ascii="仿宋" w:hAnsi="仿宋" w:eastAsia="仿宋" w:cs="仿宋"/>
                <w:color w:val="000000"/>
                <w:sz w:val="24"/>
              </w:rPr>
            </w:pPr>
          </w:p>
          <w:p>
            <w:pPr>
              <w:pageBreakBefore w:val="0"/>
              <w:topLinePunct w:val="0"/>
              <w:bidi w:val="0"/>
              <w:jc w:val="center"/>
              <w:outlineLvl w:val="9"/>
              <w:rPr>
                <w:rFonts w:ascii="仿宋" w:hAnsi="仿宋" w:eastAsia="仿宋" w:cs="仿宋"/>
                <w:color w:val="000000"/>
                <w:sz w:val="24"/>
              </w:rPr>
            </w:pPr>
          </w:p>
          <w:p>
            <w:pPr>
              <w:pageBreakBefore w:val="0"/>
              <w:topLinePunct w:val="0"/>
              <w:bidi w:val="0"/>
              <w:jc w:val="center"/>
              <w:outlineLvl w:val="9"/>
              <w:rPr>
                <w:rFonts w:ascii="仿宋" w:hAnsi="仿宋" w:eastAsia="仿宋" w:cs="仿宋"/>
                <w:color w:val="000000"/>
                <w:sz w:val="24"/>
              </w:rPr>
            </w:pPr>
          </w:p>
          <w:p>
            <w:pPr>
              <w:pageBreakBefore w:val="0"/>
              <w:topLinePunct w:val="0"/>
              <w:bidi w:val="0"/>
              <w:jc w:val="center"/>
              <w:outlineLvl w:val="9"/>
              <w:rPr>
                <w:rFonts w:ascii="仿宋" w:hAnsi="仿宋" w:eastAsia="仿宋" w:cs="仿宋"/>
                <w:color w:val="000000"/>
                <w:sz w:val="24"/>
              </w:rPr>
            </w:pPr>
            <w:r>
              <w:rPr>
                <w:rFonts w:ascii="仿宋" w:hAnsi="仿宋" w:eastAsia="仿宋" w:cs="仿宋"/>
                <w:color w:val="000000"/>
                <w:sz w:val="24"/>
              </w:rPr>
              <w:t xml:space="preserve">                      负责人签名：</w:t>
            </w:r>
          </w:p>
          <w:p>
            <w:pPr>
              <w:pageBreakBefore w:val="0"/>
              <w:topLinePunct w:val="0"/>
              <w:bidi w:val="0"/>
              <w:jc w:val="center"/>
              <w:outlineLvl w:val="9"/>
              <w:rPr>
                <w:rFonts w:ascii="仿宋" w:hAnsi="仿宋" w:eastAsia="仿宋" w:cs="仿宋"/>
                <w:color w:val="000000"/>
                <w:sz w:val="24"/>
              </w:rPr>
            </w:pPr>
            <w:r>
              <w:rPr>
                <w:rFonts w:ascii="仿宋" w:hAnsi="仿宋" w:eastAsia="仿宋" w:cs="仿宋"/>
                <w:color w:val="000000"/>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1967" w:type="dxa"/>
            <w:noWrap w:val="0"/>
            <w:vAlign w:val="center"/>
          </w:tcPr>
          <w:p>
            <w:pPr>
              <w:pageBreakBefore w:val="0"/>
              <w:topLinePunct w:val="0"/>
              <w:bidi w:val="0"/>
              <w:jc w:val="center"/>
              <w:outlineLvl w:val="9"/>
              <w:rPr>
                <w:rFonts w:ascii="仿宋" w:hAnsi="仿宋" w:eastAsia="仿宋" w:cs="仿宋"/>
                <w:color w:val="000000"/>
                <w:sz w:val="24"/>
              </w:rPr>
            </w:pPr>
            <w:r>
              <w:rPr>
                <w:rFonts w:hint="eastAsia" w:ascii="仿宋" w:hAnsi="仿宋" w:eastAsia="仿宋" w:cs="仿宋"/>
                <w:color w:val="000000"/>
                <w:sz w:val="24"/>
              </w:rPr>
              <w:t>备注</w:t>
            </w:r>
          </w:p>
        </w:tc>
        <w:tc>
          <w:tcPr>
            <w:tcW w:w="6555" w:type="dxa"/>
            <w:gridSpan w:val="3"/>
            <w:noWrap w:val="0"/>
            <w:vAlign w:val="center"/>
          </w:tcPr>
          <w:p>
            <w:pPr>
              <w:pageBreakBefore w:val="0"/>
              <w:topLinePunct w:val="0"/>
              <w:bidi w:val="0"/>
              <w:jc w:val="center"/>
              <w:outlineLvl w:val="9"/>
              <w:rPr>
                <w:rFonts w:ascii="仿宋" w:hAnsi="仿宋" w:eastAsia="仿宋" w:cs="仿宋"/>
                <w:color w:val="000000"/>
                <w:sz w:val="24"/>
              </w:rPr>
            </w:pPr>
          </w:p>
          <w:p>
            <w:pPr>
              <w:pageBreakBefore w:val="0"/>
              <w:topLinePunct w:val="0"/>
              <w:bidi w:val="0"/>
              <w:jc w:val="center"/>
              <w:outlineLvl w:val="9"/>
              <w:rPr>
                <w:rFonts w:ascii="仿宋" w:hAnsi="仿宋" w:eastAsia="仿宋" w:cs="仿宋"/>
                <w:color w:val="000000"/>
                <w:sz w:val="24"/>
              </w:rPr>
            </w:pPr>
          </w:p>
          <w:p>
            <w:pPr>
              <w:pageBreakBefore w:val="0"/>
              <w:topLinePunct w:val="0"/>
              <w:bidi w:val="0"/>
              <w:jc w:val="center"/>
              <w:outlineLvl w:val="9"/>
              <w:rPr>
                <w:rFonts w:ascii="仿宋" w:hAnsi="仿宋" w:eastAsia="仿宋" w:cs="仿宋"/>
                <w:color w:val="000000"/>
                <w:sz w:val="24"/>
              </w:rPr>
            </w:pPr>
          </w:p>
          <w:p>
            <w:pPr>
              <w:pageBreakBefore w:val="0"/>
              <w:topLinePunct w:val="0"/>
              <w:bidi w:val="0"/>
              <w:jc w:val="center"/>
              <w:outlineLvl w:val="9"/>
              <w:rPr>
                <w:rFonts w:ascii="仿宋" w:hAnsi="仿宋" w:eastAsia="仿宋" w:cs="仿宋"/>
                <w:color w:val="000000"/>
                <w:sz w:val="24"/>
              </w:rPr>
            </w:pPr>
          </w:p>
        </w:tc>
      </w:tr>
    </w:tbl>
    <w:p>
      <w:pPr>
        <w:pageBreakBefore w:val="0"/>
        <w:topLinePunct w:val="0"/>
        <w:bidi w:val="0"/>
        <w:outlineLvl w:val="9"/>
        <w:rPr>
          <w:rFonts w:ascii="仿宋" w:hAnsi="仿宋" w:eastAsia="仿宋" w:cs="仿宋"/>
          <w:color w:val="000000"/>
        </w:rPr>
      </w:pPr>
    </w:p>
    <w:p>
      <w:pPr>
        <w:pageBreakBefore w:val="0"/>
        <w:topLinePunct w:val="0"/>
        <w:bidi w:val="0"/>
        <w:jc w:val="left"/>
        <w:outlineLvl w:val="9"/>
        <w:rPr>
          <w:rFonts w:ascii="仿宋" w:hAnsi="仿宋" w:eastAsia="仿宋" w:cs="仿宋"/>
          <w:b/>
          <w:color w:val="000000"/>
          <w:sz w:val="32"/>
          <w:szCs w:val="32"/>
        </w:rPr>
      </w:pPr>
      <w:r>
        <w:rPr>
          <w:rFonts w:hint="eastAsia" w:ascii="仿宋" w:hAnsi="仿宋" w:eastAsia="仿宋" w:cs="仿宋"/>
          <w:color w:val="000000"/>
        </w:rPr>
        <w:br w:type="page"/>
      </w:r>
      <w:r>
        <w:rPr>
          <w:rFonts w:hint="eastAsia" w:ascii="仿宋" w:hAnsi="仿宋" w:eastAsia="仿宋" w:cs="仿宋"/>
          <w:b/>
          <w:color w:val="000000"/>
          <w:szCs w:val="21"/>
        </w:rPr>
        <w:t>附件5</w:t>
      </w:r>
    </w:p>
    <w:p>
      <w:pPr>
        <w:pageBreakBefore w:val="0"/>
        <w:topLinePunct w:val="0"/>
        <w:bidi w:val="0"/>
        <w:jc w:val="center"/>
        <w:outlineLvl w:val="9"/>
        <w:rPr>
          <w:rFonts w:ascii="仿宋" w:hAnsi="仿宋" w:eastAsia="仿宋" w:cs="仿宋"/>
          <w:b/>
          <w:color w:val="000000"/>
          <w:sz w:val="24"/>
        </w:rPr>
      </w:pPr>
      <w:r>
        <w:rPr>
          <w:rFonts w:hint="eastAsia" w:ascii="仿宋" w:hAnsi="仿宋" w:eastAsia="仿宋" w:cs="仿宋"/>
          <w:b/>
          <w:color w:val="000000"/>
          <w:sz w:val="32"/>
          <w:szCs w:val="32"/>
        </w:rPr>
        <w:t>校本教材备案流程图</w: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流程图: 过程 38" o:spid="_x0000_s1243" o:spt="109" type="#_x0000_t109" style="position:absolute;left:0pt;margin-left:151.1pt;margin-top:13.2pt;height:39pt;width:108pt;z-index:251806720;mso-width-relative:page;mso-height-relative:page;" fillcolor="#FFFFFF" filled="t" stroked="t" coordsize="21600,21600" o:gfxdata="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GzXNg2AAAAAoBAAAPAAAA&#10;AAAAAAEAIAAAACIAAABkcnMvZG93bnJldi54bWxQSwECFAAUAAAACACHTuJAGSaNmk4CAACTBAAA&#10;DgAAAAAAAAABACAAAAAnAQAAZHJzL2Uyb0RvYy54bWxQSwUGAAAAAAYABgBZAQAA5wUAAAAA&#10;">
            <v:path/>
            <v:fill on="t" focussize="0,0"/>
            <v:stroke joinstyle="miter"/>
            <v:imagedata o:title=""/>
            <o:lock v:ext="edit" aspectratio="f"/>
            <v:textbox>
              <w:txbxContent>
                <w:p>
                  <w:pPr>
                    <w:jc w:val="center"/>
                    <w:rPr>
                      <w:sz w:val="18"/>
                      <w:szCs w:val="18"/>
                    </w:rPr>
                  </w:pPr>
                  <w:r>
                    <w:rPr>
                      <w:rFonts w:hint="eastAsia"/>
                      <w:sz w:val="18"/>
                      <w:szCs w:val="18"/>
                    </w:rPr>
                    <w:t>申报人向所在</w:t>
                  </w:r>
                  <w:r>
                    <w:rPr>
                      <w:rFonts w:hint="eastAsia"/>
                      <w:color w:val="000000"/>
                      <w:sz w:val="18"/>
                      <w:szCs w:val="18"/>
                    </w:rPr>
                    <w:t>系（教研室）</w:t>
                  </w:r>
                  <w:r>
                    <w:rPr>
                      <w:rFonts w:hint="eastAsia"/>
                      <w:sz w:val="18"/>
                      <w:szCs w:val="18"/>
                    </w:rPr>
                    <w:t>提出申请</w:t>
                  </w:r>
                </w:p>
              </w:txbxContent>
            </v:textbox>
          </v:shape>
        </w:pict>
      </w:r>
    </w:p>
    <w:p>
      <w:pPr>
        <w:pageBreakBefore w:val="0"/>
        <w:topLinePunct w:val="0"/>
        <w:bidi w:val="0"/>
        <w:outlineLvl w:val="9"/>
        <w:rPr>
          <w:rFonts w:ascii="仿宋" w:hAnsi="仿宋" w:eastAsia="仿宋" w:cs="仿宋"/>
          <w:b/>
          <w:color w:val="000000"/>
          <w:sz w:val="24"/>
        </w:rPr>
      </w:pP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直接箭头连接符 37" o:spid="_x0000_s1244" o:spt="32" type="#_x0000_t32" style="position:absolute;left:0pt;margin-left:112.5pt;margin-top:3pt;height:0pt;width:38.55pt;z-index:251811840;mso-width-relative:page;mso-height-relative:page;" filled="f" stroked="t" coordsize="21600,21600" o:gfxdata="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ZyKd1wAAAAcBAAAPAAAAAAAAAAEA&#10;IAAAACIAAABkcnMvZG93bnJldi54bWxQSwECFAAUAAAACACHTuJAREAqwxACAADtAwAADgAAAAAA&#10;AAABACAAAAAmAQAAZHJzL2Uyb0RvYy54bWxQSwUGAAAAAAYABgBZAQAAqAUAAAAA&#10;">
            <v:path arrowok="t"/>
            <v:fill on="f" focussize="0,0"/>
            <v:stroke joinstyle="round" endarrow="block"/>
            <v:imagedata o:title=""/>
            <o:lock v:ext="edit" aspectratio="f"/>
          </v:shape>
        </w:pict>
      </w:r>
      <w:r>
        <w:rPr>
          <w:rFonts w:hint="eastAsia" w:ascii="仿宋" w:hAnsi="仿宋" w:eastAsia="仿宋" w:cs="仿宋"/>
          <w:b/>
          <w:color w:val="000000"/>
          <w:sz w:val="24"/>
        </w:rPr>
        <w:pict>
          <v:shape id="直接箭头连接符 36" o:spid="_x0000_s1245" o:spt="32" type="#_x0000_t32" style="position:absolute;left:0pt;flip:y;margin-left:111.75pt;margin-top:3pt;height:99.75pt;width:0pt;z-index:251810816;mso-width-relative:page;mso-height-relative:page;" filled="f" stroked="t" coordsize="21600,21600" o:gfxdata="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KB6yNUAAAAJAQAADwAAAAAAAAABACAAAAAiAAAAZHJzL2Rvd25yZXYueG1sUEsB&#10;AhQAFAAAAAgAh07iQLRcOwn4AQAAygMAAA4AAAAAAAAAAQAgAAAAJAEAAGRycy9lMm9Eb2MueG1s&#10;UEsFBgAAAAAGAAYAWQEAAI4FAAAAAA==&#10;">
            <v:path arrowok="t"/>
            <v:fill on="f" focussize="0,0"/>
            <v:stroke joinstyle="round"/>
            <v:imagedata o:title=""/>
            <o:lock v:ext="edit" aspectratio="f"/>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直接箭头连接符 35" o:spid="_x0000_s1246" o:spt="32" type="#_x0000_t32" style="position:absolute;left:0pt;margin-left:204pt;margin-top:1.65pt;height:21pt;width:0pt;z-index:251803648;mso-width-relative:page;mso-height-relative:page;" filled="f" stroked="t" coordsize="21600,21600" o:gfxdata="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smwPF1wAAAAgBAAAPAAAAAAAAAAEA&#10;IAAAACIAAABkcnMvZG93bnJldi54bWxQSwECFAAUAAAACACHTuJAJkvJ8RACAADtAwAADgAAAAAA&#10;AAABACAAAAAmAQAAZHJzL2Uyb0RvYy54bWxQSwUGAAAAAAYABgBZAQAAqAUAAAAA&#10;">
            <v:path arrowok="t"/>
            <v:fill on="f" focussize="0,0"/>
            <v:stroke joinstyle="round" endarrow="block"/>
            <v:imagedata o:title=""/>
            <o:lock v:ext="edit" aspectratio="f"/>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流程图: 过程 34" o:spid="_x0000_s1247" o:spt="109" type="#_x0000_t109" style="position:absolute;left:0pt;margin-left:144.4pt;margin-top:7.05pt;height:27.75pt;width:116.35pt;z-index:251807744;mso-width-relative:page;mso-height-relative:page;" fillcolor="#FFFFFF" filled="t" stroked="t" coordsize="21600,21600" o:gfxdata="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KpI/vYAAAACQEAAA8AAAAA&#10;AAAAAQAgAAAAIgAAAGRycy9kb3ducmV2LnhtbFBLAQIUABQAAAAIAIdO4kDJ3tloTQIAAJMEAAAO&#10;AAAAAAAAAAEAIAAAACcBAABkcnMvZTJvRG9jLnhtbFBLBQYAAAAABgAGAFkBAADmBQAAAAA=&#10;">
            <v:path/>
            <v:fill on="t" focussize="0,0"/>
            <v:stroke joinstyle="miter"/>
            <v:imagedata o:title=""/>
            <o:lock v:ext="edit" aspectratio="f"/>
            <v:textbox>
              <w:txbxContent>
                <w:p>
                  <w:pPr>
                    <w:jc w:val="center"/>
                    <w:rPr>
                      <w:sz w:val="18"/>
                      <w:szCs w:val="18"/>
                    </w:rPr>
                  </w:pPr>
                  <w:r>
                    <w:rPr>
                      <w:rFonts w:hint="eastAsia"/>
                      <w:sz w:val="18"/>
                      <w:szCs w:val="18"/>
                    </w:rPr>
                    <w:t>系（教研室）审核</w:t>
                  </w:r>
                </w:p>
              </w:txbxContent>
            </v:textbox>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直接箭头连接符 33" o:spid="_x0000_s1248" o:spt="32" type="#_x0000_t32" style="position:absolute;left:0pt;flip:y;margin-left:296.25pt;margin-top:5.7pt;height:193.65pt;width:0pt;z-index:251812864;mso-width-relative:page;mso-height-relative:page;" filled="f" stroked="t" coordsize="21600,21600" o:gfxdata="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En2bJ2AAAAAoBAAAPAAAAAAAAAAEAIAAAACIAAABkcnMvZG93bnJldi54&#10;bWxQSwECFAAUAAAACACHTuJA5E8vpfoBAADKAwAADgAAAAAAAAABACAAAAAnAQAAZHJzL2Uyb0Rv&#10;Yy54bWxQSwUGAAAAAAYABgBZAQAAkwUAAAAA&#10;">
            <v:path arrowok="t"/>
            <v:fill on="f" focussize="0,0"/>
            <v:stroke joinstyle="round"/>
            <v:imagedata o:title=""/>
            <o:lock v:ext="edit" aspectratio="f"/>
          </v:shape>
        </w:pict>
      </w:r>
      <w:r>
        <w:rPr>
          <w:rFonts w:hint="eastAsia" w:ascii="仿宋" w:hAnsi="仿宋" w:eastAsia="仿宋" w:cs="仿宋"/>
          <w:b/>
          <w:color w:val="000000"/>
          <w:sz w:val="24"/>
        </w:rPr>
        <w:pict>
          <v:shape id="直接箭头连接符 32" o:spid="_x0000_s1249" o:spt="32" type="#_x0000_t32" style="position:absolute;left:0pt;flip:x;margin-left:259.1pt;margin-top:5.7pt;height:0pt;width:37.1pt;z-index:251813888;mso-width-relative:page;mso-height-relative:page;" filled="f" stroked="t" coordsize="21600,21600" o:gfxdata="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52eXTXAAAACQEAAA8AAAAA&#10;AAAAAQAgAAAAIgAAAGRycy9kb3ducmV2LnhtbFBLAQIUABQAAAAIAIdO4kDPIJVZFQIAAPcDAAAO&#10;AAAAAAAAAAEAIAAAACYBAABkcnMvZTJvRG9jLnhtbFBLBQYAAAAABgAGAFkBAACtBQAAAAA=&#10;">
            <v:path arrowok="t"/>
            <v:fill on="f" focussize="0,0"/>
            <v:stroke joinstyle="round" endarrow="block"/>
            <v:imagedata o:title=""/>
            <o:lock v:ext="edit" aspectratio="f"/>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直接箭头连接符 31" o:spid="_x0000_s1250" o:spt="32" type="#_x0000_t32" style="position:absolute;left:0pt;margin-left:204.75pt;margin-top:-0.15pt;height:21pt;width:0pt;z-index:251804672;mso-width-relative:page;mso-height-relative:page;" filled="f" stroked="t" coordsize="21600,21600" o:gfxdata="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lso8zYAAAACAEAAA8AAAAAAAAAAQAg&#10;AAAAIgAAAGRycy9kb3ducmV2LnhtbFBLAQIUABQAAAAIAIdO4kCBaMvtDgIAAO0DAAAOAAAAAAAA&#10;AAEAIAAAACcBAABkcnMvZTJvRG9jLnhtbFBLBQYAAAAABgAGAFkBAACnBQAAAAA=&#10;">
            <v:path arrowok="t"/>
            <v:fill on="f" focussize="0,0"/>
            <v:stroke joinstyle="round" endarrow="block"/>
            <v:imagedata o:title=""/>
            <o:lock v:ext="edit" aspectratio="f"/>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rect id="矩形 30" o:spid="_x0000_s1251" o:spt="1" style="position:absolute;left:0pt;margin-left:137.95pt;margin-top:5.25pt;height:19.5pt;width:18.75pt;z-index:251815936;mso-width-relative:page;mso-height-relative:page;" filled="f" stroked="f" coordsize="21600,21600" o:gfxdata="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NZEBfbAAAACQEAAA8AAAAAAAAA&#10;AQAgAAAAIgAAAGRycy9kb3ducmV2LnhtbFBLAQIUABQAAAAIAIdO4kDf+vqoDgIAAAkEAAAOAAAA&#10;AAAAAAEAIAAAACoBAABkcnMvZTJvRG9jLnhtbFBLBQYAAAAABgAGAFkBAACqBQAAAAA=&#10;">
            <v:path/>
            <v:fill on="f" focussize="0,0"/>
            <v:stroke on="f"/>
            <v:imagedata o:title=""/>
            <o:lock v:ext="edit" aspectratio="f"/>
            <v:textbox>
              <w:txbxContent>
                <w:p>
                  <w:r>
                    <w:rPr>
                      <w:rFonts w:hint="eastAsia"/>
                    </w:rPr>
                    <w:t>N</w:t>
                  </w:r>
                </w:p>
              </w:txbxContent>
            </v:textbox>
          </v:rect>
        </w:pict>
      </w:r>
      <w:r>
        <w:rPr>
          <w:rFonts w:hint="eastAsia" w:ascii="仿宋" w:hAnsi="仿宋" w:eastAsia="仿宋" w:cs="仿宋"/>
          <w:b/>
          <w:color w:val="000000"/>
          <w:sz w:val="24"/>
        </w:rPr>
        <w:pict>
          <v:shape id="流程图: 决策 29" o:spid="_x0000_s1252" o:spt="110" type="#_x0000_t110" style="position:absolute;left:0pt;margin-left:156.7pt;margin-top:4.5pt;height:41.25pt;width:96.75pt;z-index:251808768;mso-width-relative:page;mso-height-relative:page;" fillcolor="#FFFFFF" filled="t" stroked="t" coordsize="21600,21600" o:gfxdata="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37zjfXAAAACAEAAA8A&#10;AAAAAAAAAQAgAAAAIgAAAGRycy9kb3ducmV2LnhtbFBLAQIUABQAAAAIAIdO4kCxgQ06UQIAAJQE&#10;AAAOAAAAAAAAAAEAIAAAACYBAABkcnMvZTJvRG9jLnhtbFBLBQYAAAAABgAGAFkBAADpBQAAAAA=&#10;">
            <v:path/>
            <v:fill on="t" focussize="0,0"/>
            <v:stroke joinstyle="miter"/>
            <v:imagedata o:title=""/>
            <o:lock v:ext="edit" aspectratio="f"/>
            <v:textbox>
              <w:txbxContent>
                <w:p>
                  <w:pPr>
                    <w:jc w:val="center"/>
                    <w:rPr>
                      <w:sz w:val="18"/>
                      <w:szCs w:val="18"/>
                    </w:rPr>
                  </w:pPr>
                  <w:r>
                    <w:rPr>
                      <w:rFonts w:hint="eastAsia"/>
                      <w:sz w:val="18"/>
                      <w:szCs w:val="18"/>
                    </w:rPr>
                    <w:t>通过</w:t>
                  </w:r>
                </w:p>
              </w:txbxContent>
            </v:textbox>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直接箭头连接符 28" o:spid="_x0000_s1253" o:spt="32" type="#_x0000_t32" style="position:absolute;left:0pt;flip:x;margin-left:112.5pt;margin-top:9.15pt;height:0pt;width:44.2pt;z-index:251809792;mso-width-relative:page;mso-height-relative:page;" filled="f" stroked="t" coordsize="21600,21600" o:gfxdata="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hqU1PWAAAACQEAAA8AAAAAAAAAAQAgAAAAIgAAAGRycy9kb3ducmV2Lnht&#10;bFBLAQIUABQAAAAIAIdO4kC0RhW2+wEAAMkDAAAOAAAAAAAAAAEAIAAAACUBAABkcnMvZTJvRG9j&#10;LnhtbFBLBQYAAAAABgAGAFkBAACSBQAAAAA=&#10;">
            <v:path arrowok="t"/>
            <v:fill on="f" focussize="0,0"/>
            <v:stroke joinstyle="round"/>
            <v:imagedata o:title=""/>
            <o:lock v:ext="edit" aspectratio="f"/>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rect id="矩形 27" o:spid="_x0000_s1254" o:spt="1" style="position:absolute;left:0pt;margin-left:209.25pt;margin-top:8.55pt;height:19.5pt;width:22.5pt;z-index:251814912;mso-width-relative:page;mso-height-relative:page;" filled="f" stroked="f" coordsize="21600,21600" o:gfxdata="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7kfMdkAAAAJAQAADwAAAAAAAAABACAA&#10;AAAiAAAAZHJzL2Rvd25yZXYueG1sUEsBAhQAFAAAAAgAh07iQIprZlwMAgAACQQAAA4AAAAAAAAA&#10;AQAgAAAAKAEAAGRycy9lMm9Eb2MueG1sUEsFBgAAAAAGAAYAWQEAAKYFAAAAAA==&#10;">
            <v:path/>
            <v:fill on="f" focussize="0,0"/>
            <v:stroke on="f"/>
            <v:imagedata o:title=""/>
            <o:lock v:ext="edit" aspectratio="f"/>
            <v:textbox>
              <w:txbxContent>
                <w:p>
                  <w:r>
                    <w:rPr>
                      <w:rFonts w:hint="eastAsia"/>
                    </w:rPr>
                    <w:t>Y</w:t>
                  </w:r>
                </w:p>
              </w:txbxContent>
            </v:textbox>
          </v:rect>
        </w:pict>
      </w:r>
      <w:r>
        <w:rPr>
          <w:rFonts w:hint="eastAsia" w:ascii="仿宋" w:hAnsi="仿宋" w:eastAsia="仿宋" w:cs="仿宋"/>
          <w:b/>
          <w:color w:val="000000"/>
          <w:sz w:val="24"/>
        </w:rPr>
        <w:pict>
          <v:shape id="直接箭头连接符 26" o:spid="_x0000_s1255" o:spt="32" type="#_x0000_t32" style="position:absolute;left:0pt;margin-left:204.75pt;margin-top:10.05pt;height:21pt;width:0pt;z-index:251805696;mso-width-relative:page;mso-height-relative:page;" filled="f" stroked="t" coordsize="21600,21600" o:gfxdata="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c+v/x2AAAAAkBAAAPAAAAAAAAAAEA&#10;IAAAACIAAABkcnMvZG93bnJldi54bWxQSwECFAAUAAAACACHTuJAlh4/nA8CAADtAwAADgAAAAAA&#10;AAABACAAAAAnAQAAZHJzL2Uyb0RvYy54bWxQSwUGAAAAAAYABgBZAQAAqAUAAAAA&#10;">
            <v:path arrowok="t"/>
            <v:fill on="f" focussize="0,0"/>
            <v:stroke joinstyle="round" endarrow="block"/>
            <v:imagedata o:title=""/>
            <o:lock v:ext="edit" aspectratio="f"/>
          </v:shape>
        </w:pict>
      </w:r>
    </w:p>
    <w:p>
      <w:pPr>
        <w:pageBreakBefore w:val="0"/>
        <w:topLinePunct w:val="0"/>
        <w:bidi w:val="0"/>
        <w:outlineLvl w:val="9"/>
        <w:rPr>
          <w:rFonts w:ascii="仿宋" w:hAnsi="仿宋" w:eastAsia="仿宋" w:cs="仿宋"/>
          <w:b/>
          <w:color w:val="000000"/>
          <w:sz w:val="24"/>
        </w:rPr>
      </w:pP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流程图: 可选过程 25" o:spid="_x0000_s1256" o:spt="176" type="#_x0000_t176" style="position:absolute;left:0pt;margin-left:149.25pt;margin-top:-0.15pt;height:27pt;width:109.85pt;z-index:251830272;mso-width-relative:page;mso-height-relative:page;" fillcolor="#FFFFFF" filled="t" stroked="t" coordsize="21600,21600" o:gfxdata="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g&#10;YNnA2AAAAAgBAAAPAAAAAAAAAAEAIAAAACIAAABkcnMvZG93bnJldi54bWxQSwECFAAUAAAACACH&#10;TuJAleYXbF0CAACiBAAADgAAAAAAAAABACAAAAAnAQAAZHJzL2Uyb0RvYy54bWxQSwUGAAAAAAYA&#10;BgBZAQAA9gUAAAAA&#10;">
            <v:path/>
            <v:fill on="t" focussize="0,0"/>
            <v:stroke joinstyle="miter"/>
            <v:imagedata o:title=""/>
            <o:lock v:ext="edit" aspectratio="f"/>
            <v:textbox>
              <w:txbxContent>
                <w:p>
                  <w:pPr>
                    <w:jc w:val="center"/>
                    <w:rPr>
                      <w:sz w:val="18"/>
                      <w:szCs w:val="18"/>
                    </w:rPr>
                  </w:pPr>
                  <w:r>
                    <w:rPr>
                      <w:rFonts w:hint="eastAsia"/>
                      <w:sz w:val="18"/>
                      <w:szCs w:val="18"/>
                    </w:rPr>
                    <w:t>申报人按规定编写教材</w:t>
                  </w:r>
                </w:p>
              </w:txbxContent>
            </v:textbox>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直接箭头连接符 24" o:spid="_x0000_s1257" o:spt="32" type="#_x0000_t32" style="position:absolute;left:0pt;margin-left:204.75pt;margin-top:10.5pt;height:14.25pt;width:0pt;z-index:251829248;mso-width-relative:page;mso-height-relative:page;" filled="f" stroked="t" coordsize="21600,21600" o:gfxdata="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a6h29cAAAAJAQAADwAAAAAAAAABACAA&#10;AAAiAAAAZHJzL2Rvd25yZXYueG1sUEsBAhQAFAAAAAgAh07iQP+uvN0OAgAA7QMAAA4AAAAAAAAA&#10;AQAgAAAAJgEAAGRycy9lMm9Eb2MueG1sUEsFBgAAAAAGAAYAWQEAAKYFAAAAAA==&#10;">
            <v:path arrowok="t"/>
            <v:fill on="f" focussize="0,0"/>
            <v:stroke joinstyle="round" endarrow="block"/>
            <v:imagedata o:title=""/>
            <o:lock v:ext="edit" aspectratio="f"/>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流程图: 过程 23" o:spid="_x0000_s1258" o:spt="109" type="#_x0000_t109" style="position:absolute;left:0pt;margin-left:149.25pt;margin-top:9.15pt;height:29.25pt;width:116.7pt;z-index:251816960;mso-width-relative:page;mso-height-relative:page;" fillcolor="#FFFFFF" filled="t" stroked="t" coordsize="21600,21600" o:gfxdata="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vvLeNkAAAAJAQAA&#10;DwAAAAAAAAABACAAAAAiAAAAZHJzL2Rvd25yZXYueG1sUEsBAhQAFAAAAAgAh07iQPDzG4FRAgAA&#10;kwQAAA4AAAAAAAAAAQAgAAAAKAEAAGRycy9lMm9Eb2MueG1sUEsFBgAAAAAGAAYAWQEAAOsFAAAA&#10;AA==&#10;">
            <v:path/>
            <v:fill on="t" focussize="0,0"/>
            <v:stroke joinstyle="miter"/>
            <v:imagedata o:title=""/>
            <o:lock v:ext="edit" aspectratio="f"/>
            <v:textbox>
              <w:txbxContent>
                <w:p>
                  <w:pPr>
                    <w:jc w:val="center"/>
                    <w:rPr>
                      <w:sz w:val="18"/>
                      <w:szCs w:val="18"/>
                    </w:rPr>
                  </w:pPr>
                  <w:r>
                    <w:rPr>
                      <w:rFonts w:hint="eastAsia"/>
                      <w:sz w:val="18"/>
                      <w:szCs w:val="18"/>
                    </w:rPr>
                    <w:t>教材分委会审核</w:t>
                  </w:r>
                </w:p>
              </w:txbxContent>
            </v:textbox>
          </v:shape>
        </w:pict>
      </w:r>
    </w:p>
    <w:p>
      <w:pPr>
        <w:pageBreakBefore w:val="0"/>
        <w:topLinePunct w:val="0"/>
        <w:bidi w:val="0"/>
        <w:outlineLvl w:val="9"/>
        <w:rPr>
          <w:rFonts w:ascii="仿宋" w:hAnsi="仿宋" w:eastAsia="仿宋" w:cs="仿宋"/>
          <w:b/>
          <w:color w:val="000000"/>
          <w:sz w:val="24"/>
        </w:rPr>
      </w:pP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直接箭头连接符 20" o:spid="_x0000_s1259" o:spt="32" type="#_x0000_t32" style="position:absolute;left:0pt;margin-left:205.5pt;margin-top:7.2pt;height:17.25pt;width:0.05pt;z-index:251819008;mso-width-relative:page;mso-height-relative:page;" filled="f" stroked="t" coordsize="21600,21600" o:gfxdata="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fVWivYAAAACQEAAA8AAAAAAAAA&#10;AQAgAAAAIgAAAGRycy9kb3ducmV2LnhtbFBLAQIUABQAAAAIAIdO4kDIgk0xEQIAAO8DAAAOAAAA&#10;AAAAAAEAIAAAACcBAABkcnMvZTJvRG9jLnhtbFBLBQYAAAAABgAGAFkBAACqBQAAAAA=&#10;">
            <v:path arrowok="t"/>
            <v:fill on="f" focussize="0,0"/>
            <v:stroke joinstyle="round" endarrow="block"/>
            <v:imagedata o:title=""/>
            <o:lock v:ext="edit" aspectratio="f"/>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rect id="矩形 19" o:spid="_x0000_s1260" o:spt="1" style="position:absolute;left:0pt;margin-left:253.45pt;margin-top:7.35pt;height:19.5pt;width:18.75pt;z-index:251817984;mso-width-relative:page;mso-height-relative:page;" filled="f" stroked="f" coordsize="21600,21600" o:gfxdata="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wtS09oAAAAJAQAADwAAAAAAAAAB&#10;ACAAAAAiAAAAZHJzL2Rvd25yZXYueG1sUEsBAhQAFAAAAAgAh07iQI3s7XoOAgAACQQAAA4AAAAA&#10;AAAAAQAgAAAAKQEAAGRycy9lMm9Eb2MueG1sUEsFBgAAAAAGAAYAWQEAAKkFAAAAAA==&#10;">
            <v:path/>
            <v:fill on="f" focussize="0,0"/>
            <v:stroke on="f"/>
            <v:imagedata o:title=""/>
            <o:lock v:ext="edit" aspectratio="f"/>
            <v:textbox>
              <w:txbxContent>
                <w:p>
                  <w:r>
                    <w:rPr>
                      <w:rFonts w:hint="eastAsia"/>
                    </w:rPr>
                    <w:t>N</w:t>
                  </w:r>
                </w:p>
              </w:txbxContent>
            </v:textbox>
          </v:rect>
        </w:pict>
      </w:r>
      <w:r>
        <w:rPr>
          <w:rFonts w:hint="eastAsia" w:ascii="仿宋" w:hAnsi="仿宋" w:eastAsia="仿宋" w:cs="仿宋"/>
          <w:b/>
          <w:color w:val="000000"/>
          <w:sz w:val="24"/>
        </w:rPr>
        <w:pict>
          <v:shape id="流程图: 决策 18" o:spid="_x0000_s1261" o:spt="110" type="#_x0000_t110" style="position:absolute;left:0pt;margin-left:156.7pt;margin-top:7pt;height:41.6pt;width:96.75pt;z-index:251823104;mso-width-relative:page;mso-height-relative:page;" fillcolor="#FFFFFF" filled="t" stroked="t" coordsize="21600,21600" o:gfxdata="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dwIzfZAAAACQEA&#10;AA8AAAAAAAAAAQAgAAAAIgAAAGRycy9kb3ducmV2LnhtbFBLAQIUABQAAAAIAIdO4kCh1w8XUgIA&#10;AJQEAAAOAAAAAAAAAAEAIAAAACgBAABkcnMvZTJvRG9jLnhtbFBLBQYAAAAABgAGAFkBAADsBQAA&#10;AAA=&#10;">
            <v:path/>
            <v:fill on="t" focussize="0,0"/>
            <v:stroke joinstyle="miter"/>
            <v:imagedata o:title=""/>
            <o:lock v:ext="edit" aspectratio="f"/>
            <v:textbox>
              <w:txbxContent>
                <w:p>
                  <w:pPr>
                    <w:jc w:val="center"/>
                    <w:rPr>
                      <w:sz w:val="18"/>
                      <w:szCs w:val="18"/>
                    </w:rPr>
                  </w:pPr>
                  <w:r>
                    <w:rPr>
                      <w:rFonts w:hint="eastAsia"/>
                      <w:sz w:val="18"/>
                      <w:szCs w:val="18"/>
                    </w:rPr>
                    <w:t>通过</w:t>
                  </w:r>
                </w:p>
              </w:txbxContent>
            </v:textbox>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直接箭头连接符 17" o:spid="_x0000_s1262" o:spt="32" type="#_x0000_t32" style="position:absolute;left:0pt;flip:x;margin-left:252pt;margin-top:12.15pt;height:0pt;width:44.2pt;z-index:251827200;mso-width-relative:page;mso-height-relative:page;" filled="f" stroked="t" coordsize="21600,21600" o:gfxdata="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5dVa71wAAAAkBAAAPAAAAAAAAAAEAIAAAACIAAABkcnMvZG93bnJldi54&#10;bWxQSwECFAAUAAAACACHTuJAW37w//sBAADJAwAADgAAAAAAAAABACAAAAAmAQAAZHJzL2Uyb0Rv&#10;Yy54bWxQSwUGAAAAAAYABgBZAQAAkwUAAAAA&#10;">
            <v:path arrowok="t"/>
            <v:fill on="f" focussize="0,0"/>
            <v:stroke joinstyle="round"/>
            <v:imagedata o:title=""/>
            <o:lock v:ext="edit" aspectratio="f"/>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rect id="矩形 16" o:spid="_x0000_s1263" o:spt="1" style="position:absolute;left:0pt;margin-left:211.05pt;margin-top:13.05pt;height:19.5pt;width:19.5pt;z-index:251828224;mso-width-relative:page;mso-height-relative:page;" filled="f" stroked="f" coordsize="21600,21600" o:gfxdata="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utvi2QAAAAkBAAAPAAAAAAAAAAEAIAAAACIA&#10;AABkcnMvZG93bnJldi54bWxQSwECFAAUAAAACACHTuJAsp4LuQgCAAAJBAAADgAAAAAAAAABACAA&#10;AAAoAQAAZHJzL2Uyb0RvYy54bWxQSwUGAAAAAAYABgBZAQAAogUAAAAA&#10;">
            <v:path/>
            <v:fill on="f" focussize="0,0"/>
            <v:stroke on="f"/>
            <v:imagedata o:title=""/>
            <o:lock v:ext="edit" aspectratio="f"/>
            <v:textbox>
              <w:txbxContent>
                <w:p>
                  <w:r>
                    <w:rPr>
                      <w:rFonts w:hint="eastAsia"/>
                    </w:rPr>
                    <w:t>Y</w:t>
                  </w:r>
                </w:p>
              </w:txbxContent>
            </v:textbox>
          </v:rect>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直接箭头连接符 15" o:spid="_x0000_s1264" o:spt="32" type="#_x0000_t32" style="position:absolute;left:0pt;margin-left:205.5pt;margin-top:1.05pt;height:16.9pt;width:0.05pt;z-index:251820032;mso-width-relative:page;mso-height-relative:page;" filled="f" stroked="t" coordsize="21600,21600" o:gfxdata="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7yOotgAAAAIAQAADwAAAAAA&#10;AAABACAAAAAiAAAAZHJzL2Rvd25yZXYueG1sUEsBAhQAFAAAAAgAh07iQOa8xKoTAgAA7wMAAA4A&#10;AAAAAAAAAQAgAAAAJwEAAGRycy9lMm9Eb2MueG1sUEsFBgAAAAAGAAYAWQEAAKwFAAAAAA==&#10;">
            <v:path arrowok="t"/>
            <v:fill on="f" focussize="0,0"/>
            <v:stroke joinstyle="round" endarrow="block"/>
            <v:imagedata o:title=""/>
            <o:lock v:ext="edit" aspectratio="f"/>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流程图: 过程 7" o:spid="_x0000_s1265" o:spt="109" type="#_x0000_t109" style="position:absolute;left:0pt;margin-left:142.25pt;margin-top:3.35pt;height:36.85pt;width:132.4pt;z-index:251831296;mso-width-relative:page;mso-height-relative:page;" fillcolor="#FFFFFF" filled="t" stroked="t" coordsize="21600,21600" o:gfxdata="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J4vltgAAAAIAQAADwAA&#10;AAAAAAABACAAAAAiAAAAZHJzL2Rvd25yZXYueG1sUEsBAhQAFAAAAAgAh07iQIrOPn5PAgAAkQQA&#10;AA4AAAAAAAAAAQAgAAAAJwEAAGRycy9lMm9Eb2MueG1sUEsFBgAAAAAGAAYAWQEAAOgFAAAAAA==&#10;">
            <v:path/>
            <v:fill on="t" focussize="0,0"/>
            <v:stroke joinstyle="miter"/>
            <v:imagedata o:title=""/>
            <o:lock v:ext="edit" aspectratio="f"/>
            <v:textbox>
              <w:txbxContent>
                <w:p>
                  <w:pPr>
                    <w:jc w:val="center"/>
                    <w:rPr>
                      <w:sz w:val="18"/>
                      <w:szCs w:val="18"/>
                    </w:rPr>
                  </w:pPr>
                  <w:r>
                    <w:rPr>
                      <w:rFonts w:hint="eastAsia"/>
                      <w:sz w:val="18"/>
                      <w:szCs w:val="18"/>
                    </w:rPr>
                    <w:t>教材委员会审核、备案</w:t>
                  </w:r>
                </w:p>
              </w:txbxContent>
            </v:textbox>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直接箭头连接符 8" o:spid="_x0000_s1266" o:spt="32" type="#_x0000_t32" style="position:absolute;left:0pt;margin-left:204.3pt;margin-top:10.4pt;height:18.2pt;width:0.05pt;z-index:251832320;mso-width-relative:page;mso-height-relative:page;" filled="f" stroked="t" coordsize="21600,21600" o:gfxdata="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Cu5tkAAAAJAQAADwAAAAAA&#10;AAABACAAAAAiAAAAZHJzL2Rvd25yZXYueG1sUEsBAhQAFAAAAAgAh07iQGCB3eESAgAA7QMAAA4A&#10;AAAAAAAAAQAgAAAAKAEAAGRycy9lMm9Eb2MueG1sUEsFBgAAAAAGAAYAWQEAAKwFAAAAAA==&#10;">
            <v:path arrowok="t"/>
            <v:fill on="f" focussize="0,0"/>
            <v:stroke joinstyle="round" endarrow="block"/>
            <v:imagedata o:title=""/>
            <o:lock v:ext="edit" aspectratio="f"/>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流程图: 过程 9" o:spid="_x0000_s1267" o:spt="109" type="#_x0000_t109" style="position:absolute;left:0pt;margin-left:151.05pt;margin-top:11.95pt;height:26.25pt;width:108pt;z-index:251824128;mso-width-relative:page;mso-height-relative:page;" fillcolor="#FFFFFF" filled="t" stroked="t" coordsize="21600,21600" o:gfxdata="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LCPrNkAAAAJAQAADwAA&#10;AAAAAAABACAAAAAiAAAAZHJzL2Rvd25yZXYueG1sUEsBAhQAFAAAAAgAh07iQDO8FDlOAgAAkQQA&#10;AA4AAAAAAAAAAQAgAAAAKAEAAGRycy9lMm9Eb2MueG1sUEsFBgAAAAAGAAYAWQEAAOgFAAAAAA==&#10;">
            <v:path/>
            <v:fill on="t" focussize="0,0"/>
            <v:stroke joinstyle="miter"/>
            <v:imagedata o:title=""/>
            <o:lock v:ext="edit" aspectratio="f"/>
            <v:textbox>
              <w:txbxContent>
                <w:p>
                  <w:pPr>
                    <w:jc w:val="center"/>
                    <w:rPr>
                      <w:sz w:val="18"/>
                      <w:szCs w:val="18"/>
                    </w:rPr>
                  </w:pPr>
                  <w:r>
                    <w:rPr>
                      <w:rFonts w:hint="eastAsia"/>
                      <w:sz w:val="18"/>
                      <w:szCs w:val="18"/>
                    </w:rPr>
                    <w:t>填写《校本教材印制单》</w:t>
                  </w:r>
                </w:p>
              </w:txbxContent>
            </v:textbox>
          </v:shape>
        </w:pict>
      </w:r>
    </w:p>
    <w:p>
      <w:pPr>
        <w:pageBreakBefore w:val="0"/>
        <w:topLinePunct w:val="0"/>
        <w:bidi w:val="0"/>
        <w:outlineLvl w:val="9"/>
        <w:rPr>
          <w:rFonts w:ascii="仿宋" w:hAnsi="仿宋" w:eastAsia="仿宋" w:cs="仿宋"/>
          <w:b/>
          <w:color w:val="000000"/>
          <w:sz w:val="24"/>
        </w:rPr>
      </w:pP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直接箭头连接符 10" o:spid="_x0000_s1268" o:spt="32" type="#_x0000_t32" style="position:absolute;left:0pt;margin-left:205.5pt;margin-top:2.8pt;height:21pt;width:0pt;z-index:251821056;mso-width-relative:page;mso-height-relative:page;" filled="f" stroked="t" coordsize="21600,21600" o:gfxdata="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2izZE1gAAAAgBAAAPAAAAAAAAAAEAIAAA&#10;ACIAAABkcnMvZG93bnJldi54bWxQSwECFAAUAAAACACHTuJA7Dj4VQ4CAADtAwAADgAAAAAAAAAB&#10;ACAAAAAlAQAAZHJzL2Uyb0RvYy54bWxQSwUGAAAAAAYABgBZAQAApQUAAAAA&#10;">
            <v:path arrowok="t"/>
            <v:fill on="f" focussize="0,0"/>
            <v:stroke joinstyle="round" endarrow="block"/>
            <v:imagedata o:title=""/>
            <o:lock v:ext="edit" aspectratio="f"/>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流程图: 过程 11" o:spid="_x0000_s1269" o:spt="109" type="#_x0000_t109" style="position:absolute;left:0pt;margin-left:151.05pt;margin-top:8.2pt;height:23.25pt;width:108pt;z-index:251825152;mso-width-relative:page;mso-height-relative:page;" fillcolor="#FFFFFF" filled="t" stroked="t" coordsize="21600,21600" o:gfxdata="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nNFg02AAAAAkBAAAPAAAA&#10;AAAAAAEAIAAAACIAAABkcnMvZG93bnJldi54bWxQSwECFAAUAAAACACHTuJArR6VkE4CAACTBAAA&#10;DgAAAAAAAAABACAAAAAnAQAAZHJzL2Uyb0RvYy54bWxQSwUGAAAAAAYABgBZAQAA5wUAAAAA&#10;">
            <v:path/>
            <v:fill on="t" focussize="0,0"/>
            <v:stroke joinstyle="miter"/>
            <v:imagedata o:title=""/>
            <o:lock v:ext="edit" aspectratio="f"/>
            <v:textbox>
              <w:txbxContent>
                <w:p>
                  <w:pPr>
                    <w:jc w:val="center"/>
                    <w:rPr>
                      <w:sz w:val="18"/>
                      <w:szCs w:val="18"/>
                    </w:rPr>
                  </w:pPr>
                  <w:r>
                    <w:rPr>
                      <w:rFonts w:hint="eastAsia"/>
                      <w:sz w:val="18"/>
                      <w:szCs w:val="18"/>
                    </w:rPr>
                    <w:t>校本教材印制</w:t>
                  </w:r>
                </w:p>
              </w:txbxContent>
            </v:textbox>
          </v:shape>
        </w:pict>
      </w: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直接箭头连接符 12" o:spid="_x0000_s1270" o:spt="32" type="#_x0000_t32" style="position:absolute;left:0pt;margin-left:206.25pt;margin-top:13.6pt;height:21pt;width:0pt;z-index:251822080;mso-width-relative:page;mso-height-relative:page;" filled="f" stroked="t" coordsize="21600,21600" o:gfxdata="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md5sA2AAAAAkBAAAPAAAAAAAAAAEA&#10;IAAAACIAAABkcnMvZG93bnJldi54bWxQSwECFAAUAAAACACHTuJAH6pBtg8CAADtAwAADgAAAAAA&#10;AAABACAAAAAnAQAAZHJzL2Uyb0RvYy54bWxQSwUGAAAAAAYABgBZAQAAqAUAAAAA&#10;">
            <v:path arrowok="t"/>
            <v:fill on="f" focussize="0,0"/>
            <v:stroke joinstyle="round" endarrow="block"/>
            <v:imagedata o:title=""/>
            <o:lock v:ext="edit" aspectratio="f"/>
          </v:shape>
        </w:pict>
      </w:r>
    </w:p>
    <w:p>
      <w:pPr>
        <w:pageBreakBefore w:val="0"/>
        <w:topLinePunct w:val="0"/>
        <w:bidi w:val="0"/>
        <w:outlineLvl w:val="9"/>
        <w:rPr>
          <w:rFonts w:ascii="仿宋" w:hAnsi="仿宋" w:eastAsia="仿宋" w:cs="仿宋"/>
          <w:b/>
          <w:color w:val="000000"/>
          <w:sz w:val="24"/>
        </w:rPr>
      </w:pPr>
    </w:p>
    <w:p>
      <w:pPr>
        <w:pageBreakBefore w:val="0"/>
        <w:topLinePunct w:val="0"/>
        <w:bidi w:val="0"/>
        <w:outlineLvl w:val="9"/>
        <w:rPr>
          <w:rFonts w:ascii="仿宋" w:hAnsi="仿宋" w:eastAsia="仿宋" w:cs="仿宋"/>
          <w:b/>
          <w:color w:val="000000"/>
          <w:sz w:val="24"/>
        </w:rPr>
      </w:pPr>
      <w:r>
        <w:rPr>
          <w:rFonts w:hint="eastAsia" w:ascii="仿宋" w:hAnsi="仿宋" w:eastAsia="仿宋" w:cs="仿宋"/>
          <w:b/>
          <w:color w:val="000000"/>
          <w:sz w:val="24"/>
        </w:rPr>
        <w:pict>
          <v:shape id="流程图: 终止 13" o:spid="_x0000_s1271" o:spt="116" type="#_x0000_t116" style="position:absolute;left:0pt;margin-left:149.25pt;margin-top:4.15pt;height:29.4pt;width:112.1pt;z-index:251826176;mso-width-relative:page;mso-height-relative:page;" fillcolor="#FFFFFF" filled="t" stroked="t" coordsize="21600,21600" o:gfxdata="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1tQZAdkA&#10;AAAIAQAADwAAAAAAAAABACAAAAAiAAAAZHJzL2Rvd25yZXYueG1sUEsBAhQAFAAAAAgAh07iQJT0&#10;y2hXAgAAlgQAAA4AAAAAAAAAAQAgAAAAKAEAAGRycy9lMm9Eb2MueG1sUEsFBgAAAAAGAAYAWQEA&#10;APEFAAAAAA==&#10;">
            <v:path/>
            <v:fill on="t" focussize="0,0"/>
            <v:stroke joinstyle="miter"/>
            <v:imagedata o:title=""/>
            <o:lock v:ext="edit" aspectratio="f"/>
            <v:textbox>
              <w:txbxContent>
                <w:p>
                  <w:pPr>
                    <w:jc w:val="center"/>
                  </w:pPr>
                  <w:r>
                    <w:rPr>
                      <w:rFonts w:hint="eastAsia"/>
                      <w:sz w:val="18"/>
                      <w:szCs w:val="18"/>
                    </w:rPr>
                    <w:t>校本教材下发使用</w:t>
                  </w:r>
                </w:p>
              </w:txbxContent>
            </v:textbox>
          </v:shape>
        </w:pict>
      </w:r>
    </w:p>
    <w:p>
      <w:pPr>
        <w:pageBreakBefore w:val="0"/>
        <w:topLinePunct w:val="0"/>
        <w:bidi w:val="0"/>
        <w:outlineLvl w:val="9"/>
        <w:rPr>
          <w:rFonts w:ascii="仿宋" w:hAnsi="仿宋" w:eastAsia="仿宋" w:cs="仿宋"/>
          <w:b/>
          <w:color w:val="000000"/>
          <w:sz w:val="24"/>
        </w:rPr>
      </w:pPr>
    </w:p>
    <w:p>
      <w:pPr>
        <w:pageBreakBefore w:val="0"/>
        <w:topLinePunct w:val="0"/>
        <w:bidi w:val="0"/>
        <w:outlineLvl w:val="9"/>
        <w:rPr>
          <w:rFonts w:ascii="仿宋" w:hAnsi="仿宋" w:eastAsia="仿宋" w:cs="仿宋"/>
          <w:b/>
          <w:color w:val="000000"/>
          <w:sz w:val="24"/>
        </w:rPr>
      </w:pPr>
    </w:p>
    <w:p>
      <w:pPr>
        <w:pageBreakBefore w:val="0"/>
        <w:topLinePunct w:val="0"/>
        <w:bidi w:val="0"/>
        <w:outlineLvl w:val="9"/>
        <w:rPr>
          <w:rFonts w:ascii="仿宋" w:hAnsi="仿宋" w:eastAsia="仿宋" w:cs="仿宋"/>
          <w:b/>
          <w:color w:val="000000"/>
          <w:sz w:val="24"/>
        </w:rPr>
      </w:pPr>
    </w:p>
    <w:p>
      <w:pPr>
        <w:pageBreakBefore w:val="0"/>
        <w:topLinePunct w:val="0"/>
        <w:bidi w:val="0"/>
        <w:outlineLvl w:val="9"/>
        <w:rPr>
          <w:rFonts w:ascii="仿宋" w:hAnsi="仿宋" w:eastAsia="仿宋" w:cs="仿宋"/>
          <w:b/>
          <w:color w:val="000000"/>
          <w:sz w:val="24"/>
        </w:rPr>
      </w:pPr>
    </w:p>
    <w:p>
      <w:pPr>
        <w:pageBreakBefore w:val="0"/>
        <w:topLinePunct w:val="0"/>
        <w:bidi w:val="0"/>
        <w:outlineLvl w:val="9"/>
        <w:rPr>
          <w:rFonts w:ascii="仿宋" w:hAnsi="仿宋" w:eastAsia="仿宋" w:cs="仿宋"/>
          <w:b/>
          <w:color w:val="000000"/>
          <w:sz w:val="24"/>
        </w:rPr>
      </w:pPr>
    </w:p>
    <w:p>
      <w:pPr>
        <w:pageBreakBefore w:val="0"/>
        <w:topLinePunct w:val="0"/>
        <w:bidi w:val="0"/>
        <w:outlineLvl w:val="9"/>
        <w:rPr>
          <w:rFonts w:ascii="仿宋" w:hAnsi="仿宋" w:eastAsia="仿宋" w:cs="仿宋"/>
          <w:color w:val="000000"/>
        </w:rPr>
      </w:pPr>
      <w:r>
        <w:rPr>
          <w:rFonts w:hint="eastAsia" w:ascii="仿宋" w:hAnsi="仿宋" w:eastAsia="仿宋" w:cs="仿宋"/>
          <w:color w:val="000000"/>
        </w:rPr>
        <w:t>注：校本教材经以上流程申报、备案，且印发学生使用一学期后，可作为学校教学科研申报。</w:t>
      </w:r>
    </w:p>
    <w:p>
      <w:pPr>
        <w:pageBreakBefore w:val="0"/>
        <w:topLinePunct w:val="0"/>
        <w:bidi w:val="0"/>
        <w:outlineLvl w:val="9"/>
        <w:rPr>
          <w:rFonts w:ascii="仿宋" w:hAnsi="仿宋" w:eastAsia="仿宋" w:cs="仿宋"/>
          <w:color w:val="000000"/>
        </w:rPr>
      </w:pPr>
    </w:p>
    <w:p>
      <w:pPr>
        <w:pageBreakBefore w:val="0"/>
        <w:topLinePunct w:val="0"/>
        <w:bidi w:val="0"/>
        <w:outlineLvl w:val="9"/>
        <w:rPr>
          <w:rFonts w:ascii="仿宋" w:hAnsi="仿宋" w:eastAsia="仿宋" w:cs="仿宋"/>
          <w:color w:val="000000"/>
        </w:rPr>
      </w:pPr>
    </w:p>
    <w:p>
      <w:pPr>
        <w:pageBreakBefore w:val="0"/>
        <w:topLinePunct w:val="0"/>
        <w:bidi w:val="0"/>
        <w:outlineLvl w:val="9"/>
        <w:rPr>
          <w:rFonts w:ascii="仿宋" w:hAnsi="仿宋" w:eastAsia="仿宋" w:cs="仿宋"/>
          <w:color w:val="000000"/>
        </w:rPr>
      </w:pPr>
    </w:p>
    <w:p>
      <w:pPr>
        <w:pageBreakBefore w:val="0"/>
        <w:topLinePunct w:val="0"/>
        <w:bidi w:val="0"/>
        <w:outlineLvl w:val="9"/>
        <w:rPr>
          <w:rFonts w:ascii="仿宋" w:hAnsi="仿宋" w:eastAsia="仿宋" w:cs="仿宋"/>
          <w:color w:val="000000"/>
        </w:rPr>
      </w:pPr>
    </w:p>
    <w:p>
      <w:pPr>
        <w:pageBreakBefore w:val="0"/>
        <w:topLinePunct w:val="0"/>
        <w:bidi w:val="0"/>
        <w:outlineLvl w:val="9"/>
        <w:rPr>
          <w:rFonts w:ascii="仿宋" w:hAnsi="仿宋" w:eastAsia="仿宋" w:cs="仿宋"/>
          <w:color w:val="000000"/>
        </w:rPr>
      </w:pPr>
    </w:p>
    <w:p>
      <w:pPr>
        <w:pageBreakBefore w:val="0"/>
        <w:topLinePunct w:val="0"/>
        <w:bidi w:val="0"/>
        <w:outlineLvl w:val="9"/>
        <w:rPr>
          <w:rFonts w:ascii="仿宋" w:hAnsi="仿宋" w:eastAsia="仿宋" w:cs="仿宋"/>
          <w:color w:val="000000"/>
        </w:rPr>
      </w:pPr>
    </w:p>
    <w:p>
      <w:pPr>
        <w:pageBreakBefore w:val="0"/>
        <w:topLinePunct w:val="0"/>
        <w:bidi w:val="0"/>
        <w:spacing w:line="20" w:lineRule="exact"/>
        <w:outlineLvl w:val="9"/>
        <w:rPr>
          <w:rFonts w:eastAsia="仿宋_GB2312"/>
          <w:sz w:val="32"/>
          <w:szCs w:val="32"/>
        </w:rPr>
      </w:pPr>
      <w:bookmarkStart w:id="332" w:name="_Hlk54946975"/>
    </w:p>
    <w:bookmarkEnd w:id="332"/>
    <w:p>
      <w:pPr>
        <w:pageBreakBefore w:val="0"/>
        <w:topLinePunct w:val="0"/>
        <w:bidi w:val="0"/>
        <w:outlineLvl w:val="9"/>
        <w:rPr>
          <w:rFonts w:hint="eastAsia" w:ascii="仿宋" w:hAnsi="仿宋" w:eastAsia="仿宋_GB2312" w:cs="仿宋"/>
          <w:color w:val="000000"/>
        </w:rPr>
      </w:pPr>
      <w:r>
        <w:rPr>
          <w:rFonts w:hint="eastAsia" w:ascii="仿宋" w:hAnsi="仿宋" w:eastAsia="仿宋_GB2312" w:cs="仿宋"/>
          <w:color w:val="000000"/>
        </w:rPr>
        <w:br w:type="page"/>
      </w:r>
    </w:p>
    <w:p>
      <w:pPr>
        <w:pageBreakBefore w:val="0"/>
        <w:topLinePunct w:val="0"/>
        <w:bidi w:val="0"/>
        <w:spacing w:line="360" w:lineRule="auto"/>
        <w:jc w:val="center"/>
        <w:outlineLvl w:val="9"/>
        <w:rPr>
          <w:rFonts w:ascii="华文中宋" w:hAnsi="华文中宋" w:eastAsia="华文中宋" w:cs="黑体"/>
          <w:b/>
          <w:sz w:val="36"/>
          <w:szCs w:val="36"/>
        </w:rPr>
      </w:pPr>
    </w:p>
    <w:p>
      <w:pPr>
        <w:pageBreakBefore w:val="0"/>
        <w:topLinePunct w:val="0"/>
        <w:bidi w:val="0"/>
        <w:spacing w:line="360" w:lineRule="auto"/>
        <w:jc w:val="center"/>
        <w:outlineLvl w:val="9"/>
        <w:rPr>
          <w:rFonts w:ascii="华文中宋" w:hAnsi="华文中宋" w:eastAsia="华文中宋" w:cs="黑体"/>
          <w:b/>
          <w:sz w:val="36"/>
          <w:szCs w:val="3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jc w:val="center"/>
        <w:outlineLvl w:val="9"/>
        <w:rPr>
          <w:rFonts w:ascii="Times New Roman" w:hAnsi="Times New Roman"/>
          <w:sz w:val="24"/>
        </w:rPr>
      </w:pPr>
    </w:p>
    <w:p>
      <w:pPr>
        <w:pageBreakBefore w:val="0"/>
        <w:topLinePunct w:val="0"/>
        <w:bidi w:val="0"/>
        <w:jc w:val="center"/>
        <w:outlineLvl w:val="9"/>
        <w:rPr>
          <w:rFonts w:ascii="Times New Roman" w:hAnsi="Times New Roman"/>
          <w:sz w:val="24"/>
        </w:rPr>
      </w:pPr>
    </w:p>
    <w:p>
      <w:pPr>
        <w:pageBreakBefore w:val="0"/>
        <w:topLinePunct w:val="0"/>
        <w:bidi w:val="0"/>
        <w:jc w:val="center"/>
        <w:outlineLvl w:val="9"/>
        <w:rPr>
          <w:rFonts w:ascii="Times New Roman" w:hAnsi="Times New Roman" w:eastAsia="仿宋_GB2312"/>
          <w:sz w:val="32"/>
          <w:szCs w:val="32"/>
        </w:rPr>
      </w:pPr>
      <w:r>
        <w:rPr>
          <w:rFonts w:hint="eastAsia" w:ascii="Times New Roman" w:hAnsi="Times New Roman" w:eastAsia="仿宋_GB2312"/>
          <w:sz w:val="32"/>
          <w:szCs w:val="32"/>
        </w:rPr>
        <w:t>沪电信职院〔2020〕131号</w:t>
      </w:r>
    </w:p>
    <w:p>
      <w:pPr>
        <w:pageBreakBefore w:val="0"/>
        <w:topLinePunct w:val="0"/>
        <w:bidi w:val="0"/>
        <w:jc w:val="center"/>
        <w:outlineLvl w:val="9"/>
        <w:rPr>
          <w:rFonts w:hint="default" w:ascii="华文中宋" w:hAnsi="华文中宋" w:eastAsia="华文中宋"/>
          <w:b/>
          <w:kern w:val="0"/>
          <w:sz w:val="36"/>
          <w:szCs w:val="36"/>
          <w:lang w:val="en-US"/>
        </w:rPr>
      </w:pPr>
      <w:r>
        <w:rPr>
          <w:rFonts w:ascii="Times New Roman" w:hAnsi="Times New Roman"/>
          <w:sz w:val="28"/>
        </w:rPr>
        <w:pict>
          <v:line id="_x0000_s1272" o:spid="_x0000_s1272" o:spt="20" style="position:absolute;left:0pt;margin-left:-1.15pt;margin-top:16.5pt;height:0.05pt;width:432.5pt;z-index:251833344;mso-width-relative:page;mso-height-relative:page;" fillcolor="#FFFFFF" filled="t" stroked="t" coordsize="21600,21600">
            <v:path arrowok="t"/>
            <v:fill on="t" focussize="0,0"/>
            <v:stroke weight="2.25pt" color="#FF0000"/>
            <v:imagedata o:title=""/>
            <o:lock v:ext="edit" aspectratio="f"/>
          </v:line>
        </w:pic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sz w:val="36"/>
          <w:szCs w:val="36"/>
        </w:rPr>
      </w:pPr>
      <w:bookmarkStart w:id="333" w:name="_Toc8726"/>
      <w:r>
        <w:rPr>
          <w:rFonts w:hint="eastAsia" w:ascii="黑体" w:hAnsi="黑体" w:eastAsia="黑体" w:cs="黑体"/>
          <w:b/>
          <w:kern w:val="0"/>
          <w:sz w:val="36"/>
          <w:szCs w:val="36"/>
        </w:rPr>
        <w:t>关于印</w:t>
      </w:r>
      <w:r>
        <w:rPr>
          <w:rFonts w:hint="eastAsia" w:ascii="黑体" w:hAnsi="黑体" w:eastAsia="黑体" w:cs="黑体"/>
          <w:b/>
          <w:color w:val="000000"/>
          <w:kern w:val="0"/>
          <w:sz w:val="36"/>
          <w:szCs w:val="36"/>
        </w:rPr>
        <w:t>发《上海电子信息职业技术学院</w:t>
      </w:r>
      <w:r>
        <w:rPr>
          <w:rFonts w:hint="eastAsia" w:ascii="黑体" w:hAnsi="黑体" w:eastAsia="黑体" w:cs="黑体"/>
          <w:b/>
          <w:sz w:val="36"/>
          <w:szCs w:val="36"/>
        </w:rPr>
        <w:t>深入推进课程思政建设的实施意见(试行)</w:t>
      </w:r>
      <w:r>
        <w:rPr>
          <w:rFonts w:hint="eastAsia" w:ascii="黑体" w:hAnsi="黑体" w:eastAsia="黑体" w:cs="黑体"/>
          <w:b/>
          <w:color w:val="000000"/>
          <w:kern w:val="0"/>
          <w:sz w:val="36"/>
          <w:szCs w:val="36"/>
        </w:rPr>
        <w:t>》的通知</w:t>
      </w:r>
      <w:bookmarkEnd w:id="333"/>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360" w:lineRule="auto"/>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现将《上海电子信息职业技术学院深入推进课程思政建设的实施意见(试行)》印发给你们，请结合本部门工作实际，认真研究执行。</w:t>
      </w:r>
    </w:p>
    <w:p>
      <w:pPr>
        <w:pageBreakBefore w:val="0"/>
        <w:tabs>
          <w:tab w:val="left" w:pos="6510"/>
        </w:tabs>
        <w:topLinePunct w:val="0"/>
        <w:bidi w:val="0"/>
        <w:spacing w:line="56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abs>
          <w:tab w:val="left" w:pos="6510"/>
        </w:tabs>
        <w:topLinePunct w:val="0"/>
        <w:bidi w:val="0"/>
        <w:spacing w:line="56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abs>
          <w:tab w:val="left" w:pos="6510"/>
        </w:tabs>
        <w:topLinePunct w:val="0"/>
        <w:bidi w:val="0"/>
        <w:spacing w:line="56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abs>
          <w:tab w:val="left" w:pos="6510"/>
        </w:tabs>
        <w:topLinePunct w:val="0"/>
        <w:bidi w:val="0"/>
        <w:spacing w:line="56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附件：上海电子信息职业技术学院深入推进课程思政建设的实施意见(试行)</w:t>
      </w:r>
    </w:p>
    <w:p>
      <w:pPr>
        <w:pageBreakBefore w:val="0"/>
        <w:topLinePunct w:val="0"/>
        <w:bidi w:val="0"/>
        <w:spacing w:line="560" w:lineRule="exact"/>
        <w:ind w:firstLine="3360" w:firstLineChars="1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firstLine="3360" w:firstLineChars="1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60" w:lineRule="exact"/>
        <w:ind w:firstLine="4200" w:firstLineChars="15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2020年10月29日</w:t>
      </w:r>
    </w:p>
    <w:p>
      <w:pPr>
        <w:pageBreakBefore w:val="0"/>
        <w:topLinePunct w:val="0"/>
        <w:bidi w:val="0"/>
        <w:spacing w:line="360" w:lineRule="auto"/>
        <w:outlineLvl w:val="9"/>
        <w:rPr>
          <w:rFonts w:hint="eastAsia" w:ascii="华文中宋" w:hAnsi="华文中宋" w:eastAsia="华文中宋" w:cs="黑体"/>
          <w:b/>
          <w:sz w:val="36"/>
          <w:szCs w:val="36"/>
        </w:rPr>
      </w:pPr>
    </w:p>
    <w:p>
      <w:pPr>
        <w:pageBreakBefore w:val="0"/>
        <w:topLinePunct w:val="0"/>
        <w:bidi w:val="0"/>
        <w:spacing w:line="360" w:lineRule="auto"/>
        <w:jc w:val="center"/>
        <w:outlineLvl w:val="9"/>
        <w:rPr>
          <w:rFonts w:ascii="华文中宋" w:hAnsi="华文中宋" w:eastAsia="华文中宋" w:cs="黑体"/>
          <w:b/>
          <w:sz w:val="36"/>
          <w:szCs w:val="36"/>
        </w:rPr>
      </w:pPr>
    </w:p>
    <w:p>
      <w:pPr>
        <w:pageBreakBefore w:val="0"/>
        <w:topLinePunct w:val="0"/>
        <w:bidi w:val="0"/>
        <w:spacing w:line="360" w:lineRule="auto"/>
        <w:outlineLvl w:val="9"/>
        <w:rPr>
          <w:rFonts w:ascii="华文中宋" w:hAnsi="华文中宋" w:eastAsia="华文中宋" w:cs="黑体"/>
          <w:b/>
          <w:sz w:val="36"/>
          <w:szCs w:val="36"/>
        </w:rPr>
      </w:pPr>
      <w:r>
        <w:rPr>
          <w:rFonts w:hint="eastAsia" w:ascii="仿宋_GB2312" w:hAnsi="仿宋_GB2312" w:eastAsia="仿宋_GB2312" w:cs="仿宋_GB2312"/>
          <w:kern w:val="2"/>
          <w:sz w:val="28"/>
          <w:szCs w:val="28"/>
          <w:highlight w:val="none"/>
          <w:lang w:val="en-US" w:eastAsia="zh-CN" w:bidi="ar-SA"/>
        </w:rPr>
        <w:t>附件：</w:t>
      </w:r>
      <w:r>
        <w:rPr>
          <w:rFonts w:hint="eastAsia" w:ascii="华文中宋" w:hAnsi="华文中宋" w:eastAsia="华文中宋" w:cs="黑体"/>
          <w:b/>
          <w:sz w:val="36"/>
          <w:szCs w:val="36"/>
        </w:rPr>
        <w:t xml:space="preserve"> </w:t>
      </w:r>
      <w:r>
        <w:rPr>
          <w:rFonts w:ascii="华文中宋" w:hAnsi="华文中宋" w:eastAsia="华文中宋" w:cs="黑体"/>
          <w:b/>
          <w:sz w:val="36"/>
          <w:szCs w:val="36"/>
        </w:rPr>
        <w:t xml:space="preserve">    </w:t>
      </w:r>
    </w:p>
    <w:p>
      <w:pPr>
        <w:pageBreakBefore w:val="0"/>
        <w:topLinePunct w:val="0"/>
        <w:bidi w:val="0"/>
        <w:spacing w:line="360" w:lineRule="auto"/>
        <w:jc w:val="center"/>
        <w:outlineLvl w:val="9"/>
        <w:rPr>
          <w:rFonts w:hint="eastAsia" w:ascii="黑体" w:hAnsi="黑体" w:eastAsia="黑体" w:cs="黑体"/>
          <w:b/>
          <w:sz w:val="36"/>
          <w:szCs w:val="36"/>
        </w:rPr>
      </w:pPr>
      <w:r>
        <w:rPr>
          <w:rFonts w:hint="eastAsia" w:ascii="黑体" w:hAnsi="黑体" w:eastAsia="黑体" w:cs="黑体"/>
          <w:b/>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sz w:val="36"/>
          <w:szCs w:val="36"/>
        </w:rPr>
      </w:pPr>
      <w:r>
        <w:rPr>
          <w:rFonts w:hint="eastAsia" w:ascii="黑体" w:hAnsi="黑体" w:eastAsia="黑体" w:cs="黑体"/>
          <w:b/>
          <w:sz w:val="36"/>
          <w:szCs w:val="36"/>
        </w:rPr>
        <w:t>深入推进课程思政建设的实施意见(试行)</w:t>
      </w:r>
    </w:p>
    <w:p>
      <w:pPr>
        <w:pageBreakBefore w:val="0"/>
        <w:topLinePunct w:val="0"/>
        <w:bidi w:val="0"/>
        <w:adjustRightInd w:val="0"/>
        <w:snapToGrid w:val="0"/>
        <w:spacing w:line="360" w:lineRule="auto"/>
        <w:outlineLvl w:val="9"/>
        <w:rPr>
          <w:rFonts w:hint="eastAsia" w:ascii="仿宋" w:hAnsi="仿宋" w:eastAsia="仿宋" w:cs="宋体"/>
          <w:b/>
          <w:bCs/>
          <w:sz w:val="28"/>
          <w:szCs w:val="28"/>
        </w:rPr>
      </w:pP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进一步推进我校课程思政建设，深化“三全育人”综合改革，提升人才培养质量，根据教育部印发的《高等学校课程思政建设指导纲要》及上海市教委《关于深入推进上海高校课程思政建设的实施意见》精神，结合学校实际，制定本实施意见。</w:t>
      </w:r>
    </w:p>
    <w:p>
      <w:pPr>
        <w:pageBreakBefore w:val="0"/>
        <w:kinsoku w:val="0"/>
        <w:overflowPunct w:val="0"/>
        <w:topLinePunct w:val="0"/>
        <w:autoSpaceDE w:val="0"/>
        <w:autoSpaceDN w:val="0"/>
        <w:bidi w:val="0"/>
        <w:adjustRightInd w:val="0"/>
        <w:snapToGrid w:val="0"/>
        <w:spacing w:line="360" w:lineRule="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一、提高认识，深刻理解课程思政建设的新要求</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1.重大意义</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课程思政是学校落实立德树人根本任务的关键举措，是推进知 识传授、能力培养与价值引领相结合的现实路径，是落实学校党委意识形态主体责任的有力抓手，深入推进课程思政建设，事关学校坚持社会主义办学方向，事关意识形态工作大局，事关中国特色社会主义事业后继有人，必须始终摆在突出位置，持之以恒、常抓不懈。</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校在试点课程思政建设的基础上，编写了《课程思政教学指南（试点）》，举办41门课程参与的课程思政教学比赛，修订各专业人才培养、优化课程标准、完善教案，制定了《推进课程思政建设的实施方案》，推动每个党员参与课程思政，培育十五门校级课程思政示范课程，通过教学比赛、教学实践，实现课程思政全履盖，基本形成具有我校特色的课程思政体系。</w:t>
      </w:r>
    </w:p>
    <w:p>
      <w:pPr>
        <w:pageBreakBefore w:val="0"/>
        <w:widowControl/>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随着教育改革深入，对课程思政建设中教学实施规范、教学管理、教材编选审用、教师培训培养、评价导向激励和组织保障等提出更高要求，需要进一步改革创新，不断提升课程思政建设质量。</w:t>
      </w:r>
    </w:p>
    <w:p>
      <w:pPr>
        <w:pageBreakBefore w:val="0"/>
        <w:widowControl/>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2.指导思想</w:t>
      </w:r>
    </w:p>
    <w:p>
      <w:pPr>
        <w:pStyle w:val="50"/>
        <w:pageBreakBefore w:val="0"/>
        <w:topLinePunct w:val="0"/>
        <w:bidi w:val="0"/>
        <w:adjustRightInd w:val="0"/>
        <w:snapToGrid w:val="0"/>
        <w:spacing w:line="360" w:lineRule="auto"/>
        <w:ind w:firstLine="560" w:firstLineChars="200"/>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以习近平新时代中国特色社会主义思想为指导，聚焦立德树人 根本任务，紧紧抓住教师队伍“主力军”、课程建设“主战场”、课堂教学“主渠道”，厚植红色基因、拓展全球视野、培养创新思维，深入推进习近平新时代中国特色社会主义思想进教材进课堂进头脑，努力培养担当民族复兴大任的时代新人，培养德智体美劳全面发展的社会主义建设者和接班人。</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3.基本原则</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坚持育人导向，把握课程思政的内容要求，促进学生形成正确的世界观、人生观、价值观。坚持全面覆盖，在所有二级学院、所有学科专业全面推进课程思政建设，使各类课程与思政课同向同行，形成协同效应。坚持特色发展，立足学校办学定位和人才培养目标，将课程思政建设与办学优势和校本特色有机结合。</w:t>
      </w:r>
    </w:p>
    <w:p>
      <w:pPr>
        <w:pageBreakBefore w:val="0"/>
        <w:kinsoku w:val="0"/>
        <w:overflowPunct w:val="0"/>
        <w:topLinePunct w:val="0"/>
        <w:autoSpaceDE w:val="0"/>
        <w:autoSpaceDN w:val="0"/>
        <w:bidi w:val="0"/>
        <w:adjustRightInd w:val="0"/>
        <w:snapToGrid w:val="0"/>
        <w:spacing w:line="360" w:lineRule="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二、理清思路，准确把握课程思政建设的基本内涵、总体目标和核心内容</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4.基本内涵</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课程思政是学校思想政治教育课程体系建设的核心理念，通过 牢牢把握思政课在立徳树人中的关键课程地位，挖掘其他课程和教 学方式中蕴含的思想政治教育资源，坚持知识传授、技能训练与价值引领相统一，发挥所有课程育人功能，落实所有教师育人职责，解决好各类课程和思政课相互配合的问题，引领带动全员全过程全方位育人。</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5.总体目标</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围绕全面提高人才培养质量这个中心任务，构建以思想政治理论课为核心、综合素养课程为支撑、专业教育课程为辐射的课程思政育人体系。完善与课程思政建设要求相匹配的管理制度，全面提升广大教师开展课程思政建设的意识和能力，不断提高课程育人的实效。让课程思政理念深入人心，课程思政建设全面融入学校全面治理体系。</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6.核心内容</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课程思政建设内容必须坚持用习近平新时代中国特色社会主义思想铸魂育人，以政治认同、家国情怀、文化素养、宪法法治意识、道德修养为重点，将做人做事的基本道理、社会主义核心价值观的要求、实现中华民族伟大复兴中国梦的使命与担当以及马克思主义的基本立场观点方法贯穿到各门课程的教育教学中。</w:t>
      </w:r>
    </w:p>
    <w:p>
      <w:pPr>
        <w:pageBreakBefore w:val="0"/>
        <w:kinsoku w:val="0"/>
        <w:overflowPunct w:val="0"/>
        <w:topLinePunct w:val="0"/>
        <w:autoSpaceDE w:val="0"/>
        <w:autoSpaceDN w:val="0"/>
        <w:bidi w:val="0"/>
        <w:adjustRightInd w:val="0"/>
        <w:snapToGrid w:val="0"/>
        <w:spacing w:line="360" w:lineRule="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三、明确任务，实施课程思政建设的重点举措</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7.全面修订人才培养方案</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根据学校总体办学定位和人才培养目标，围绕课程思政建设内容，教务处每年组织二级学院修订人才培养方案，不断提升学生的课程学习体验、学习效果。</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公共基础课程 一是要加强语文、数学、英语、物理等文化基础课程建设，在政治信仰、理想信念、价值理念、道德情操、精神追求、科学思维等多方面提升学生修养。二是要建设一批提高大学生思想道徳修养、人文素质、科学精神、宪法法治意识、国家安全意识和认知能力的选修课程，在潜移默化中坚定学生理想信念、厚植爱国主义情怀、加强品德修养、增长知识见识、培养奋斗精神、提升学生综合素质。三是要结合电子信息类特点，打造一批有特色的体育、美育类课程，帮助学生在体育锻炼中享受乐趣、增强体质、健全人格、锤炼意志；在美育教学中提升审美素养、陶冶情操、温润心灵、激发创造创新活力。四是要加强劳动教育课程建设，在实践中弘扬劳动精神，引导学生崇尚劳动、尊重劳动，培养正确的人生观价值观，强化对知识、技能的体验和感受，提升追求真知的能力。</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专业教育课程 根据学校不同学科专业的特色和优势，深入研究不同专业的育人目标，深度挖掘提炼专业知识体系中所蕴含的思想价值和精神内涵，科学合理拓展专业课程的广度、深度和温度，从课程所涉专业、行业、国家、国际、文化、历史等角度，增加课程的知识性、人文性，提升引领性、时代性和开放性。</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实践类课程 要注重学思结合、知行合一，增强学生勇于探索的创新精神、善于解决问题的实践能力。实习实训类课程要注重教育和培育学生工匠精神，引导学生弘扬劳动精神；社会实践类课程要将“读万卷书”与“行万里路”相结合，扎根中国大地了解国情民情，在实践中增长智慧才干，在艰苦奋斗中锤炼意志品质；创新创业教育课程要注重让学生“敢闯会创”，在亲身参与中培育创新精神、塑造创造意识和提升创业能力。</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8.研制课程思政教学指南</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专业课程是课程思政建设的基本载体。学校将结合高职专业分类和课程设置情况，以专业类别为基础单位，结合不同课程特点、思维方法和价值理念，深入挖掘课程思政元素，组织编写专业大类课程思政教学指南，建立课程思政操作规范。</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工学类专业课程要强化学生工程伦理教育，培养学生精益求精的大国工匠精神，激发学生科技报国的家国情怀和使命担当。</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经济管理类专业课程要坚持以马克思主义为指导，帮助学生了解相关专业和行业领域的国家战略、法律法规和相关政策，培育学生经世济民、诚信服务、德法兼修的职业素养。</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艺术学类专业课程要教育引导学生立足时代、扎根人民、深入生活、服务大众，树立正确的艺术观和创作观，坚持以美育人、以美化人，自觉传承和弘扬中华优秀传统文化，积极弘扬中华美育精神。</w:t>
      </w:r>
    </w:p>
    <w:p>
      <w:pPr>
        <w:pageBreakBefore w:val="0"/>
        <w:widowControl/>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外语类专业课程要注重中外文化的熏陶，拓展视野，区分美丑，明辨是非，要从历史与现实、理论与实践、国内与国外等相结合的维度深刻理解习近平新时代中国特色社会主义思想，增强集体主义和爱国主义责任感。</w:t>
      </w:r>
    </w:p>
    <w:p>
      <w:pPr>
        <w:pageBreakBefore w:val="0"/>
        <w:widowControl/>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9.完善课程教学管理</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课程思政要融入课堂教学，作为课程设置、课程标准和教案评价的重要内容，落实到课堂教学的全过程。</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二级学院要定期组织修订课程标准。课程标准要紧扣人才培养方案，充分挖掘思政元素，体现、融入在教学内容、教学实践、教学评价等各环节，并总结、提炼思政元素融入的方法与措施。</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案课件要严格执行课程标准。要精心设计课程思政融入的方法和案例，将课程思政贯穿于课堂授课、教学研讨、实训实习、课后作业和实习报告的各环节之中。建立一批包含具体设计方案、详细实施过程的“课程思政”典型教学案例库，遴选优秀案例录制示范微课。鼓励学生积极开展社会实践，促进学生自我教育，使课堂教学与社会实践相互支撑。规范网络课堂建设与管理，推动线上课程实现课程思政全履盖。注重发挥教学方式中蕴含的育人资源，选择相匹配的课堂教学方式方法，注重言传与身教相统一，做到有教无类、因材施教、教亦多术。加强各种教学制度建设与执行力度，强化教学纪律约束机制。深入开展“行走的课堂”，社会实践、志愿服务、实习实训活动，不断拓展课程思政建设方法和途径。</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10.加强教材建设与管理</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把牢教材的意识形态和价值观取向，强化源头管理，完善教材选用机制，规范和完善教材编写、选用和审核流程。加大教材建设力度，鼓励优秀教师参加编写优秀教材。讲好用好教育部马克思主义理论研究和建设工程重点教材，推进教材内容进教案课件、进考试，推动教材体系向教学体系转化。完善教材选用的机制，加强教材质量监控以及优秀校本教材的评选。</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11.提升教师课程思政意识与能力</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发挥教师的主体作用，切实提高每一位教师参与课程思政建设的积极性和主动性。建立和完善课程思政培养培训体系，将习近平新时代中国特色社会主义思想学习列为各级各类师资培训必备专题，推动课程思政培训常态化。学校搭建课程思政建设交流平台，开展经常性的典型经验交流、教师教学培训等活动，促进优质资源共享共用。各二级学院要充分发挥教研室、教学团队、课程组等基层教学组织作用，建立课程思政集体教研制度、现场教学观摩制度。组织专业课教师与思政课教师结对子，联合开展教研活动。实施课程思政教学团队打造计划，评选课程思政优秀教师。把教师参与课程思政建设情况和教学效果作为教师考核评价、岗位聘用、评优奖励、选拔培训的重要内容。</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12.完善课程思政教学质量评价</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充分发挥学校教学工作委员会、学术委员会、专业建设指导委员会等评价和专家组织的作用，研究制订课程思政评价标准。加强课程思政教学过程管理，开展经常化、制度化、规范化的质量评估，将课程思政开展状况作为教学督导和教学绩效考核的重要内容。加大对课程思政建设优秀成果的支持力度，在各种人才选拔和推荐项目中将课程思政开展效果纳入重要考核内容。</w:t>
      </w:r>
    </w:p>
    <w:p>
      <w:pPr>
        <w:pageBreakBefore w:val="0"/>
        <w:kinsoku w:val="0"/>
        <w:overflowPunct w:val="0"/>
        <w:topLinePunct w:val="0"/>
        <w:autoSpaceDE w:val="0"/>
        <w:autoSpaceDN w:val="0"/>
        <w:bidi w:val="0"/>
        <w:adjustRightInd w:val="0"/>
        <w:snapToGrid w:val="0"/>
        <w:spacing w:line="360" w:lineRule="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四、加强领导，完善课程思政建设的组织保障</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13.落实学校党政主体责任</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校党委会、校长办公会每学期至少召开1次专题会议研究课程思政建设工作，重点推进课程思政资源配置、经费投入、队伍建设等重要事项。成立学校课程思政建设领导小组。学校党委书记、校长是课程思政建设第一责任人。学校党政领导班子成员要结合自身学科背景和工作经历，带头走进课堂听课调研，带头推动课程思政建设。建立健全学校教务部门牵头负责，二级院、教学单位具体负责，教师工作部、马克思主义学院、宣传部等相关部门直接参与的工作机制。</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14.加强考核评估</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将课程思政建设纳入学校党委落实意识形态主体责任的重要内容，纳入学校双一流建设、分类考核评价指标的重要内容，纳入二级学院专业建设评估体系，作为二级学院党政主要负责同志年度述职评议考核内容，结果和有关情况纳入干部目标管理和绩效考核体系。</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15.营造良好氛围</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打造校级课程思改整体改革领航学院、特色改革领航团队、精品改革领航课程。积极组织教师参与上海高校课程思政教学比赛，积极申报上海高校课程思政“精彩系列”培育项目，力争培育一批课程思政精彩课程、精彩教案、精彩课件。建设若干课程思政示范课程，加大对课程思政项目研究支持力度，深入开展理论与实践研究，总结提炼课程思政典型经验，加强舆论宣传与引导，抓典型、树标杆、推经验，创设课程思政建设的有利环境。</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kinsoku w:val="0"/>
        <w:overflowPunct w:val="0"/>
        <w:topLinePunct w:val="0"/>
        <w:autoSpaceDE w:val="0"/>
        <w:autoSpaceDN w:val="0"/>
        <w:bidi w:val="0"/>
        <w:adjustRightInd w:val="0"/>
        <w:snapToGrid w:val="0"/>
        <w:spacing w:line="360" w:lineRule="auto"/>
        <w:outlineLvl w:val="9"/>
        <w:rPr>
          <w:rFonts w:hint="eastAsia" w:ascii="仿宋" w:hAnsi="仿宋" w:eastAsia="仿宋" w:cs="宋体"/>
          <w:sz w:val="28"/>
          <w:szCs w:val="28"/>
        </w:rPr>
      </w:pPr>
    </w:p>
    <w:p>
      <w:pPr>
        <w:pageBreakBefore w:val="0"/>
        <w:topLinePunct w:val="0"/>
        <w:bidi w:val="0"/>
        <w:outlineLvl w:val="9"/>
        <w:rPr>
          <w:rFonts w:ascii="Times New Roman" w:eastAsia="宋体" w:cs="Times New Roman"/>
          <w:sz w:val="20"/>
          <w:szCs w:val="20"/>
        </w:rPr>
      </w:pPr>
    </w:p>
    <w:p>
      <w:pPr>
        <w:pageBreakBefore w:val="0"/>
        <w:topLinePunct w:val="0"/>
        <w:bidi w:val="0"/>
        <w:outlineLvl w:val="9"/>
        <w:rPr>
          <w:rFonts w:ascii="Times New Roman" w:eastAsia="宋体" w:cs="Times New Roman"/>
          <w:sz w:val="20"/>
          <w:szCs w:val="20"/>
        </w:rPr>
      </w:pPr>
    </w:p>
    <w:p>
      <w:pPr>
        <w:pageBreakBefore w:val="0"/>
        <w:topLinePunct w:val="0"/>
        <w:bidi w:val="0"/>
        <w:outlineLvl w:val="9"/>
        <w:rPr>
          <w:rFonts w:ascii="Times New Roman" w:eastAsia="宋体" w:cs="Times New Roman"/>
          <w:sz w:val="20"/>
          <w:szCs w:val="20"/>
        </w:rPr>
      </w:pPr>
    </w:p>
    <w:p>
      <w:pPr>
        <w:pageBreakBefore w:val="0"/>
        <w:topLinePunct w:val="0"/>
        <w:bidi w:val="0"/>
        <w:outlineLvl w:val="9"/>
        <w:rPr>
          <w:rFonts w:ascii="Times New Roman" w:eastAsia="宋体" w:cs="Times New Roman"/>
          <w:sz w:val="20"/>
          <w:szCs w:val="20"/>
        </w:rPr>
      </w:pPr>
    </w:p>
    <w:p>
      <w:pPr>
        <w:pageBreakBefore w:val="0"/>
        <w:topLinePunct w:val="0"/>
        <w:bidi w:val="0"/>
        <w:outlineLvl w:val="9"/>
        <w:rPr>
          <w:rFonts w:ascii="Times New Roman" w:eastAsia="宋体" w:cs="Times New Roman"/>
          <w:sz w:val="20"/>
          <w:szCs w:val="20"/>
        </w:rPr>
      </w:pPr>
    </w:p>
    <w:p>
      <w:pPr>
        <w:pStyle w:val="15"/>
        <w:pageBreakBefore w:val="0"/>
        <w:kinsoku w:val="0"/>
        <w:overflowPunct w:val="0"/>
        <w:topLinePunct w:val="0"/>
        <w:bidi w:val="0"/>
        <w:spacing w:before="3"/>
        <w:ind w:left="0"/>
        <w:jc w:val="both"/>
        <w:outlineLvl w:val="9"/>
        <w:rPr>
          <w:rFonts w:ascii="Times New Roman" w:eastAsia="宋体" w:cs="Times New Roman"/>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Style w:val="15"/>
        <w:pageBreakBefore w:val="0"/>
        <w:kinsoku w:val="0"/>
        <w:overflowPunct w:val="0"/>
        <w:topLinePunct w:val="0"/>
        <w:bidi w:val="0"/>
        <w:spacing w:before="0"/>
        <w:ind w:left="27" w:right="202"/>
        <w:jc w:val="center"/>
        <w:outlineLvl w:val="9"/>
        <w:rPr>
          <w:rFonts w:hint="eastAsia" w:ascii="华文仿宋" w:eastAsia="华文仿宋" w:cs="华文仿宋"/>
          <w:sz w:val="32"/>
          <w:szCs w:val="32"/>
        </w:rPr>
      </w:pPr>
      <w:r>
        <w:rPr>
          <w:rFonts w:hint="eastAsia" w:ascii="华文仿宋" w:eastAsia="华文仿宋" w:cs="华文仿宋"/>
          <w:sz w:val="32"/>
          <w:szCs w:val="32"/>
        </w:rPr>
        <w:t>沪电信职院〔</w:t>
      </w:r>
      <w:r>
        <w:rPr>
          <w:rFonts w:hint="eastAsia" w:ascii="华文仿宋" w:eastAsia="华文仿宋" w:cs="华文仿宋"/>
          <w:sz w:val="32"/>
          <w:szCs w:val="32"/>
          <w:lang w:val="en-US" w:eastAsia="zh-CN"/>
        </w:rPr>
        <w:t>2020</w:t>
      </w:r>
      <w:r>
        <w:rPr>
          <w:rFonts w:ascii="华文仿宋" w:eastAsia="华文仿宋" w:cs="华文仿宋"/>
          <w:sz w:val="32"/>
          <w:szCs w:val="32"/>
        </w:rPr>
        <w:t xml:space="preserve"> </w:t>
      </w:r>
      <w:r>
        <w:rPr>
          <w:rFonts w:hint="eastAsia" w:ascii="华文仿宋" w:eastAsia="华文仿宋" w:cs="华文仿宋"/>
          <w:sz w:val="32"/>
          <w:szCs w:val="32"/>
        </w:rPr>
        <w:t>〕</w:t>
      </w:r>
      <w:r>
        <w:rPr>
          <w:rFonts w:hint="eastAsia" w:ascii="华文仿宋" w:eastAsia="华文仿宋" w:cs="华文仿宋"/>
          <w:sz w:val="32"/>
          <w:szCs w:val="32"/>
          <w:lang w:val="en-US" w:eastAsia="zh-CN"/>
        </w:rPr>
        <w:t>154</w:t>
      </w:r>
      <w:r>
        <w:rPr>
          <w:rFonts w:ascii="华文仿宋" w:eastAsia="华文仿宋" w:cs="华文仿宋"/>
          <w:sz w:val="32"/>
          <w:szCs w:val="32"/>
        </w:rPr>
        <w:t xml:space="preserve"> </w:t>
      </w:r>
      <w:r>
        <w:rPr>
          <w:rFonts w:hint="eastAsia" w:ascii="华文仿宋" w:eastAsia="华文仿宋" w:cs="华文仿宋"/>
          <w:sz w:val="32"/>
          <w:szCs w:val="32"/>
        </w:rPr>
        <w:t>号</w:t>
      </w:r>
    </w:p>
    <w:p>
      <w:pPr>
        <w:pStyle w:val="15"/>
        <w:pageBreakBefore w:val="0"/>
        <w:kinsoku w:val="0"/>
        <w:overflowPunct w:val="0"/>
        <w:topLinePunct w:val="0"/>
        <w:bidi w:val="0"/>
        <w:spacing w:before="0"/>
        <w:ind w:left="27" w:right="202"/>
        <w:jc w:val="center"/>
        <w:outlineLvl w:val="9"/>
        <w:rPr>
          <w:rFonts w:hint="default" w:ascii="华文仿宋" w:eastAsia="华文仿宋" w:cs="华文仿宋"/>
          <w:sz w:val="32"/>
          <w:szCs w:val="32"/>
          <w:lang w:val="en-US" w:eastAsia="zh-CN"/>
        </w:rPr>
      </w:pPr>
    </w:p>
    <w:p>
      <w:pPr>
        <w:pStyle w:val="15"/>
        <w:pageBreakBefore w:val="0"/>
        <w:kinsoku w:val="0"/>
        <w:overflowPunct w:val="0"/>
        <w:topLinePunct w:val="0"/>
        <w:bidi w:val="0"/>
        <w:spacing w:before="0"/>
        <w:ind w:left="0"/>
        <w:outlineLvl w:val="9"/>
        <w:rPr>
          <w:rFonts w:ascii="华文仿宋" w:eastAsia="华文仿宋" w:cs="华文仿宋"/>
          <w:sz w:val="20"/>
          <w:szCs w:val="20"/>
        </w:rPr>
      </w:pPr>
      <w:r>
        <w:rPr>
          <w:rFonts w:ascii="华文仿宋" w:eastAsia="华文仿宋" w:cs="华文仿宋"/>
          <w:position w:val="-1"/>
          <w:sz w:val="2"/>
          <w:szCs w:val="2"/>
        </w:rPr>
        <w:pict>
          <v:group id="组合 2" o:spid="_x0000_s1273" o:spt="203" style="height:1.45pt;width:411pt;" coordsize="8220,29">
            <o:lock v:ext="edit" rotation="t"/>
            <v:shape id="任意多边形 3" o:spid="_x0000_s1274" style="position:absolute;left:14;top:14;height:20;width:8191;" filled="f" stroked="t" coordsize="8191,20" path="m0,0hhl8191,0hhe">
              <v:path arrowok="t"/>
              <v:fill on="f" focussize="0,0"/>
              <v:stroke weight="1.44pt" color="#FF0000"/>
              <v:imagedata o:title=""/>
              <o:lock v:ext="edit"/>
            </v:shape>
            <w10:wrap type="none"/>
            <w10:anchorlock/>
          </v:group>
        </w:pict>
      </w:r>
    </w:p>
    <w:p>
      <w:pPr>
        <w:pStyle w:val="15"/>
        <w:pageBreakBefore w:val="0"/>
        <w:kinsoku w:val="0"/>
        <w:overflowPunct w:val="0"/>
        <w:topLinePunct w:val="0"/>
        <w:bidi w:val="0"/>
        <w:spacing w:before="1"/>
        <w:ind w:left="0"/>
        <w:jc w:val="both"/>
        <w:outlineLvl w:val="9"/>
        <w:rPr>
          <w:rFonts w:ascii="华文仿宋" w:eastAsia="华文仿宋" w:cs="华文仿宋"/>
          <w:sz w:val="15"/>
          <w:szCs w:val="15"/>
        </w:rPr>
      </w:pPr>
    </w:p>
    <w:p>
      <w:pPr>
        <w:pStyle w:val="15"/>
        <w:keepNext w:val="0"/>
        <w:keepLines w:val="0"/>
        <w:pageBreakBefore w:val="0"/>
        <w:widowControl w:val="0"/>
        <w:kinsoku w:val="0"/>
        <w:wordWrap/>
        <w:overflowPunct w:val="0"/>
        <w:topLinePunct w:val="0"/>
        <w:autoSpaceDE/>
        <w:autoSpaceDN/>
        <w:bidi w:val="0"/>
        <w:adjustRightInd/>
        <w:snapToGrid/>
        <w:spacing w:before="0" w:line="455" w:lineRule="exact"/>
        <w:ind w:left="1425" w:hanging="1301"/>
        <w:textAlignment w:val="auto"/>
        <w:outlineLvl w:val="0"/>
        <w:rPr>
          <w:rFonts w:hint="eastAsia" w:ascii="黑体" w:hAnsi="黑体" w:eastAsia="黑体" w:cs="黑体"/>
          <w:spacing w:val="-12"/>
          <w:sz w:val="36"/>
          <w:szCs w:val="36"/>
        </w:rPr>
      </w:pPr>
      <w:bookmarkStart w:id="334" w:name="_Toc23724"/>
      <w:r>
        <w:rPr>
          <w:rFonts w:hint="eastAsia" w:ascii="黑体" w:hAnsi="黑体" w:eastAsia="黑体" w:cs="黑体"/>
          <w:b w:val="0"/>
          <w:bCs w:val="0"/>
          <w:spacing w:val="-4"/>
          <w:sz w:val="36"/>
          <w:szCs w:val="36"/>
        </w:rPr>
        <w:t>关于印发《上海电子信息职业技术学院非全日制教育</w:t>
      </w:r>
      <w:r>
        <w:rPr>
          <w:rFonts w:hint="eastAsia" w:ascii="黑体" w:hAnsi="黑体" w:eastAsia="黑体" w:cs="黑体"/>
          <w:b w:val="0"/>
          <w:bCs w:val="0"/>
          <w:spacing w:val="-12"/>
          <w:sz w:val="36"/>
          <w:szCs w:val="36"/>
        </w:rPr>
        <w:t>课时津贴计算办法（修订）》的通知</w:t>
      </w:r>
      <w:bookmarkEnd w:id="334"/>
    </w:p>
    <w:p>
      <w:pPr>
        <w:pageBreakBefore w:val="0"/>
        <w:kinsoku w:val="0"/>
        <w:overflowPunct w:val="0"/>
        <w:topLinePunct w:val="0"/>
        <w:autoSpaceDE w:val="0"/>
        <w:autoSpaceDN w:val="0"/>
        <w:bidi w:val="0"/>
        <w:adjustRightInd w:val="0"/>
        <w:snapToGrid w:val="0"/>
        <w:spacing w:line="360" w:lineRule="auto"/>
        <w:outlineLvl w:val="9"/>
        <w:rPr>
          <w:rFonts w:hint="eastAsia" w:ascii="仿宋_GB2312" w:hAnsi="仿宋_GB2312" w:eastAsia="仿宋_GB2312" w:cs="仿宋_GB2312"/>
          <w:kern w:val="2"/>
          <w:sz w:val="28"/>
          <w:szCs w:val="28"/>
          <w:highlight w:val="none"/>
          <w:lang w:val="en-US" w:eastAsia="zh-CN" w:bidi="ar-SA"/>
        </w:rPr>
      </w:pPr>
    </w:p>
    <w:p>
      <w:pPr>
        <w:pageBreakBefore w:val="0"/>
        <w:kinsoku w:val="0"/>
        <w:overflowPunct w:val="0"/>
        <w:topLinePunct w:val="0"/>
        <w:autoSpaceDE w:val="0"/>
        <w:autoSpaceDN w:val="0"/>
        <w:bidi w:val="0"/>
        <w:adjustRightInd w:val="0"/>
        <w:snapToGrid w:val="0"/>
        <w:spacing w:line="360" w:lineRule="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加强学院师资队伍建设，发挥广大教师的积极性和创造性，充分调动学院各部门利用已有的资源开展技能培训、技能鉴定、成人教育和教师赴企业对员工培训等非全日制教育，在《上海电子信息职业技术学院非全日制教育课时津贴计算办法（修订）》（沪电信职院[2014]75号）、《上海电子信息职业技术学院教师教学工作量计算办法（修订）》（沪电信职[2019]22号）、《上海电子信息职业技术学院兼课教师管理规定（修订）》（沪电信职院[2019]23号）的文件基础上制定此次修订。</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附件：上海电子信息职业技术学院非全日制教育课时 津贴计算办法（修订）</w:t>
      </w:r>
    </w:p>
    <w:p>
      <w:pPr>
        <w:pageBreakBefore w:val="0"/>
        <w:kinsoku w:val="0"/>
        <w:overflowPunct w:val="0"/>
        <w:topLinePunct w:val="0"/>
        <w:autoSpaceDE w:val="0"/>
        <w:autoSpaceDN w:val="0"/>
        <w:bidi w:val="0"/>
        <w:adjustRightInd w:val="0"/>
        <w:snapToGrid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pageBreakBefore w:val="0"/>
        <w:kinsoku w:val="0"/>
        <w:overflowPunct w:val="0"/>
        <w:topLinePunct w:val="0"/>
        <w:autoSpaceDE w:val="0"/>
        <w:autoSpaceDN w:val="0"/>
        <w:bidi w:val="0"/>
        <w:adjustRightInd w:val="0"/>
        <w:snapToGrid w:val="0"/>
        <w:spacing w:line="360" w:lineRule="auto"/>
        <w:ind w:firstLine="560" w:firstLineChars="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kinsoku w:val="0"/>
        <w:overflowPunct w:val="0"/>
        <w:topLinePunct w:val="0"/>
        <w:autoSpaceDE w:val="0"/>
        <w:autoSpaceDN w:val="0"/>
        <w:bidi w:val="0"/>
        <w:adjustRightInd w:val="0"/>
        <w:snapToGrid w:val="0"/>
        <w:spacing w:line="360" w:lineRule="auto"/>
        <w:ind w:firstLine="560" w:firstLineChars="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2020 年12 月8 日</w:t>
      </w:r>
    </w:p>
    <w:p>
      <w:pPr>
        <w:pStyle w:val="15"/>
        <w:pageBreakBefore w:val="0"/>
        <w:kinsoku w:val="0"/>
        <w:overflowPunct w:val="0"/>
        <w:topLinePunct w:val="0"/>
        <w:bidi w:val="0"/>
        <w:spacing w:before="0" w:line="395" w:lineRule="exact"/>
        <w:jc w:val="left"/>
        <w:outlineLvl w:val="9"/>
        <w:rPr>
          <w:rFonts w:hint="eastAsia" w:ascii="仿宋_GB2312" w:hAnsi="仿宋_GB2312" w:eastAsia="仿宋_GB2312" w:cs="仿宋_GB2312"/>
          <w:kern w:val="2"/>
          <w:sz w:val="28"/>
          <w:szCs w:val="28"/>
          <w:highlight w:val="none"/>
          <w:lang w:val="en-US" w:eastAsia="zh-CN" w:bidi="ar-SA"/>
        </w:rPr>
      </w:pPr>
    </w:p>
    <w:p>
      <w:pPr>
        <w:pStyle w:val="15"/>
        <w:pageBreakBefore w:val="0"/>
        <w:kinsoku w:val="0"/>
        <w:overflowPunct w:val="0"/>
        <w:topLinePunct w:val="0"/>
        <w:bidi w:val="0"/>
        <w:spacing w:before="0" w:line="395"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w:t>
      </w:r>
    </w:p>
    <w:p>
      <w:pPr>
        <w:pStyle w:val="15"/>
        <w:pageBreakBefore w:val="0"/>
        <w:kinsoku w:val="0"/>
        <w:overflowPunct w:val="0"/>
        <w:topLinePunct w:val="0"/>
        <w:bidi w:val="0"/>
        <w:spacing w:before="177" w:line="285" w:lineRule="auto"/>
        <w:ind w:left="2907" w:leftChars="270" w:hanging="2340" w:hangingChars="650"/>
        <w:jc w:val="center"/>
        <w:outlineLvl w:val="9"/>
        <w:rPr>
          <w:rFonts w:hint="eastAsia" w:ascii="黑体" w:eastAsia="黑体" w:cs="黑体"/>
          <w:sz w:val="36"/>
          <w:szCs w:val="36"/>
        </w:rPr>
      </w:pPr>
      <w:r>
        <w:rPr>
          <w:rFonts w:hint="eastAsia" w:ascii="黑体" w:eastAsia="黑体" w:cs="黑体"/>
          <w:sz w:val="36"/>
          <w:szCs w:val="36"/>
        </w:rPr>
        <w:t>上海电子信息职业技术学院</w:t>
      </w:r>
    </w:p>
    <w:p>
      <w:pPr>
        <w:pStyle w:val="15"/>
        <w:pageBreakBefore w:val="0"/>
        <w:kinsoku w:val="0"/>
        <w:overflowPunct w:val="0"/>
        <w:topLinePunct w:val="0"/>
        <w:bidi w:val="0"/>
        <w:spacing w:before="177" w:line="285" w:lineRule="auto"/>
        <w:ind w:left="2907" w:leftChars="270" w:hanging="2340" w:hangingChars="650"/>
        <w:jc w:val="center"/>
        <w:outlineLvl w:val="9"/>
        <w:rPr>
          <w:rFonts w:ascii="黑体" w:eastAsia="黑体" w:cs="黑体"/>
          <w:sz w:val="36"/>
          <w:szCs w:val="36"/>
        </w:rPr>
      </w:pPr>
      <w:r>
        <w:rPr>
          <w:rFonts w:hint="eastAsia" w:ascii="黑体" w:eastAsia="黑体" w:cs="黑体"/>
          <w:sz w:val="36"/>
          <w:szCs w:val="36"/>
        </w:rPr>
        <w:t>非全日制教育课时津贴计算办法（修订）</w:t>
      </w:r>
    </w:p>
    <w:p>
      <w:pPr>
        <w:pStyle w:val="15"/>
        <w:pageBreakBefore w:val="0"/>
        <w:kinsoku w:val="0"/>
        <w:overflowPunct w:val="0"/>
        <w:topLinePunct w:val="0"/>
        <w:bidi w:val="0"/>
        <w:spacing w:before="8"/>
        <w:ind w:left="0"/>
        <w:outlineLvl w:val="9"/>
        <w:rPr>
          <w:rFonts w:ascii="黑体" w:eastAsia="黑体" w:cs="黑体"/>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一、适用范围</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59"/>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本办法适用于职业技能培训、技能鉴定、成人教育和教师赴企 业对员工培训等非全日制教育。</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二、教师教学工作量的界定</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1.教师教学工作量是教师在一定质的基础上，完成与教育教学有关的全部工作。</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2.教学工作包括两个部分：课堂教学环节工作和其它教学环节工作。</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课堂教学环节工作是指各教学单位在教务处下达的实施性教学计划中完成的教学任务。具体包括完成课程教学大纲（标准）的编写、备课、讲课、实验实训指导、辅导答疑、批改作业、选编教学补充材料和练习册、命题、阅卷、评定成绩等工作。其它教学环节工作是指教师在指导各类实习实训、社会实践、技能竞赛等环节中完成的教学工作。</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三、教师教学工作量的核定原则</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1.教学工作量的计量单位为课时,仅在实际发生教学工作时计发；教师教学工作量的核算按所任教的课程以班级为单元进行核算。</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2.教师任教的课程及授课课时以教学任务书为准，教学任务书的制定依据是：经教务处审批的学期实施性教学计划。实施性教学计划没有列出或未经批准开设的课程，不予统计，若有特殊情况需经学院研究决定。</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3.教师全部教学工作量折算为标准课时，由各教学单位制单，报教务处审核。若工作量构成中的任一环节未完成，则不予计算该项教学工作量。</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四、教师教学工作量的计算办法</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700" w:firstLineChars="25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1.教师教学工作量采取“课时”乘以“系数”的方法计算。教学工作量（课时）=实际授课课时×学生规模系数。</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学生规模系数界定</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420" w:firstLineChars="15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（1）经教务处编制执行的班级数一般以30-40人为一个标准班，一个标准班的学生规模系数基准为1；因录取、报到等原因所致的班级人数低于标准班人数下限的，学生规模系数按标准班学生规模系数“1”计算。</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（2）班级人数在41至50人之间的，学生规模系数为1.1。</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（3）班级人数在51至60人之间的，学生规模系数为1.2。</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（4）班级人数在61至70人之间的，学生规模系数为1.3。</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（5）班级人数在71至100人之间的，学生规模系数为1.5。</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（6）班级人数在101至150人之间的，学生规模系数为1.8。</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（7）班级人数大于150人，学生规模系数为2.0。</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 学生进行毕业实习（实践）。指导一名学生毕业实习（实践）工作量为4课时。</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三、课时津贴标准及其他规定</w:t>
      </w:r>
    </w:p>
    <w:p>
      <w:pPr>
        <w:pStyle w:val="15"/>
        <w:keepNext w:val="0"/>
        <w:keepLines w:val="0"/>
        <w:pageBreakBefore w:val="0"/>
        <w:widowControl w:val="0"/>
        <w:numPr>
          <w:ilvl w:val="0"/>
          <w:numId w:val="0"/>
        </w:numPr>
        <w:kinsoku w:val="0"/>
        <w:wordWrap/>
        <w:overflowPunct w:val="0"/>
        <w:topLinePunct w:val="0"/>
        <w:autoSpaceDE w:val="0"/>
        <w:autoSpaceDN w:val="0"/>
        <w:bidi w:val="0"/>
        <w:adjustRightInd w:val="0"/>
        <w:snapToGrid w:val="0"/>
        <w:spacing w:line="360" w:lineRule="auto"/>
        <w:ind w:left="-885" w:leftChars="0" w:firstLine="840" w:firstLineChars="3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（一）课时津贴标准（单位：元/课时）</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1.校内兼课教师</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left"/>
        <w:textAlignment w:val="auto"/>
        <w:outlineLvl w:val="9"/>
        <w:rPr>
          <w:rFonts w:hint="eastAsia" w:ascii="仿宋_GB2312" w:hAnsi="仿宋_GB2312" w:eastAsia="仿宋_GB2312" w:cs="仿宋_GB2312"/>
          <w:kern w:val="2"/>
          <w:sz w:val="28"/>
          <w:szCs w:val="28"/>
          <w:highlight w:val="none"/>
          <w:lang w:val="en-US" w:eastAsia="zh-CN" w:bidi="ar-SA"/>
        </w:rPr>
      </w:pPr>
    </w:p>
    <w:tbl>
      <w:tblPr>
        <w:tblStyle w:val="37"/>
        <w:tblW w:w="0" w:type="auto"/>
        <w:tblInd w:w="106" w:type="dxa"/>
        <w:tblLayout w:type="fixed"/>
        <w:tblCellMar>
          <w:top w:w="0" w:type="dxa"/>
          <w:left w:w="0" w:type="dxa"/>
          <w:bottom w:w="0" w:type="dxa"/>
          <w:right w:w="0" w:type="dxa"/>
        </w:tblCellMar>
      </w:tblPr>
      <w:tblGrid>
        <w:gridCol w:w="2390"/>
        <w:gridCol w:w="1133"/>
        <w:gridCol w:w="1474"/>
        <w:gridCol w:w="1701"/>
        <w:gridCol w:w="1418"/>
      </w:tblGrid>
      <w:tr>
        <w:tblPrEx>
          <w:tblCellMar>
            <w:top w:w="0" w:type="dxa"/>
            <w:left w:w="0" w:type="dxa"/>
            <w:bottom w:w="0" w:type="dxa"/>
            <w:right w:w="0" w:type="dxa"/>
          </w:tblCellMar>
        </w:tblPrEx>
        <w:trPr>
          <w:trHeight w:val="943" w:hRule="exact"/>
        </w:trPr>
        <w:tc>
          <w:tcPr>
            <w:tcW w:w="2390" w:type="dxa"/>
            <w:tcBorders>
              <w:top w:val="single" w:color="000000" w:sz="4" w:space="0"/>
              <w:left w:val="single" w:color="000000" w:sz="4" w:space="0"/>
              <w:bottom w:val="single" w:color="000000" w:sz="4" w:space="0"/>
              <w:right w:val="single" w:color="000000" w:sz="4" w:space="0"/>
            </w:tcBorders>
            <w:noWrap w:val="0"/>
            <w:vAlign w:val="center"/>
          </w:tcPr>
          <w:p>
            <w:pPr>
              <w:pStyle w:val="10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类别</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pStyle w:val="10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firstLine="280" w:firstLineChars="10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初级</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pPr>
              <w:pStyle w:val="10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中 级</w:t>
            </w:r>
          </w:p>
          <w:p>
            <w:pPr>
              <w:pStyle w:val="10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（技师）</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Style w:val="10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副高职称</w:t>
            </w:r>
          </w:p>
          <w:p>
            <w:pPr>
              <w:pStyle w:val="10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（高级技师）</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10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正高职称</w:t>
            </w:r>
          </w:p>
        </w:tc>
      </w:tr>
      <w:tr>
        <w:tblPrEx>
          <w:tblCellMar>
            <w:top w:w="0" w:type="dxa"/>
            <w:left w:w="0" w:type="dxa"/>
            <w:bottom w:w="0" w:type="dxa"/>
            <w:right w:w="0" w:type="dxa"/>
          </w:tblCellMar>
        </w:tblPrEx>
        <w:trPr>
          <w:trHeight w:val="577" w:hRule="exact"/>
        </w:trPr>
        <w:tc>
          <w:tcPr>
            <w:tcW w:w="2390" w:type="dxa"/>
            <w:tcBorders>
              <w:top w:val="single" w:color="000000" w:sz="4" w:space="0"/>
              <w:left w:val="single" w:color="000000" w:sz="4" w:space="0"/>
              <w:bottom w:val="single" w:color="000000" w:sz="4" w:space="0"/>
              <w:right w:val="single" w:color="000000" w:sz="4" w:space="0"/>
            </w:tcBorders>
            <w:noWrap w:val="0"/>
            <w:vAlign w:val="center"/>
          </w:tcPr>
          <w:p>
            <w:pPr>
              <w:pStyle w:val="10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校内教师（业余）</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pStyle w:val="10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58</w:t>
            </w:r>
          </w:p>
        </w:tc>
        <w:tc>
          <w:tcPr>
            <w:tcW w:w="1474" w:type="dxa"/>
            <w:tcBorders>
              <w:top w:val="single" w:color="000000" w:sz="4" w:space="0"/>
              <w:left w:val="single" w:color="000000" w:sz="4" w:space="0"/>
              <w:bottom w:val="single" w:color="000000" w:sz="4" w:space="0"/>
              <w:right w:val="single" w:color="000000" w:sz="4" w:space="0"/>
            </w:tcBorders>
            <w:noWrap w:val="0"/>
            <w:vAlign w:val="center"/>
          </w:tcPr>
          <w:p>
            <w:pPr>
              <w:pStyle w:val="10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65</w:t>
            </w:r>
          </w:p>
        </w:tc>
        <w:tc>
          <w:tcPr>
            <w:tcW w:w="1701" w:type="dxa"/>
            <w:tcBorders>
              <w:top w:val="single" w:color="000000" w:sz="4" w:space="0"/>
              <w:left w:val="single" w:color="000000" w:sz="4" w:space="0"/>
              <w:bottom w:val="single" w:color="000000" w:sz="4" w:space="0"/>
              <w:right w:val="single" w:color="000000" w:sz="4" w:space="0"/>
            </w:tcBorders>
            <w:noWrap w:val="0"/>
            <w:vAlign w:val="center"/>
          </w:tcPr>
          <w:p>
            <w:pPr>
              <w:pStyle w:val="10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72</w:t>
            </w:r>
          </w:p>
        </w:tc>
        <w:tc>
          <w:tcPr>
            <w:tcW w:w="1418" w:type="dxa"/>
            <w:tcBorders>
              <w:top w:val="single" w:color="000000" w:sz="4" w:space="0"/>
              <w:left w:val="single" w:color="000000" w:sz="4" w:space="0"/>
              <w:bottom w:val="single" w:color="000000" w:sz="4" w:space="0"/>
              <w:right w:val="single" w:color="000000" w:sz="4" w:space="0"/>
            </w:tcBorders>
            <w:noWrap w:val="0"/>
            <w:vAlign w:val="center"/>
          </w:tcPr>
          <w:p>
            <w:pPr>
              <w:pStyle w:val="108"/>
              <w:keepNext w:val="0"/>
              <w:keepLines w:val="0"/>
              <w:pageBreakBefore w:val="0"/>
              <w:widowControl w:val="0"/>
              <w:kinsoku w:val="0"/>
              <w:wordWrap/>
              <w:overflowPunct w:val="0"/>
              <w:topLinePunct w:val="0"/>
              <w:autoSpaceDE w:val="0"/>
              <w:autoSpaceDN w:val="0"/>
              <w:bidi w:val="0"/>
              <w:adjustRightInd w:val="0"/>
              <w:snapToGrid w:val="0"/>
              <w:spacing w:before="0"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79</w:t>
            </w:r>
          </w:p>
        </w:tc>
      </w:tr>
    </w:tbl>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2.校外兼课教师（含退休返聘人员）</w:t>
      </w:r>
    </w:p>
    <w:tbl>
      <w:tblPr>
        <w:tblStyle w:val="37"/>
        <w:tblW w:w="0" w:type="auto"/>
        <w:tblInd w:w="0" w:type="dxa"/>
        <w:tblLayout w:type="fixed"/>
        <w:tblCellMar>
          <w:top w:w="0" w:type="dxa"/>
          <w:left w:w="0" w:type="dxa"/>
          <w:bottom w:w="0" w:type="dxa"/>
          <w:right w:w="0" w:type="dxa"/>
        </w:tblCellMar>
      </w:tblPr>
      <w:tblGrid>
        <w:gridCol w:w="1641"/>
        <w:gridCol w:w="1617"/>
        <w:gridCol w:w="1094"/>
        <w:gridCol w:w="1245"/>
        <w:gridCol w:w="1230"/>
        <w:gridCol w:w="1231"/>
      </w:tblGrid>
      <w:tr>
        <w:tblPrEx>
          <w:tblCellMar>
            <w:top w:w="0" w:type="dxa"/>
            <w:left w:w="0" w:type="dxa"/>
            <w:bottom w:w="0" w:type="dxa"/>
            <w:right w:w="0" w:type="dxa"/>
          </w:tblCellMar>
        </w:tblPrEx>
        <w:trPr>
          <w:trHeight w:val="510" w:hRule="exact"/>
        </w:trPr>
        <w:tc>
          <w:tcPr>
            <w:tcW w:w="16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职称</w:t>
            </w:r>
          </w:p>
        </w:tc>
        <w:tc>
          <w:tcPr>
            <w:tcW w:w="161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无职称</w:t>
            </w:r>
          </w:p>
        </w:tc>
        <w:tc>
          <w:tcPr>
            <w:tcW w:w="109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初级</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中级</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副高</w:t>
            </w:r>
          </w:p>
        </w:tc>
        <w:tc>
          <w:tcPr>
            <w:tcW w:w="123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正高</w:t>
            </w:r>
          </w:p>
        </w:tc>
      </w:tr>
      <w:tr>
        <w:tblPrEx>
          <w:tblCellMar>
            <w:top w:w="0" w:type="dxa"/>
            <w:left w:w="0" w:type="dxa"/>
            <w:bottom w:w="0" w:type="dxa"/>
            <w:right w:w="0" w:type="dxa"/>
          </w:tblCellMar>
        </w:tblPrEx>
        <w:trPr>
          <w:trHeight w:val="1260" w:hRule="exact"/>
        </w:trPr>
        <w:tc>
          <w:tcPr>
            <w:tcW w:w="16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课酬标准</w:t>
            </w:r>
          </w:p>
        </w:tc>
        <w:tc>
          <w:tcPr>
            <w:tcW w:w="271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50</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原则上不聘</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center"/>
              <w:textAlignment w:val="auto"/>
              <w:outlineLvl w:val="9"/>
              <w:rPr>
                <w:rFonts w:hint="eastAsia" w:ascii="仿宋_GB2312" w:hAnsi="仿宋_GB2312" w:eastAsia="仿宋_GB2312" w:cs="仿宋_GB2312"/>
                <w:kern w:val="2"/>
                <w:sz w:val="28"/>
                <w:szCs w:val="28"/>
                <w:highlight w:val="none"/>
                <w:lang w:val="en-US" w:eastAsia="zh-CN" w:bidi="ar-SA"/>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95</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115</w:t>
            </w:r>
          </w:p>
        </w:tc>
        <w:tc>
          <w:tcPr>
            <w:tcW w:w="123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jc w:val="center"/>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135</w:t>
            </w:r>
          </w:p>
        </w:tc>
      </w:tr>
    </w:tbl>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hanging="14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（二）课时津贴标准其他规定</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42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1.继续教育学院与其他院校进行联合办学，其他院校教师指导学生 毕业设计（论文）的课时津贴按合作院校的文件标准执行。</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59"/>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2.教学备课、辅导答疑、批改作业、出卷阅卷、论文答辩等属教学环节，不再另计报酬，教师必须按有关规定认真执行。</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 有关兼职教师聘用与管理办法参照上海电子信息职业技术学院关于印发《上海电子信息职业技术学院兼职教师聘用与管理办法（修订稿）》的通知（沪电信职院[2018]175号）执行。</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firstLine="559"/>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四、本办法自发文之日起施行，原相关规定自行终止,本办法由人事处、教务处负责解释。</w:t>
      </w:r>
    </w:p>
    <w:p>
      <w:pPr>
        <w:pStyle w:val="15"/>
        <w:pageBreakBefore w:val="0"/>
        <w:kinsoku w:val="0"/>
        <w:overflowPunct w:val="0"/>
        <w:topLinePunct w:val="0"/>
        <w:bidi w:val="0"/>
        <w:spacing w:before="0"/>
        <w:ind w:left="0"/>
        <w:jc w:val="left"/>
        <w:outlineLvl w:val="9"/>
        <w:rPr>
          <w:rFonts w:hint="eastAsia" w:ascii="仿宋_GB2312" w:hAnsi="仿宋_GB2312" w:eastAsia="仿宋_GB2312" w:cs="仿宋_GB2312"/>
          <w:kern w:val="2"/>
          <w:sz w:val="28"/>
          <w:szCs w:val="28"/>
          <w:highlight w:val="none"/>
          <w:lang w:val="en-US" w:eastAsia="zh-CN" w:bidi="ar-SA"/>
        </w:rPr>
      </w:pPr>
    </w:p>
    <w:p>
      <w:pPr>
        <w:pStyle w:val="15"/>
        <w:pageBreakBefore w:val="0"/>
        <w:kinsoku w:val="0"/>
        <w:overflowPunct w:val="0"/>
        <w:topLinePunct w:val="0"/>
        <w:bidi w:val="0"/>
        <w:spacing w:before="0"/>
        <w:ind w:left="0"/>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ind w:left="0"/>
        <w:textAlignment w:val="auto"/>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ind w:left="0"/>
        <w:textAlignment w:val="auto"/>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ind w:left="0"/>
        <w:textAlignment w:val="auto"/>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outlineLvl w:val="9"/>
        <w:rPr>
          <w:position w:val="-1"/>
          <w:sz w:val="3"/>
          <w:szCs w:val="3"/>
        </w:rPr>
      </w:pPr>
      <w:r>
        <w:rPr>
          <w:position w:val="-1"/>
          <w:sz w:val="3"/>
          <w:szCs w:val="3"/>
        </w:rPr>
        <w:br w:type="page"/>
      </w:r>
    </w:p>
    <w:p>
      <w:pPr>
        <w:pageBreakBefore w:val="0"/>
        <w:topLinePunct w:val="0"/>
        <w:bidi w:val="0"/>
        <w:jc w:val="center"/>
        <w:outlineLvl w:val="9"/>
        <w:rPr>
          <w:rFonts w:hint="eastAsia"/>
          <w:sz w:val="24"/>
        </w:rPr>
      </w:pPr>
      <w:bookmarkStart w:id="335" w:name="_Toc20640"/>
      <w:bookmarkStart w:id="336" w:name="_Toc31154"/>
      <w:bookmarkStart w:id="337" w:name="_Toc25863"/>
      <w:bookmarkStart w:id="338" w:name="_Toc4158"/>
    </w:p>
    <w:p>
      <w:pPr>
        <w:pageBreakBefore w:val="0"/>
        <w:topLinePunct w:val="0"/>
        <w:bidi w:val="0"/>
        <w:jc w:val="center"/>
        <w:outlineLvl w:val="9"/>
        <w:rPr>
          <w:rFonts w:hint="eastAsia"/>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rFonts w:hint="eastAsia"/>
          <w:sz w:val="24"/>
        </w:rPr>
      </w:pPr>
    </w:p>
    <w:p>
      <w:pPr>
        <w:pageBreakBefore w:val="0"/>
        <w:topLinePunct w:val="0"/>
        <w:bidi w:val="0"/>
        <w:jc w:val="center"/>
        <w:outlineLvl w:val="9"/>
        <w:rPr>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spacing w:before="156" w:beforeLines="50"/>
        <w:jc w:val="center"/>
        <w:outlineLvl w:val="9"/>
        <w:rPr>
          <w:sz w:val="24"/>
        </w:rPr>
      </w:pPr>
    </w:p>
    <w:p>
      <w:pPr>
        <w:pageBreakBefore w:val="0"/>
        <w:topLinePunct w:val="0"/>
        <w:bidi w:val="0"/>
        <w:spacing w:before="156" w:beforeLines="50"/>
        <w:jc w:val="center"/>
        <w:outlineLvl w:val="9"/>
        <w:rPr>
          <w:rFonts w:ascii="仿宋_GB2312" w:eastAsia="仿宋_GB2312"/>
          <w:sz w:val="32"/>
          <w:szCs w:val="32"/>
        </w:rPr>
      </w:pPr>
      <w:r>
        <w:rPr>
          <w:rFonts w:hint="eastAsia" w:ascii="仿宋_GB2312" w:eastAsia="仿宋_GB2312"/>
          <w:color w:val="000000"/>
          <w:kern w:val="0"/>
          <w:sz w:val="32"/>
          <w:szCs w:val="28"/>
        </w:rPr>
        <w:t xml:space="preserve">沪电信职院〔2021〕42号  </w:t>
      </w:r>
    </w:p>
    <w:p>
      <w:pPr>
        <w:pageBreakBefore w:val="0"/>
        <w:topLinePunct w:val="0"/>
        <w:bidi w:val="0"/>
        <w:spacing w:line="440" w:lineRule="exact"/>
        <w:outlineLvl w:val="9"/>
        <w:rPr>
          <w:rFonts w:hint="eastAsia" w:ascii="黑体" w:eastAsia="黑体"/>
          <w:color w:val="FF0000"/>
          <w:sz w:val="28"/>
          <w:szCs w:val="28"/>
          <w:u w:val="thick"/>
        </w:rPr>
      </w:pPr>
      <w:r>
        <w:rPr>
          <w:rFonts w:hint="eastAsia" w:ascii="黑体" w:eastAsia="黑体"/>
          <w:color w:val="FF0000"/>
          <w:sz w:val="28"/>
          <w:szCs w:val="28"/>
          <w:u w:val="thick"/>
        </w:rPr>
        <w:t xml:space="preserve">                                                           </w:t>
      </w:r>
    </w:p>
    <w:p>
      <w:pPr>
        <w:pageBreakBefore w:val="0"/>
        <w:topLinePunct w:val="0"/>
        <w:bidi w:val="0"/>
        <w:spacing w:line="560" w:lineRule="exact"/>
        <w:jc w:val="center"/>
        <w:outlineLvl w:val="9"/>
        <w:rPr>
          <w:rFonts w:hint="eastAsia" w:hAnsi="华文中宋" w:eastAsia="华文中宋"/>
          <w:b/>
          <w:kern w:val="0"/>
          <w:sz w:val="36"/>
          <w:szCs w:val="36"/>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黑体" w:hAnsi="黑体" w:eastAsia="黑体" w:cs="黑体"/>
          <w:b/>
          <w:color w:val="000000"/>
          <w:sz w:val="36"/>
          <w:szCs w:val="36"/>
        </w:rPr>
      </w:pPr>
      <w:bookmarkStart w:id="339" w:name="_Toc10603"/>
      <w:r>
        <w:rPr>
          <w:rFonts w:hint="eastAsia" w:ascii="黑体" w:hAnsi="黑体" w:eastAsia="黑体" w:cs="黑体"/>
          <w:b/>
          <w:kern w:val="0"/>
          <w:sz w:val="36"/>
          <w:szCs w:val="36"/>
        </w:rPr>
        <w:t>关于印发《上海电子信息职业技术学院专业建设指导委员会章程</w:t>
      </w:r>
      <w:r>
        <w:rPr>
          <w:rFonts w:hint="eastAsia" w:ascii="黑体" w:hAnsi="黑体" w:eastAsia="黑体" w:cs="黑体"/>
          <w:b/>
          <w:kern w:val="0"/>
          <w:sz w:val="36"/>
          <w:szCs w:val="36"/>
          <w:lang w:eastAsia="zh-CN"/>
        </w:rPr>
        <w:t>（</w:t>
      </w:r>
      <w:r>
        <w:rPr>
          <w:rFonts w:hint="eastAsia" w:ascii="黑体" w:hAnsi="黑体" w:eastAsia="黑体" w:cs="黑体"/>
          <w:b/>
          <w:kern w:val="0"/>
          <w:sz w:val="36"/>
          <w:szCs w:val="36"/>
          <w:lang w:val="en-US" w:eastAsia="zh-CN"/>
        </w:rPr>
        <w:t>修订</w:t>
      </w:r>
      <w:r>
        <w:rPr>
          <w:rFonts w:hint="eastAsia" w:ascii="黑体" w:hAnsi="黑体" w:eastAsia="黑体" w:cs="黑体"/>
          <w:b/>
          <w:kern w:val="0"/>
          <w:sz w:val="36"/>
          <w:szCs w:val="36"/>
          <w:lang w:eastAsia="zh-CN"/>
        </w:rPr>
        <w:t>）</w:t>
      </w:r>
      <w:r>
        <w:rPr>
          <w:rFonts w:hint="eastAsia" w:ascii="黑体" w:hAnsi="黑体" w:eastAsia="黑体" w:cs="黑体"/>
          <w:b/>
          <w:kern w:val="0"/>
          <w:sz w:val="36"/>
          <w:szCs w:val="36"/>
        </w:rPr>
        <w:t>》的通知</w:t>
      </w:r>
      <w:bookmarkEnd w:id="339"/>
    </w:p>
    <w:p>
      <w:pPr>
        <w:pageBreakBefore w:val="0"/>
        <w:widowControl/>
        <w:topLinePunct w:val="0"/>
        <w:bidi w:val="0"/>
        <w:adjustRightInd w:val="0"/>
        <w:snapToGrid w:val="0"/>
        <w:spacing w:before="312" w:beforeLines="100"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各教学单位、职能部门： </w:t>
      </w:r>
    </w:p>
    <w:p>
      <w:pPr>
        <w:pageBreakBefore w:val="0"/>
        <w:topLinePunct w:val="0"/>
        <w:bidi w:val="0"/>
        <w:spacing w:line="560" w:lineRule="exact"/>
        <w:ind w:firstLine="645"/>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现将《上海电子信息职业技术学院专业建设指导委员会</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章程（修订）》印发给你们，请结合本部门工作实际，认真研究执行。</w:t>
      </w:r>
    </w:p>
    <w:p>
      <w:pPr>
        <w:pageBreakBefore w:val="0"/>
        <w:topLinePunct w:val="0"/>
        <w:bidi w:val="0"/>
        <w:spacing w:line="560" w:lineRule="exact"/>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jc w:val="both"/>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jc w:val="both"/>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附件：上海电子信息职业技术学院专业建设指导委员会章程（修订）</w:t>
      </w:r>
    </w:p>
    <w:p>
      <w:pPr>
        <w:pStyle w:val="15"/>
        <w:pageBreakBefore w:val="0"/>
        <w:topLinePunct w:val="0"/>
        <w:bidi w:val="0"/>
        <w:spacing w:after="0" w:line="56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ind w:left="1575" w:leftChars="350" w:hanging="840" w:hangingChars="3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ind w:left="1693" w:leftChars="806" w:firstLine="1120" w:firstLineChars="4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r>
        <w:rPr>
          <w:rFonts w:hint="eastAsia" w:ascii="仿宋_GB2312" w:hAnsi="仿宋_GB2312" w:eastAsia="仿宋_GB2312" w:cs="仿宋_GB2312"/>
          <w:kern w:val="2"/>
          <w:sz w:val="28"/>
          <w:szCs w:val="28"/>
          <w:highlight w:val="none"/>
          <w:lang w:val="en-US" w:eastAsia="zh-CN" w:bidi="ar-SA"/>
        </w:rPr>
        <w:br w:type="textWrapping"/>
      </w:r>
      <w:r>
        <w:rPr>
          <w:rFonts w:hint="eastAsia" w:ascii="仿宋_GB2312" w:hAnsi="仿宋_GB2312" w:eastAsia="仿宋_GB2312" w:cs="仿宋_GB2312"/>
          <w:kern w:val="2"/>
          <w:sz w:val="28"/>
          <w:szCs w:val="28"/>
          <w:highlight w:val="none"/>
          <w:lang w:val="en-US" w:eastAsia="zh-CN" w:bidi="ar-SA"/>
        </w:rPr>
        <w:t xml:space="preserve">                  2021年4月16日</w:t>
      </w:r>
    </w:p>
    <w:p>
      <w:pPr>
        <w:pageBreakBefore w:val="0"/>
        <w:topLinePunct w:val="0"/>
        <w:bidi w:val="0"/>
        <w:spacing w:line="500" w:lineRule="exact"/>
        <w:jc w:val="center"/>
        <w:outlineLvl w:val="9"/>
        <w:rPr>
          <w:rFonts w:hint="eastAsia" w:eastAsia="仿宋_GB2312"/>
          <w:sz w:val="32"/>
          <w:szCs w:val="32"/>
        </w:rPr>
      </w:pPr>
    </w:p>
    <w:p>
      <w:pPr>
        <w:pageBreakBefore w:val="0"/>
        <w:topLinePunct w:val="0"/>
        <w:bidi w:val="0"/>
        <w:spacing w:line="500" w:lineRule="exact"/>
        <w:jc w:val="both"/>
        <w:outlineLvl w:val="9"/>
        <w:rPr>
          <w:rFonts w:hint="eastAsia" w:eastAsia="仿宋_GB2312"/>
          <w:sz w:val="32"/>
          <w:szCs w:val="32"/>
        </w:rPr>
      </w:pPr>
    </w:p>
    <w:p>
      <w:pPr>
        <w:pageBreakBefore w:val="0"/>
        <w:topLinePunct w:val="0"/>
        <w:bidi w:val="0"/>
        <w:spacing w:line="56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w:t>
      </w:r>
    </w:p>
    <w:p>
      <w:pPr>
        <w:pageBreakBefore w:val="0"/>
        <w:topLinePunct w:val="0"/>
        <w:bidi w:val="0"/>
        <w:spacing w:line="560" w:lineRule="exact"/>
        <w:jc w:val="center"/>
        <w:outlineLvl w:val="9"/>
        <w:rPr>
          <w:rFonts w:hint="eastAsia" w:ascii="黑体" w:hAnsi="黑体" w:eastAsia="黑体" w:cs="黑体"/>
          <w:b/>
          <w:kern w:val="0"/>
          <w:sz w:val="36"/>
          <w:szCs w:val="36"/>
        </w:rPr>
      </w:pPr>
      <w:r>
        <w:rPr>
          <w:rFonts w:hint="eastAsia" w:ascii="黑体" w:hAnsi="黑体" w:eastAsia="黑体" w:cs="黑体"/>
          <w:b/>
          <w:kern w:val="0"/>
          <w:sz w:val="36"/>
          <w:szCs w:val="36"/>
        </w:rPr>
        <w:t>上海电子信息职业技术学院</w:t>
      </w:r>
    </w:p>
    <w:p>
      <w:pPr>
        <w:pageBreakBefore w:val="0"/>
        <w:topLinePunct w:val="0"/>
        <w:bidi w:val="0"/>
        <w:spacing w:line="560" w:lineRule="exact"/>
        <w:jc w:val="center"/>
        <w:outlineLvl w:val="9"/>
        <w:rPr>
          <w:rFonts w:hint="eastAsia" w:ascii="黑体" w:hAnsi="黑体" w:eastAsia="黑体" w:cs="黑体"/>
          <w:b/>
          <w:kern w:val="0"/>
          <w:sz w:val="36"/>
          <w:szCs w:val="36"/>
          <w:lang w:val="en-US" w:eastAsia="zh-CN"/>
        </w:rPr>
      </w:pPr>
      <w:r>
        <w:rPr>
          <w:rFonts w:hint="eastAsia" w:ascii="黑体" w:hAnsi="黑体" w:eastAsia="黑体" w:cs="黑体"/>
          <w:b/>
          <w:kern w:val="0"/>
          <w:sz w:val="36"/>
          <w:szCs w:val="36"/>
        </w:rPr>
        <w:t>专业建设指导委员会章程</w:t>
      </w:r>
      <w:bookmarkEnd w:id="335"/>
      <w:bookmarkEnd w:id="336"/>
      <w:bookmarkEnd w:id="337"/>
      <w:bookmarkEnd w:id="338"/>
      <w:r>
        <w:rPr>
          <w:rFonts w:hint="eastAsia" w:ascii="黑体" w:hAnsi="黑体" w:eastAsia="黑体" w:cs="黑体"/>
          <w:b/>
          <w:kern w:val="0"/>
          <w:sz w:val="36"/>
          <w:szCs w:val="36"/>
          <w:lang w:eastAsia="zh-CN"/>
        </w:rPr>
        <w:t>（</w:t>
      </w:r>
      <w:r>
        <w:rPr>
          <w:rFonts w:hint="eastAsia" w:ascii="黑体" w:hAnsi="黑体" w:eastAsia="黑体" w:cs="黑体"/>
          <w:b/>
          <w:kern w:val="0"/>
          <w:sz w:val="36"/>
          <w:szCs w:val="36"/>
          <w:lang w:val="en-US" w:eastAsia="zh-CN"/>
        </w:rPr>
        <w:t>修订</w:t>
      </w:r>
      <w:r>
        <w:rPr>
          <w:rFonts w:hint="eastAsia" w:ascii="黑体" w:hAnsi="黑体" w:eastAsia="黑体" w:cs="黑体"/>
          <w:b/>
          <w:kern w:val="0"/>
          <w:sz w:val="36"/>
          <w:szCs w:val="36"/>
          <w:lang w:eastAsia="zh-CN"/>
        </w:rPr>
        <w:t>）</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为大力发展高等职业教育，加快高素质技术技能人才的培养，走产学研结合之路，贯彻实施科教兴国战略，促进高等职业教育教学与生产实践、技术推广、社会服务紧密结合，</w:t>
      </w:r>
      <w:r>
        <w:rPr>
          <w:rFonts w:hint="eastAsia" w:ascii="仿宋_GB2312" w:hAnsi="仿宋_GB2312" w:eastAsia="仿宋_GB2312" w:cs="仿宋_GB2312"/>
          <w:kern w:val="2"/>
          <w:sz w:val="28"/>
          <w:szCs w:val="28"/>
          <w:highlight w:val="none"/>
          <w:lang w:val="zh-CN" w:eastAsia="zh-CN" w:bidi="ar-SA"/>
        </w:rPr>
        <w:t>在总结前几年学校各专业</w:t>
      </w:r>
      <w:r>
        <w:rPr>
          <w:rFonts w:hint="eastAsia" w:ascii="仿宋_GB2312" w:hAnsi="仿宋_GB2312" w:eastAsia="仿宋_GB2312" w:cs="仿宋_GB2312"/>
          <w:kern w:val="2"/>
          <w:sz w:val="28"/>
          <w:szCs w:val="28"/>
          <w:highlight w:val="none"/>
          <w:lang w:val="en-US" w:eastAsia="zh-CN" w:bidi="ar-SA"/>
        </w:rPr>
        <w:t>建设</w:t>
      </w:r>
      <w:r>
        <w:rPr>
          <w:rFonts w:hint="eastAsia" w:ascii="仿宋_GB2312" w:hAnsi="仿宋_GB2312" w:eastAsia="仿宋_GB2312" w:cs="仿宋_GB2312"/>
          <w:kern w:val="2"/>
          <w:sz w:val="28"/>
          <w:szCs w:val="28"/>
          <w:highlight w:val="none"/>
          <w:lang w:val="zh-CN" w:eastAsia="zh-CN" w:bidi="ar-SA"/>
        </w:rPr>
        <w:t>指导委员会工作的基础上，进一步规范</w:t>
      </w:r>
      <w:r>
        <w:rPr>
          <w:rFonts w:hint="eastAsia" w:ascii="仿宋_GB2312" w:hAnsi="仿宋_GB2312" w:eastAsia="仿宋_GB2312" w:cs="仿宋_GB2312"/>
          <w:kern w:val="2"/>
          <w:sz w:val="28"/>
          <w:szCs w:val="28"/>
          <w:highlight w:val="none"/>
          <w:lang w:val="en-US" w:eastAsia="zh-CN" w:bidi="ar-SA"/>
        </w:rPr>
        <w:t>学校各专</w:t>
      </w:r>
      <w:r>
        <w:rPr>
          <w:rFonts w:hint="eastAsia" w:ascii="仿宋_GB2312" w:hAnsi="仿宋_GB2312" w:eastAsia="仿宋_GB2312" w:cs="仿宋_GB2312"/>
          <w:kern w:val="2"/>
          <w:sz w:val="28"/>
          <w:szCs w:val="28"/>
          <w:highlight w:val="none"/>
          <w:lang w:val="zh-CN" w:eastAsia="zh-CN" w:bidi="ar-SA"/>
        </w:rPr>
        <w:t>业</w:t>
      </w:r>
      <w:r>
        <w:rPr>
          <w:rFonts w:hint="eastAsia" w:ascii="仿宋_GB2312" w:hAnsi="仿宋_GB2312" w:eastAsia="仿宋_GB2312" w:cs="仿宋_GB2312"/>
          <w:kern w:val="2"/>
          <w:sz w:val="28"/>
          <w:szCs w:val="28"/>
          <w:highlight w:val="none"/>
          <w:lang w:val="en-US" w:eastAsia="zh-CN" w:bidi="ar-SA"/>
        </w:rPr>
        <w:t>建设</w:t>
      </w:r>
      <w:r>
        <w:rPr>
          <w:rFonts w:hint="eastAsia" w:ascii="仿宋_GB2312" w:hAnsi="仿宋_GB2312" w:eastAsia="仿宋_GB2312" w:cs="仿宋_GB2312"/>
          <w:kern w:val="2"/>
          <w:sz w:val="28"/>
          <w:szCs w:val="28"/>
          <w:highlight w:val="none"/>
          <w:lang w:val="zh-CN" w:eastAsia="zh-CN" w:bidi="ar-SA"/>
        </w:rPr>
        <w:t>指导委员会的工作，</w:t>
      </w:r>
      <w:r>
        <w:rPr>
          <w:rFonts w:hint="eastAsia" w:ascii="仿宋_GB2312" w:hAnsi="仿宋_GB2312" w:eastAsia="仿宋_GB2312" w:cs="仿宋_GB2312"/>
          <w:kern w:val="2"/>
          <w:sz w:val="28"/>
          <w:szCs w:val="28"/>
          <w:highlight w:val="none"/>
          <w:lang w:val="en-US" w:eastAsia="zh-CN" w:bidi="ar-SA"/>
        </w:rPr>
        <w:t>特制定本章程。</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bookmarkStart w:id="340" w:name="_Toc295991757"/>
      <w:r>
        <w:rPr>
          <w:rFonts w:hint="eastAsia" w:ascii="仿宋_GB2312" w:hAnsi="仿宋_GB2312" w:eastAsia="仿宋_GB2312" w:cs="仿宋_GB2312"/>
          <w:kern w:val="2"/>
          <w:sz w:val="28"/>
          <w:szCs w:val="28"/>
          <w:highlight w:val="none"/>
          <w:lang w:val="en-US" w:eastAsia="zh-CN" w:bidi="ar-SA"/>
        </w:rPr>
        <w:t>一、总 则</w:t>
      </w:r>
      <w:bookmarkEnd w:id="340"/>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（一）学校按专业大类设立专业建设指导委员会。</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（二）专业建设指导委员会应在国家教育方针的指导下，根据《职业教育法》、《教育部关于加强高职高专教育人才培养工作的意见》等有关法规和文件精神的要求，结合学校和企业实际开展工作。</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bookmarkStart w:id="341" w:name="_Toc295991758"/>
      <w:r>
        <w:rPr>
          <w:rFonts w:hint="eastAsia" w:ascii="仿宋_GB2312" w:hAnsi="仿宋_GB2312" w:eastAsia="仿宋_GB2312" w:cs="仿宋_GB2312"/>
          <w:kern w:val="2"/>
          <w:sz w:val="28"/>
          <w:szCs w:val="28"/>
          <w:highlight w:val="none"/>
          <w:lang w:val="en-US" w:eastAsia="zh-CN" w:bidi="ar-SA"/>
        </w:rPr>
        <w:t>二、设 立</w:t>
      </w:r>
      <w:bookmarkEnd w:id="341"/>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（一）共设立电子信息类、计算机类、装备制造类专业、交通运输类、商贸与服务类、文化艺术类和语言类7个专业建设指导委员会。</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电子信息类专业建设指导委员会指导电子竞技运动与管理、移动互联应用技术、应用电子技术、集成电路技术、微电子技术、现代通信技术、汽车智能技术和智能互联网络技术共8个专业。</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计算机类专业建设指导委员会指导计算机应用技术、计算机网络技、软件技术、大数据技术、信息安全技术应用、人工智能技术应用和数字媒体技术共7个专业。</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装备制造类专业建设指导委员会指导建筑智能化工程技术、数控技术、机电一体化技术、工业机器人技术、电气自动化技术、智能控制技术和无人机应用技术共7个专业。</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交通运输类专业建设指导委员会指导飞机机电设备维修和飞机电子设备维修2个专业。</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商贸与服务类专业建设指导委员会指导金融管理、会计、国际商务、跨境电子商务、会展策划与管理和人力资源管理共6个专业。</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文化艺术类专业建设指导委员会指导数字媒体艺术设计、产品艺术设计、环境艺术设计和影视动画共4个专业.</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语言类专业建设指导委员会指导应用英语和应用德语2个专业。</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新增专业按专业大类归属到相应专业建设指导委员会。</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专业建设指导委员会一般由7－9名成员组成。专业建设指导委员会成员为7人者，来自高职院校（含本校）不多于2人，普通高校不多于1人，行企业不少于4人；专业建设指导委员会成员为9人者，来自高职院校不多于2人，普通高校不多于1人，行企业不少于6人。</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专业建设指导委员会成员应具有副高及以上专业技术职称或在行企业担任中层以上职务，热爱职业教育事业，关心支持学校专业建设和发展，从事相关专业的教学、管理或企业技术、管理工作，并有较高的学术造诣或较丰富的实践经验。企业委员来源的企业需具有一定规模，企业及其本人在本行业有一定影响力。</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（四）专业建设指导委员会设主任1人、副主任1人，本校人员中有一人担任副主任或主任。设秘书1名，由相关专业的系主任、教研室主任、专业带头人或骨干教师担任</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w:t>
      </w:r>
      <w:r>
        <w:rPr>
          <w:rFonts w:hint="eastAsia" w:ascii="仿宋_GB2312" w:hAnsi="仿宋_GB2312" w:eastAsia="仿宋_GB2312" w:cs="仿宋_GB2312"/>
          <w:kern w:val="2"/>
          <w:sz w:val="28"/>
          <w:szCs w:val="28"/>
          <w:highlight w:val="none"/>
          <w:lang w:val="zh-CN" w:eastAsia="zh-CN" w:bidi="ar-SA"/>
        </w:rPr>
        <w:t>专业</w:t>
      </w:r>
      <w:r>
        <w:rPr>
          <w:rFonts w:hint="eastAsia" w:ascii="仿宋_GB2312" w:hAnsi="仿宋_GB2312" w:eastAsia="仿宋_GB2312" w:cs="仿宋_GB2312"/>
          <w:kern w:val="2"/>
          <w:sz w:val="28"/>
          <w:szCs w:val="28"/>
          <w:highlight w:val="none"/>
          <w:lang w:val="en-US" w:eastAsia="zh-CN" w:bidi="ar-SA"/>
        </w:rPr>
        <w:t>建设</w:t>
      </w:r>
      <w:r>
        <w:rPr>
          <w:rFonts w:hint="eastAsia" w:ascii="仿宋_GB2312" w:hAnsi="仿宋_GB2312" w:eastAsia="仿宋_GB2312" w:cs="仿宋_GB2312"/>
          <w:kern w:val="2"/>
          <w:sz w:val="28"/>
          <w:szCs w:val="28"/>
          <w:highlight w:val="none"/>
          <w:lang w:val="zh-CN" w:eastAsia="zh-CN" w:bidi="ar-SA"/>
        </w:rPr>
        <w:t>指导委员会成员由</w:t>
      </w:r>
      <w:r>
        <w:rPr>
          <w:rFonts w:hint="eastAsia" w:ascii="仿宋_GB2312" w:hAnsi="仿宋_GB2312" w:eastAsia="仿宋_GB2312" w:cs="仿宋_GB2312"/>
          <w:kern w:val="2"/>
          <w:sz w:val="28"/>
          <w:szCs w:val="28"/>
          <w:highlight w:val="none"/>
          <w:lang w:val="en-US" w:eastAsia="zh-CN" w:bidi="ar-SA"/>
        </w:rPr>
        <w:t>各二级学院推荐</w:t>
      </w:r>
      <w:r>
        <w:rPr>
          <w:rFonts w:hint="eastAsia" w:ascii="仿宋_GB2312" w:hAnsi="仿宋_GB2312" w:eastAsia="仿宋_GB2312" w:cs="仿宋_GB2312"/>
          <w:kern w:val="2"/>
          <w:sz w:val="28"/>
          <w:szCs w:val="28"/>
          <w:highlight w:val="none"/>
          <w:lang w:val="zh-CN" w:eastAsia="zh-CN" w:bidi="ar-SA"/>
        </w:rPr>
        <w:t>，教务处审核，校长审批，由学校颁发聘书，</w:t>
      </w:r>
      <w:r>
        <w:rPr>
          <w:rFonts w:hint="eastAsia" w:ascii="仿宋_GB2312" w:hAnsi="仿宋_GB2312" w:eastAsia="仿宋_GB2312" w:cs="仿宋_GB2312"/>
          <w:kern w:val="2"/>
          <w:sz w:val="28"/>
          <w:szCs w:val="28"/>
          <w:highlight w:val="none"/>
          <w:lang w:val="en-US" w:eastAsia="zh-CN" w:bidi="ar-SA"/>
        </w:rPr>
        <w:t>每届任期三年，可以连任</w:t>
      </w:r>
      <w:r>
        <w:rPr>
          <w:rFonts w:hint="eastAsia" w:ascii="仿宋_GB2312" w:hAnsi="仿宋_GB2312" w:eastAsia="仿宋_GB2312" w:cs="仿宋_GB2312"/>
          <w:kern w:val="2"/>
          <w:sz w:val="28"/>
          <w:szCs w:val="28"/>
          <w:highlight w:val="none"/>
          <w:lang w:val="zh-CN" w:eastAsia="zh-CN" w:bidi="ar-SA"/>
        </w:rPr>
        <w:t>。任期内可根据实际情况变化，个别可作届中调整。</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bookmarkStart w:id="342" w:name="_Toc295991759"/>
      <w:r>
        <w:rPr>
          <w:rFonts w:hint="eastAsia" w:ascii="仿宋_GB2312" w:hAnsi="仿宋_GB2312" w:eastAsia="仿宋_GB2312" w:cs="仿宋_GB2312"/>
          <w:kern w:val="2"/>
          <w:sz w:val="28"/>
          <w:szCs w:val="28"/>
          <w:highlight w:val="none"/>
          <w:lang w:val="en-US" w:eastAsia="zh-CN" w:bidi="ar-SA"/>
        </w:rPr>
        <w:t>三、主要职责</w:t>
      </w:r>
      <w:bookmarkEnd w:id="342"/>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（一）根据区域经济发展的需要，指导专业开发与建设，探索产学研结合的实现途径与模式。</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（二）指导专业人才培养方案、课程标准的编制和修订工作；指导课程与教材建设。</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（三）指导双师结构教学团队建设。</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（四）指导专业实训、实习基地建设工作。</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w:t>
      </w:r>
      <w:r>
        <w:rPr>
          <w:rFonts w:hint="eastAsia" w:ascii="仿宋_GB2312" w:hAnsi="仿宋_GB2312" w:eastAsia="仿宋_GB2312" w:cs="仿宋_GB2312"/>
          <w:kern w:val="2"/>
          <w:sz w:val="28"/>
          <w:szCs w:val="28"/>
          <w:highlight w:val="none"/>
          <w:lang w:val="zh-CN" w:eastAsia="zh-CN" w:bidi="ar-SA"/>
        </w:rPr>
        <w:t>其他与专业建设和改革相关的工作。</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bookmarkStart w:id="343" w:name="_Toc295991760"/>
      <w:r>
        <w:rPr>
          <w:rFonts w:hint="eastAsia" w:ascii="仿宋_GB2312" w:hAnsi="仿宋_GB2312" w:eastAsia="仿宋_GB2312" w:cs="仿宋_GB2312"/>
          <w:kern w:val="2"/>
          <w:sz w:val="28"/>
          <w:szCs w:val="28"/>
          <w:highlight w:val="none"/>
          <w:lang w:val="en-US" w:eastAsia="zh-CN" w:bidi="ar-SA"/>
        </w:rPr>
        <w:t>四、工作制度</w:t>
      </w:r>
      <w:bookmarkEnd w:id="343"/>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（一）专业建设指导委员会每年应召开全体委员例会1－2次，审议和修订专业人才培养方案、专业课程标准等重要教学文件；研讨专业建设、教学改革、科研、管理等方面的事宜并提出意见和建议。</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（二）主任（副主任）负责专业建设指导委员会日常工作的组织安排和具体实施。秘书协助主任（副主任）开展工作，负责具体事务的落实。</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bookmarkStart w:id="344" w:name="_Toc295991761"/>
      <w:r>
        <w:rPr>
          <w:rFonts w:hint="eastAsia" w:ascii="仿宋_GB2312" w:hAnsi="仿宋_GB2312" w:eastAsia="仿宋_GB2312" w:cs="仿宋_GB2312"/>
          <w:kern w:val="2"/>
          <w:sz w:val="28"/>
          <w:szCs w:val="28"/>
          <w:highlight w:val="none"/>
          <w:lang w:val="en-US" w:eastAsia="zh-CN" w:bidi="ar-SA"/>
        </w:rPr>
        <w:t>五、附 则</w:t>
      </w:r>
      <w:bookmarkEnd w:id="344"/>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本章程于公布之日起实施。原《上海电子信息职业技术学院专业建设指导委员会章程》（沪电信职院（2017）100号）废止。</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400" w:lineRule="exact"/>
        <w:jc w:val="both"/>
        <w:outlineLvl w:val="9"/>
        <w:rPr>
          <w:rFonts w:ascii="宋体" w:hAnsi="宋体"/>
          <w:b/>
          <w:bCs/>
          <w:color w:val="000000"/>
          <w:sz w:val="32"/>
          <w:szCs w:val="32"/>
        </w:rPr>
      </w:pPr>
    </w:p>
    <w:p>
      <w:pPr>
        <w:pageBreakBefore w:val="0"/>
        <w:topLinePunct w:val="0"/>
        <w:bidi w:val="0"/>
        <w:spacing w:line="400" w:lineRule="exact"/>
        <w:jc w:val="both"/>
        <w:outlineLvl w:val="9"/>
        <w:rPr>
          <w:rFonts w:ascii="宋体" w:hAnsi="宋体"/>
          <w:b/>
          <w:bCs/>
          <w:color w:val="000000"/>
          <w:sz w:val="32"/>
          <w:szCs w:val="32"/>
        </w:rPr>
      </w:pPr>
    </w:p>
    <w:p>
      <w:pPr>
        <w:pageBreakBefore w:val="0"/>
        <w:topLinePunct w:val="0"/>
        <w:bidi w:val="0"/>
        <w:spacing w:line="400" w:lineRule="exact"/>
        <w:jc w:val="both"/>
        <w:outlineLvl w:val="9"/>
        <w:rPr>
          <w:rFonts w:ascii="宋体" w:hAnsi="宋体"/>
          <w:b/>
          <w:bCs/>
          <w:color w:val="000000"/>
          <w:sz w:val="32"/>
          <w:szCs w:val="32"/>
        </w:rPr>
      </w:pPr>
    </w:p>
    <w:p>
      <w:pPr>
        <w:pageBreakBefore w:val="0"/>
        <w:topLinePunct w:val="0"/>
        <w:bidi w:val="0"/>
        <w:spacing w:line="400" w:lineRule="exact"/>
        <w:jc w:val="both"/>
        <w:outlineLvl w:val="9"/>
        <w:rPr>
          <w:rFonts w:ascii="宋体" w:hAnsi="宋体"/>
          <w:b/>
          <w:bCs/>
          <w:color w:val="000000"/>
          <w:sz w:val="32"/>
          <w:szCs w:val="32"/>
        </w:rPr>
      </w:pPr>
    </w:p>
    <w:p>
      <w:pPr>
        <w:pageBreakBefore w:val="0"/>
        <w:topLinePunct w:val="0"/>
        <w:bidi w:val="0"/>
        <w:spacing w:line="400" w:lineRule="exact"/>
        <w:jc w:val="both"/>
        <w:outlineLvl w:val="9"/>
        <w:rPr>
          <w:rFonts w:ascii="宋体" w:hAnsi="宋体"/>
          <w:b/>
          <w:bCs/>
          <w:color w:val="000000"/>
          <w:sz w:val="32"/>
          <w:szCs w:val="32"/>
        </w:rPr>
      </w:pPr>
    </w:p>
    <w:p>
      <w:pPr>
        <w:pageBreakBefore w:val="0"/>
        <w:topLinePunct w:val="0"/>
        <w:bidi w:val="0"/>
        <w:spacing w:line="400" w:lineRule="exact"/>
        <w:jc w:val="center"/>
        <w:outlineLvl w:val="9"/>
        <w:rPr>
          <w:rFonts w:ascii="宋体" w:hAnsi="宋体"/>
          <w:b/>
          <w:bCs/>
          <w:color w:val="000000"/>
          <w:sz w:val="32"/>
          <w:szCs w:val="32"/>
        </w:rPr>
      </w:pPr>
    </w:p>
    <w:p>
      <w:pPr>
        <w:pageBreakBefore w:val="0"/>
        <w:topLinePunct w:val="0"/>
        <w:bidi w:val="0"/>
        <w:spacing w:line="400" w:lineRule="exact"/>
        <w:jc w:val="center"/>
        <w:outlineLvl w:val="9"/>
        <w:rPr>
          <w:rFonts w:hint="eastAsia" w:ascii="宋体" w:hAnsi="宋体"/>
          <w:b/>
          <w:bCs/>
          <w:color w:val="000000"/>
          <w:sz w:val="36"/>
          <w:szCs w:val="36"/>
        </w:rPr>
      </w:pPr>
      <w:r>
        <w:rPr>
          <w:rFonts w:hint="eastAsia" w:ascii="宋体" w:hAnsi="宋体"/>
          <w:b/>
          <w:bCs/>
          <w:color w:val="000000"/>
          <w:sz w:val="36"/>
          <w:szCs w:val="36"/>
        </w:rPr>
        <w:t>专业建设指导委员会名单一览表</w:t>
      </w:r>
    </w:p>
    <w:p>
      <w:pPr>
        <w:pageBreakBefore w:val="0"/>
        <w:topLinePunct w:val="0"/>
        <w:bidi w:val="0"/>
        <w:spacing w:line="400" w:lineRule="exact"/>
        <w:ind w:firstLine="420" w:firstLineChars="200"/>
        <w:outlineLvl w:val="9"/>
        <w:rPr>
          <w:rFonts w:ascii="宋体" w:hAnsi="宋体"/>
          <w:color w:val="000000"/>
        </w:rPr>
      </w:pPr>
    </w:p>
    <w:p>
      <w:pPr>
        <w:pageBreakBefore w:val="0"/>
        <w:topLinePunct w:val="0"/>
        <w:bidi w:val="0"/>
        <w:spacing w:line="400" w:lineRule="exact"/>
        <w:ind w:firstLine="420" w:firstLineChars="200"/>
        <w:outlineLvl w:val="9"/>
        <w:rPr>
          <w:rFonts w:hint="eastAsia" w:ascii="宋体" w:hAnsi="宋体"/>
          <w:color w:val="000000"/>
        </w:rPr>
      </w:pPr>
    </w:p>
    <w:tbl>
      <w:tblPr>
        <w:tblStyle w:val="37"/>
        <w:tblW w:w="8379" w:type="dxa"/>
        <w:tblInd w:w="93" w:type="dxa"/>
        <w:tblLayout w:type="autofit"/>
        <w:tblCellMar>
          <w:top w:w="0" w:type="dxa"/>
          <w:left w:w="108" w:type="dxa"/>
          <w:bottom w:w="0" w:type="dxa"/>
          <w:right w:w="108" w:type="dxa"/>
        </w:tblCellMar>
      </w:tblPr>
      <w:tblGrid>
        <w:gridCol w:w="453"/>
        <w:gridCol w:w="989"/>
        <w:gridCol w:w="1488"/>
        <w:gridCol w:w="1571"/>
        <w:gridCol w:w="1976"/>
        <w:gridCol w:w="1051"/>
        <w:gridCol w:w="851"/>
      </w:tblGrid>
      <w:tr>
        <w:tblPrEx>
          <w:tblCellMar>
            <w:top w:w="0" w:type="dxa"/>
            <w:left w:w="108" w:type="dxa"/>
            <w:bottom w:w="0" w:type="dxa"/>
            <w:right w:w="108" w:type="dxa"/>
          </w:tblCellMar>
        </w:tblPrEx>
        <w:trPr>
          <w:trHeight w:val="716" w:hRule="atLeast"/>
        </w:trPr>
        <w:tc>
          <w:tcPr>
            <w:tcW w:w="453"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序号</w:t>
            </w:r>
          </w:p>
        </w:tc>
        <w:tc>
          <w:tcPr>
            <w:tcW w:w="989"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专业建设指导委员会名称</w:t>
            </w:r>
          </w:p>
        </w:tc>
        <w:tc>
          <w:tcPr>
            <w:tcW w:w="1488"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成员推荐人选</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人选所在单位</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职称/职务</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担任专业建设指导委员会职务</w:t>
            </w:r>
          </w:p>
        </w:tc>
        <w:tc>
          <w:tcPr>
            <w:tcW w:w="85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秘书</w:t>
            </w:r>
          </w:p>
        </w:tc>
      </w:tr>
      <w:tr>
        <w:tblPrEx>
          <w:tblCellMar>
            <w:top w:w="0" w:type="dxa"/>
            <w:left w:w="108" w:type="dxa"/>
            <w:bottom w:w="0" w:type="dxa"/>
            <w:right w:w="108" w:type="dxa"/>
          </w:tblCellMar>
        </w:tblPrEx>
        <w:trPr>
          <w:trHeight w:val="477" w:hRule="atLeast"/>
        </w:trPr>
        <w:tc>
          <w:tcPr>
            <w:tcW w:w="453" w:type="dxa"/>
            <w:vMerge w:val="restart"/>
            <w:tcBorders>
              <w:top w:val="single" w:color="000000" w:sz="4" w:space="0"/>
              <w:left w:val="single" w:color="000000" w:sz="4" w:space="0"/>
              <w:bottom w:val="nil"/>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1</w:t>
            </w:r>
          </w:p>
        </w:tc>
        <w:tc>
          <w:tcPr>
            <w:tcW w:w="989" w:type="dxa"/>
            <w:vMerge w:val="restart"/>
            <w:tcBorders>
              <w:top w:val="single" w:color="000000" w:sz="4" w:space="0"/>
              <w:left w:val="single" w:color="000000" w:sz="4" w:space="0"/>
              <w:bottom w:val="nil"/>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电子信息类专业建设指导委员会</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邵瑛</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上海电子信息职业技术学院</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副教授/二级学院院长</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主任</w:t>
            </w:r>
          </w:p>
        </w:tc>
        <w:tc>
          <w:tcPr>
            <w:tcW w:w="851" w:type="dxa"/>
            <w:vMerge w:val="restart"/>
            <w:tcBorders>
              <w:top w:val="single" w:color="000000" w:sz="4" w:space="0"/>
              <w:left w:val="single" w:color="000000" w:sz="4" w:space="0"/>
              <w:bottom w:val="nil"/>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沈毓骏</w:t>
            </w: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王德东</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上海邮电设计咨询研究院</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 xml:space="preserve"> 数据勘察设计院院长</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副主任</w:t>
            </w:r>
          </w:p>
        </w:tc>
        <w:tc>
          <w:tcPr>
            <w:tcW w:w="851"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吴荣辉</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捷普科技（上海）有限公司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工程师/技术经理</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283"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杨帆</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复旦大学</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教授</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赖琳晖</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摩尔精英集成电路产业发展有限公司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高级工程师/副总裁</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陈林</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上海华测导航技术股份有限公司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上海分公司总经理</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俞玉莲</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上海电子信息职业技术学院</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通信系主任</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王飞</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上海思萌特物联网有限公司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总经理</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郭亚鹏</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索喜科技（上海）有限公司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研发部高级经理</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restart"/>
            <w:tcBorders>
              <w:top w:val="single" w:color="000000" w:sz="4" w:space="0"/>
              <w:left w:val="single" w:color="000000" w:sz="4" w:space="0"/>
              <w:bottom w:val="nil"/>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2</w:t>
            </w:r>
          </w:p>
        </w:tc>
        <w:tc>
          <w:tcPr>
            <w:tcW w:w="989"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计算机类专业建设指导委员会</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胡国胜</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上海电子信息职业技术学院</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教授/二级学院院长</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主任</w:t>
            </w: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李昉</w:t>
            </w: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单迎春</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上海企顺信息系统有限公司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高工/总经理</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副主任</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283"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朱  峰</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上海城建职业学院</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副教授/专业负责人</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283"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徐晓林</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上海第二工业大学</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副教授/专业负责人</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宋国徽</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上海豌豆信息技术有限公司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上海市信息安全首席技师/总经理</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杨洪山</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上海星环科技有限公司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技术总监</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王荣荣</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深兰科技（上海）有限公司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工程师/教育部门负责人</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黄敏恒</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北京新大陆时代科技教育有限公司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院校合作负责人</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283"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姜斌斌</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华为技术有限公司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技术总监</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rPr>
          <w:trHeight w:val="477" w:hRule="atLeast"/>
        </w:trPr>
        <w:tc>
          <w:tcPr>
            <w:tcW w:w="453" w:type="dxa"/>
            <w:vMerge w:val="restart"/>
            <w:tcBorders>
              <w:top w:val="single" w:color="000000" w:sz="4" w:space="0"/>
              <w:left w:val="single" w:color="000000" w:sz="4" w:space="0"/>
              <w:bottom w:val="nil"/>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3</w:t>
            </w:r>
          </w:p>
        </w:tc>
        <w:tc>
          <w:tcPr>
            <w:tcW w:w="989" w:type="dxa"/>
            <w:vMerge w:val="restart"/>
            <w:tcBorders>
              <w:top w:val="nil"/>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装备制造类专业建设指导委员会</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何永艳</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上海电子信息职业技术学院</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副教授/党总支书记、副院长（主持工作）</w:t>
            </w:r>
          </w:p>
        </w:tc>
        <w:tc>
          <w:tcPr>
            <w:tcW w:w="1051" w:type="dxa"/>
            <w:tcBorders>
              <w:top w:val="single" w:color="000000" w:sz="4" w:space="0"/>
              <w:left w:val="single" w:color="000000" w:sz="4" w:space="0"/>
              <w:bottom w:val="single" w:color="000000" w:sz="4" w:space="0"/>
              <w:right w:val="nil"/>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主任</w:t>
            </w:r>
          </w:p>
        </w:tc>
        <w:tc>
          <w:tcPr>
            <w:tcW w:w="851" w:type="dxa"/>
            <w:vMerge w:val="restart"/>
            <w:tcBorders>
              <w:top w:val="nil"/>
              <w:left w:val="single" w:color="000000" w:sz="4" w:space="0"/>
              <w:bottom w:val="nil"/>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袁冬琴</w:t>
            </w:r>
          </w:p>
        </w:tc>
      </w:tr>
      <w:tr>
        <w:tblPrEx>
          <w:tblCellMar>
            <w:top w:w="0" w:type="dxa"/>
            <w:left w:w="108" w:type="dxa"/>
            <w:bottom w:w="0" w:type="dxa"/>
            <w:right w:w="108" w:type="dxa"/>
          </w:tblCellMar>
        </w:tblPrEx>
        <w:trPr>
          <w:trHeight w:val="283"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nil"/>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沈晔</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同济大学</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教授/二级学院院长</w:t>
            </w:r>
          </w:p>
        </w:tc>
        <w:tc>
          <w:tcPr>
            <w:tcW w:w="1051" w:type="dxa"/>
            <w:tcBorders>
              <w:top w:val="single" w:color="000000" w:sz="4" w:space="0"/>
              <w:left w:val="single" w:color="000000" w:sz="4" w:space="0"/>
              <w:bottom w:val="single" w:color="000000" w:sz="4" w:space="0"/>
              <w:right w:val="nil"/>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副主任</w:t>
            </w:r>
          </w:p>
        </w:tc>
        <w:tc>
          <w:tcPr>
            <w:tcW w:w="851" w:type="dxa"/>
            <w:vMerge w:val="continue"/>
            <w:tcBorders>
              <w:top w:val="nil"/>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nil"/>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郑凯宇</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上海机器人产业技术研究院</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产业推进中心主任</w:t>
            </w:r>
          </w:p>
        </w:tc>
        <w:tc>
          <w:tcPr>
            <w:tcW w:w="1051" w:type="dxa"/>
            <w:tcBorders>
              <w:top w:val="single" w:color="000000" w:sz="4" w:space="0"/>
              <w:left w:val="single" w:color="000000" w:sz="4" w:space="0"/>
              <w:bottom w:val="single" w:color="000000" w:sz="4" w:space="0"/>
              <w:right w:val="nil"/>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nil"/>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nil"/>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秦文津</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上海航天科技集团公司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项目工程师</w:t>
            </w:r>
          </w:p>
        </w:tc>
        <w:tc>
          <w:tcPr>
            <w:tcW w:w="1051" w:type="dxa"/>
            <w:tcBorders>
              <w:top w:val="single" w:color="000000" w:sz="4" w:space="0"/>
              <w:left w:val="single" w:color="000000" w:sz="4" w:space="0"/>
              <w:bottom w:val="single" w:color="000000" w:sz="4" w:space="0"/>
              <w:right w:val="nil"/>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nil"/>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nil"/>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章嘉浩</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上海电气自动化设计有限公司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高级工程师/运营总监</w:t>
            </w:r>
          </w:p>
        </w:tc>
        <w:tc>
          <w:tcPr>
            <w:tcW w:w="1051" w:type="dxa"/>
            <w:tcBorders>
              <w:top w:val="single" w:color="000000" w:sz="4" w:space="0"/>
              <w:left w:val="single" w:color="000000" w:sz="4" w:space="0"/>
              <w:bottom w:val="single" w:color="000000" w:sz="4" w:space="0"/>
              <w:right w:val="nil"/>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nil"/>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nil"/>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王峰</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上海甘润自动化设备有限公司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总经理</w:t>
            </w:r>
          </w:p>
        </w:tc>
        <w:tc>
          <w:tcPr>
            <w:tcW w:w="1051" w:type="dxa"/>
            <w:tcBorders>
              <w:top w:val="single" w:color="000000" w:sz="4" w:space="0"/>
              <w:left w:val="single" w:color="000000" w:sz="4" w:space="0"/>
              <w:bottom w:val="single" w:color="000000" w:sz="4" w:space="0"/>
              <w:right w:val="nil"/>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nil"/>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nil"/>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罗建华</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上海电子信息职业技术学院</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高级工程师/副教授</w:t>
            </w:r>
          </w:p>
        </w:tc>
        <w:tc>
          <w:tcPr>
            <w:tcW w:w="1051" w:type="dxa"/>
            <w:tcBorders>
              <w:top w:val="single" w:color="000000" w:sz="4" w:space="0"/>
              <w:left w:val="single" w:color="000000" w:sz="4" w:space="0"/>
              <w:bottom w:val="single" w:color="000000" w:sz="4" w:space="0"/>
              <w:right w:val="nil"/>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nil"/>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nil"/>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潘玉春</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特斯拉（上海）有限公司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培训部经理</w:t>
            </w:r>
          </w:p>
        </w:tc>
        <w:tc>
          <w:tcPr>
            <w:tcW w:w="1051" w:type="dxa"/>
            <w:tcBorders>
              <w:top w:val="single" w:color="000000" w:sz="4" w:space="0"/>
              <w:left w:val="single" w:color="000000" w:sz="4" w:space="0"/>
              <w:bottom w:val="single" w:color="000000" w:sz="4" w:space="0"/>
              <w:right w:val="nil"/>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nil"/>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nil"/>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1488"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陈光文</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上海翰动浩翔航空科技有限公司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董事长</w:t>
            </w:r>
          </w:p>
        </w:tc>
        <w:tc>
          <w:tcPr>
            <w:tcW w:w="1051" w:type="dxa"/>
            <w:tcBorders>
              <w:top w:val="single" w:color="000000" w:sz="4" w:space="0"/>
              <w:left w:val="single" w:color="000000" w:sz="4" w:space="0"/>
              <w:bottom w:val="single" w:color="000000" w:sz="4" w:space="0"/>
              <w:right w:val="nil"/>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nil"/>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4</w:t>
            </w:r>
          </w:p>
        </w:tc>
        <w:tc>
          <w:tcPr>
            <w:tcW w:w="989"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交通运输类专业建设指导委员会</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张峻颖</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上海电子信息职业技术学院</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二级学院院长/副教授</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主任</w:t>
            </w: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陈杰菁</w:t>
            </w:r>
          </w:p>
        </w:tc>
      </w:tr>
      <w:tr>
        <w:tblPrEx>
          <w:tblCellMar>
            <w:top w:w="0" w:type="dxa"/>
            <w:left w:w="108" w:type="dxa"/>
            <w:bottom w:w="0" w:type="dxa"/>
            <w:right w:w="108" w:type="dxa"/>
          </w:tblCellMar>
        </w:tblPrEx>
        <w:trPr>
          <w:trHeight w:val="283" w:hRule="atLeast"/>
        </w:trPr>
        <w:tc>
          <w:tcPr>
            <w:tcW w:w="45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史宏伟</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东航工程技术部</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副总经理/教授级高工</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副主任</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rPr>
          <w:trHeight w:val="477" w:hRule="atLeast"/>
        </w:trPr>
        <w:tc>
          <w:tcPr>
            <w:tcW w:w="45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郭家宁</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上海飞机制造有限公司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培训中心主任</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周锡良</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上海科技宇航有限公司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高级安全总监/高级工程师</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716" w:hRule="atLeast"/>
        </w:trPr>
        <w:tc>
          <w:tcPr>
            <w:tcW w:w="45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王大炜</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上海东联航空机轮刹车大修工程有限公司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副总经理</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张玉</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江苏无国界航空发展有限公司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机务维修学院副院长</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rPr>
          <w:trHeight w:val="477" w:hRule="atLeast"/>
        </w:trPr>
        <w:tc>
          <w:tcPr>
            <w:tcW w:w="45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费舜豪</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上海波音航空改装维修工程有限公司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大修机库经理</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restart"/>
            <w:tcBorders>
              <w:top w:val="single" w:color="000000" w:sz="4" w:space="0"/>
              <w:left w:val="single" w:color="000000" w:sz="4" w:space="0"/>
              <w:bottom w:val="nil"/>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5</w:t>
            </w:r>
          </w:p>
        </w:tc>
        <w:tc>
          <w:tcPr>
            <w:tcW w:w="989"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商贸与服务类专业建设指导委员会</w:t>
            </w:r>
          </w:p>
        </w:tc>
        <w:tc>
          <w:tcPr>
            <w:tcW w:w="0" w:type="auto"/>
            <w:tcBorders>
              <w:top w:val="nil"/>
              <w:left w:val="nil"/>
              <w:bottom w:val="nil"/>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冯江华</w:t>
            </w:r>
          </w:p>
        </w:tc>
        <w:tc>
          <w:tcPr>
            <w:tcW w:w="1571" w:type="dxa"/>
            <w:tcBorders>
              <w:top w:val="nil"/>
              <w:left w:val="single" w:color="000000" w:sz="4" w:space="0"/>
              <w:bottom w:val="nil"/>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上海电子信息职业技术学院</w:t>
            </w:r>
          </w:p>
        </w:tc>
        <w:tc>
          <w:tcPr>
            <w:tcW w:w="1976" w:type="dxa"/>
            <w:tcBorders>
              <w:top w:val="nil"/>
              <w:left w:val="nil"/>
              <w:bottom w:val="nil"/>
              <w:right w:val="nil"/>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经济与管理学院院长</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主任</w:t>
            </w: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燕峰</w:t>
            </w:r>
          </w:p>
        </w:tc>
      </w:tr>
      <w:tr>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严玉康</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上海东海职业技术学院</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副校长</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副主任</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283"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甘霖</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上海证券公司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总经理）</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张蓬</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珍岛信息技术（上海）股份有限公司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副总裁）</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冯学平</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中联集团教育科技有限公司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副总裁</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张亮</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南京世格科技有限公司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董事长）</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吴申星</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上海星星电子商务有限公司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CEO）</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 xml:space="preserve"> 黄岳</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上海市浦东新区电子商务行业协会</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秘书长)</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曹建红</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上海元初国际物流有限公司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人力资源总监）</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restart"/>
            <w:tcBorders>
              <w:top w:val="single" w:color="000000" w:sz="4" w:space="0"/>
              <w:left w:val="single" w:color="000000" w:sz="4" w:space="0"/>
              <w:bottom w:val="nil"/>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6</w:t>
            </w:r>
          </w:p>
        </w:tc>
        <w:tc>
          <w:tcPr>
            <w:tcW w:w="989" w:type="dxa"/>
            <w:vMerge w:val="restart"/>
            <w:tcBorders>
              <w:top w:val="single" w:color="000000" w:sz="4" w:space="0"/>
              <w:left w:val="nil"/>
              <w:bottom w:val="nil"/>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文化艺术类专业建设指导委员会</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高晓昧</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上海电子信息职业技术学院</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讲师/二级学院书记、副院长</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主任</w:t>
            </w:r>
          </w:p>
        </w:tc>
        <w:tc>
          <w:tcPr>
            <w:tcW w:w="851" w:type="dxa"/>
            <w:vMerge w:val="restart"/>
            <w:tcBorders>
              <w:top w:val="single" w:color="000000" w:sz="4" w:space="0"/>
              <w:left w:val="single" w:color="000000" w:sz="4" w:space="0"/>
              <w:bottom w:val="nil"/>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孙涵</w:t>
            </w:r>
          </w:p>
        </w:tc>
      </w:tr>
      <w:tr>
        <w:trPr>
          <w:trHeight w:val="716"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nil"/>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江涛</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上海现代建筑装饰环境设计研究院有限公司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副所长</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副主任</w:t>
            </w:r>
          </w:p>
        </w:tc>
        <w:tc>
          <w:tcPr>
            <w:tcW w:w="851"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nil"/>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张亚军</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上海游翌网络科技有限公司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总经理</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283"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nil"/>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赵永泉</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上海商学院</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教授</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nil"/>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梁吉成</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上海市信息服务业行业协会</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部长</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nil"/>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姚永安</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上海泽御景观设计有限公司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总经理</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nil"/>
              <w:bottom w:val="nil"/>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宋清澄</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上海乾灵文化传播有限公司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总经理</w:t>
            </w:r>
          </w:p>
        </w:tc>
        <w:tc>
          <w:tcPr>
            <w:tcW w:w="1051" w:type="dxa"/>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nil"/>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7</w:t>
            </w:r>
          </w:p>
        </w:tc>
        <w:tc>
          <w:tcPr>
            <w:tcW w:w="989" w:type="dxa"/>
            <w:vMerge w:val="restart"/>
            <w:tcBorders>
              <w:top w:val="single" w:color="000000" w:sz="4" w:space="0"/>
              <w:left w:val="nil"/>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b/>
                <w:bCs/>
                <w:color w:val="000000"/>
                <w:sz w:val="18"/>
                <w:szCs w:val="18"/>
              </w:rPr>
            </w:pPr>
            <w:r>
              <w:rPr>
                <w:rFonts w:hint="eastAsia" w:ascii="宋体" w:hAnsi="宋体" w:cs="宋体"/>
                <w:b/>
                <w:bCs/>
                <w:color w:val="000000"/>
                <w:kern w:val="0"/>
                <w:sz w:val="18"/>
                <w:szCs w:val="18"/>
                <w:lang w:bidi="ar"/>
              </w:rPr>
              <w:t>语言类专业建设指导委员会</w:t>
            </w: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肖潇</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上海电子信息职业技术学院</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副教授/外语学院院长</w:t>
            </w:r>
          </w:p>
        </w:tc>
        <w:tc>
          <w:tcPr>
            <w:tcW w:w="1051" w:type="dxa"/>
            <w:tcBorders>
              <w:top w:val="single" w:color="000000" w:sz="4" w:space="0"/>
              <w:left w:val="single" w:color="000000" w:sz="4" w:space="0"/>
              <w:bottom w:val="single" w:color="000000" w:sz="4" w:space="0"/>
              <w:right w:val="nil"/>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主任</w:t>
            </w:r>
          </w:p>
        </w:tc>
        <w:tc>
          <w:tcPr>
            <w:tcW w:w="851" w:type="dxa"/>
            <w:vMerge w:val="restart"/>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王磊</w:t>
            </w:r>
          </w:p>
        </w:tc>
      </w:tr>
      <w:tr>
        <w:tblPrEx>
          <w:tblCellMar>
            <w:top w:w="0" w:type="dxa"/>
            <w:left w:w="108" w:type="dxa"/>
            <w:bottom w:w="0" w:type="dxa"/>
            <w:right w:w="108" w:type="dxa"/>
          </w:tblCellMar>
        </w:tblPrEx>
        <w:trPr>
          <w:trHeight w:val="283" w:hRule="atLeast"/>
        </w:trPr>
        <w:tc>
          <w:tcPr>
            <w:tcW w:w="45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nil"/>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纵瑞昆</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上海行健职业学院</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教授</w:t>
            </w:r>
          </w:p>
        </w:tc>
        <w:tc>
          <w:tcPr>
            <w:tcW w:w="1051" w:type="dxa"/>
            <w:tcBorders>
              <w:top w:val="single" w:color="000000" w:sz="4" w:space="0"/>
              <w:left w:val="single" w:color="000000" w:sz="4" w:space="0"/>
              <w:bottom w:val="single" w:color="000000" w:sz="4" w:space="0"/>
              <w:right w:val="nil"/>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副主任</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rPr>
          <w:trHeight w:val="477" w:hRule="atLeast"/>
        </w:trPr>
        <w:tc>
          <w:tcPr>
            <w:tcW w:w="45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nil"/>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张井</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上海一者信息科技有限公司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CEO</w:t>
            </w:r>
          </w:p>
        </w:tc>
        <w:tc>
          <w:tcPr>
            <w:tcW w:w="1051" w:type="dxa"/>
            <w:tcBorders>
              <w:top w:val="single" w:color="000000" w:sz="4" w:space="0"/>
              <w:left w:val="single" w:color="000000" w:sz="4" w:space="0"/>
              <w:bottom w:val="single" w:color="000000" w:sz="4" w:space="0"/>
              <w:right w:val="nil"/>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rPr>
          <w:trHeight w:val="477" w:hRule="atLeast"/>
        </w:trPr>
        <w:tc>
          <w:tcPr>
            <w:tcW w:w="45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nil"/>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程卫平</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东方和平国际旅行社</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导游</w:t>
            </w:r>
          </w:p>
        </w:tc>
        <w:tc>
          <w:tcPr>
            <w:tcW w:w="1051" w:type="dxa"/>
            <w:tcBorders>
              <w:top w:val="single" w:color="000000" w:sz="4" w:space="0"/>
              <w:left w:val="single" w:color="000000" w:sz="4" w:space="0"/>
              <w:bottom w:val="single" w:color="000000" w:sz="4" w:space="0"/>
              <w:right w:val="nil"/>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rPr>
          <w:trHeight w:val="477" w:hRule="atLeast"/>
        </w:trPr>
        <w:tc>
          <w:tcPr>
            <w:tcW w:w="45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nil"/>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沈辉煌</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上海海大计算机科技有限公司</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CEO</w:t>
            </w:r>
          </w:p>
        </w:tc>
        <w:tc>
          <w:tcPr>
            <w:tcW w:w="1051" w:type="dxa"/>
            <w:tcBorders>
              <w:top w:val="single" w:color="000000" w:sz="4" w:space="0"/>
              <w:left w:val="single" w:color="000000" w:sz="4" w:space="0"/>
              <w:bottom w:val="single" w:color="000000" w:sz="4" w:space="0"/>
              <w:right w:val="nil"/>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rPr>
          <w:trHeight w:val="477" w:hRule="atLeast"/>
        </w:trPr>
        <w:tc>
          <w:tcPr>
            <w:tcW w:w="45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nil"/>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施伟</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英文二十一世纪教育传媒发展中心</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区域经理</w:t>
            </w:r>
          </w:p>
        </w:tc>
        <w:tc>
          <w:tcPr>
            <w:tcW w:w="1051" w:type="dxa"/>
            <w:tcBorders>
              <w:top w:val="single" w:color="000000" w:sz="4" w:space="0"/>
              <w:left w:val="single" w:color="000000" w:sz="4" w:space="0"/>
              <w:bottom w:val="single" w:color="000000" w:sz="4" w:space="0"/>
              <w:right w:val="nil"/>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r>
        <w:tblPrEx>
          <w:tblCellMar>
            <w:top w:w="0" w:type="dxa"/>
            <w:left w:w="108" w:type="dxa"/>
            <w:bottom w:w="0" w:type="dxa"/>
            <w:right w:w="108" w:type="dxa"/>
          </w:tblCellMar>
        </w:tblPrEx>
        <w:trPr>
          <w:trHeight w:val="477" w:hRule="atLeast"/>
        </w:trPr>
        <w:tc>
          <w:tcPr>
            <w:tcW w:w="453"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989" w:type="dxa"/>
            <w:vMerge w:val="continue"/>
            <w:tcBorders>
              <w:top w:val="single" w:color="000000" w:sz="4" w:space="0"/>
              <w:left w:val="nil"/>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b/>
                <w:bCs/>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许振雅</w:t>
            </w:r>
          </w:p>
        </w:tc>
        <w:tc>
          <w:tcPr>
            <w:tcW w:w="1571"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left"/>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上海电子信息职业技术学院</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副教授</w:t>
            </w:r>
          </w:p>
        </w:tc>
        <w:tc>
          <w:tcPr>
            <w:tcW w:w="1051" w:type="dxa"/>
            <w:tcBorders>
              <w:top w:val="single" w:color="000000" w:sz="4" w:space="0"/>
              <w:left w:val="single" w:color="000000" w:sz="4" w:space="0"/>
              <w:bottom w:val="single" w:color="000000" w:sz="4" w:space="0"/>
              <w:right w:val="nil"/>
            </w:tcBorders>
            <w:noWrap/>
            <w:vAlign w:val="center"/>
          </w:tcPr>
          <w:p>
            <w:pPr>
              <w:pageBreakBefore w:val="0"/>
              <w:widowControl/>
              <w:topLinePunct w:val="0"/>
              <w:bidi w:val="0"/>
              <w:jc w:val="center"/>
              <w:textAlignment w:val="center"/>
              <w:outlineLvl w:val="9"/>
              <w:rPr>
                <w:rFonts w:hint="eastAsia" w:ascii="宋体" w:hAnsi="宋体" w:cs="宋体"/>
                <w:color w:val="000000"/>
                <w:sz w:val="18"/>
                <w:szCs w:val="18"/>
              </w:rPr>
            </w:pPr>
            <w:r>
              <w:rPr>
                <w:rFonts w:hint="eastAsia" w:ascii="宋体" w:hAnsi="宋体" w:cs="宋体"/>
                <w:color w:val="000000"/>
                <w:kern w:val="0"/>
                <w:sz w:val="18"/>
                <w:szCs w:val="18"/>
                <w:lang w:bidi="ar"/>
              </w:rPr>
              <w:t>委员</w:t>
            </w:r>
          </w:p>
        </w:tc>
        <w:tc>
          <w:tcPr>
            <w:tcW w:w="851" w:type="dxa"/>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jc w:val="center"/>
              <w:outlineLvl w:val="9"/>
              <w:rPr>
                <w:rFonts w:hint="eastAsia" w:ascii="宋体" w:hAnsi="宋体" w:cs="宋体"/>
                <w:color w:val="000000"/>
                <w:sz w:val="18"/>
                <w:szCs w:val="18"/>
              </w:rPr>
            </w:pPr>
          </w:p>
        </w:tc>
      </w:tr>
    </w:tbl>
    <w:p>
      <w:pPr>
        <w:pageBreakBefore w:val="0"/>
        <w:topLinePunct w:val="0"/>
        <w:bidi w:val="0"/>
        <w:spacing w:line="560" w:lineRule="exact"/>
        <w:ind w:right="300"/>
        <w:outlineLvl w:val="9"/>
        <w:rPr>
          <w:rFonts w:hint="eastAsia" w:eastAsia="仿宋_GB2312"/>
          <w:sz w:val="30"/>
          <w:szCs w:val="30"/>
          <w:lang w:eastAsia="zh-CN"/>
        </w:rPr>
      </w:pPr>
    </w:p>
    <w:p>
      <w:pPr>
        <w:pageBreakBefore w:val="0"/>
        <w:topLinePunct w:val="0"/>
        <w:bidi w:val="0"/>
        <w:spacing w:line="560" w:lineRule="exact"/>
        <w:ind w:right="300"/>
        <w:outlineLvl w:val="9"/>
        <w:rPr>
          <w:rFonts w:eastAsia="仿宋_GB2312"/>
          <w:sz w:val="30"/>
          <w:szCs w:val="30"/>
        </w:rPr>
      </w:pPr>
    </w:p>
    <w:p>
      <w:pPr>
        <w:pageBreakBefore w:val="0"/>
        <w:topLinePunct w:val="0"/>
        <w:bidi w:val="0"/>
        <w:spacing w:line="560" w:lineRule="exact"/>
        <w:ind w:right="300"/>
        <w:outlineLvl w:val="9"/>
        <w:rPr>
          <w:rFonts w:eastAsia="仿宋_GB2312"/>
          <w:sz w:val="30"/>
          <w:szCs w:val="30"/>
        </w:rPr>
      </w:pPr>
    </w:p>
    <w:p>
      <w:pPr>
        <w:pageBreakBefore w:val="0"/>
        <w:topLinePunct w:val="0"/>
        <w:bidi w:val="0"/>
        <w:spacing w:line="560" w:lineRule="exact"/>
        <w:ind w:right="300"/>
        <w:outlineLvl w:val="9"/>
        <w:rPr>
          <w:rFonts w:eastAsia="仿宋_GB2312"/>
          <w:sz w:val="30"/>
          <w:szCs w:val="30"/>
        </w:rPr>
      </w:pPr>
    </w:p>
    <w:p>
      <w:pPr>
        <w:pageBreakBefore w:val="0"/>
        <w:topLinePunct w:val="0"/>
        <w:bidi w:val="0"/>
        <w:spacing w:line="480" w:lineRule="exact"/>
        <w:jc w:val="center"/>
        <w:outlineLvl w:val="9"/>
        <w:rPr>
          <w:rFonts w:hint="eastAsia" w:eastAsia="华文中宋"/>
          <w:b/>
          <w:color w:val="000000"/>
          <w:kern w:val="0"/>
          <w:sz w:val="36"/>
          <w:szCs w:val="36"/>
        </w:rPr>
      </w:pPr>
      <w:r>
        <w:rPr>
          <w:rFonts w:hint="eastAsia" w:eastAsia="华文中宋"/>
          <w:b/>
          <w:color w:val="000000"/>
          <w:kern w:val="0"/>
          <w:sz w:val="36"/>
          <w:szCs w:val="36"/>
        </w:rPr>
        <w:t xml:space="preserve"> </w:t>
      </w:r>
    </w:p>
    <w:p>
      <w:pPr>
        <w:pageBreakBefore w:val="0"/>
        <w:topLinePunct w:val="0"/>
        <w:bidi w:val="0"/>
        <w:spacing w:line="480" w:lineRule="exact"/>
        <w:jc w:val="center"/>
        <w:outlineLvl w:val="9"/>
        <w:rPr>
          <w:rFonts w:eastAsia="华文中宋"/>
          <w:b/>
          <w:color w:val="000000"/>
          <w:kern w:val="0"/>
          <w:sz w:val="36"/>
          <w:szCs w:val="36"/>
        </w:rPr>
      </w:pPr>
    </w:p>
    <w:p>
      <w:pPr>
        <w:pageBreakBefore w:val="0"/>
        <w:topLinePunct w:val="0"/>
        <w:bidi w:val="0"/>
        <w:spacing w:line="480" w:lineRule="exact"/>
        <w:jc w:val="center"/>
        <w:outlineLvl w:val="9"/>
        <w:rPr>
          <w:rFonts w:eastAsia="华文中宋"/>
          <w:b/>
          <w:color w:val="000000"/>
          <w:kern w:val="0"/>
          <w:sz w:val="36"/>
          <w:szCs w:val="3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outlineLvl w:val="9"/>
        <w:rPr>
          <w:sz w:val="24"/>
        </w:rPr>
      </w:pPr>
    </w:p>
    <w:p>
      <w:pPr>
        <w:pageBreakBefore w:val="0"/>
        <w:topLinePunct w:val="0"/>
        <w:bidi w:val="0"/>
        <w:spacing w:before="156" w:beforeLines="50"/>
        <w:jc w:val="center"/>
        <w:outlineLvl w:val="9"/>
        <w:rPr>
          <w:sz w:val="24"/>
        </w:rPr>
      </w:pPr>
    </w:p>
    <w:p>
      <w:pPr>
        <w:pageBreakBefore w:val="0"/>
        <w:topLinePunct w:val="0"/>
        <w:bidi w:val="0"/>
        <w:spacing w:before="156" w:beforeLines="50"/>
        <w:jc w:val="center"/>
        <w:outlineLvl w:val="9"/>
        <w:rPr>
          <w:sz w:val="24"/>
        </w:rPr>
      </w:pPr>
    </w:p>
    <w:p>
      <w:pPr>
        <w:pageBreakBefore w:val="0"/>
        <w:topLinePunct w:val="0"/>
        <w:bidi w:val="0"/>
        <w:jc w:val="center"/>
        <w:outlineLvl w:val="9"/>
        <w:rPr>
          <w:rFonts w:hint="eastAsia" w:eastAsia="仿宋_GB2312"/>
          <w:sz w:val="32"/>
          <w:szCs w:val="32"/>
        </w:rPr>
      </w:pPr>
      <w:r>
        <w:rPr>
          <w:rFonts w:hint="eastAsia" w:eastAsia="仿宋_GB2312"/>
          <w:color w:val="000000"/>
          <w:kern w:val="0"/>
          <w:sz w:val="32"/>
          <w:szCs w:val="28"/>
        </w:rPr>
        <w:t>沪电信职院〔2021〕7</w:t>
      </w:r>
      <w:r>
        <w:rPr>
          <w:rFonts w:hint="eastAsia" w:eastAsia="仿宋_GB2312"/>
          <w:color w:val="000000"/>
          <w:kern w:val="0"/>
          <w:sz w:val="32"/>
          <w:szCs w:val="28"/>
          <w:lang w:val="en-US" w:eastAsia="zh-CN"/>
        </w:rPr>
        <w:t>5</w:t>
      </w:r>
      <w:r>
        <w:rPr>
          <w:rFonts w:hint="eastAsia" w:ascii="仿宋_GB2312" w:eastAsia="仿宋_GB2312"/>
          <w:color w:val="000000"/>
          <w:kern w:val="0"/>
          <w:sz w:val="32"/>
          <w:szCs w:val="28"/>
        </w:rPr>
        <w:t xml:space="preserve">号   </w:t>
      </w:r>
    </w:p>
    <w:p>
      <w:pPr>
        <w:pageBreakBefore w:val="0"/>
        <w:topLinePunct w:val="0"/>
        <w:bidi w:val="0"/>
        <w:outlineLvl w:val="9"/>
        <w:rPr>
          <w:rFonts w:hint="eastAsia" w:ascii="华文中宋" w:hAnsi="华文中宋" w:eastAsia="华文中宋" w:cs="华文中宋"/>
          <w:b/>
          <w:bCs/>
          <w:sz w:val="36"/>
          <w:szCs w:val="36"/>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color w:val="000000"/>
          <w:sz w:val="36"/>
          <w:szCs w:val="36"/>
        </w:rPr>
      </w:pPr>
      <w:bookmarkStart w:id="345" w:name="_Toc21271"/>
      <w:r>
        <w:rPr>
          <w:rFonts w:hint="eastAsia" w:ascii="黑体" w:hAnsi="黑体" w:eastAsia="黑体" w:cs="黑体"/>
          <w:b/>
          <w:kern w:val="0"/>
          <w:sz w:val="36"/>
        </w:rPr>
        <w:t>关于</w:t>
      </w:r>
      <w:r>
        <w:rPr>
          <w:rFonts w:hint="eastAsia" w:ascii="黑体" w:hAnsi="黑体" w:eastAsia="黑体" w:cs="黑体"/>
          <w:b/>
          <w:kern w:val="0"/>
          <w:sz w:val="36"/>
          <w:szCs w:val="36"/>
        </w:rPr>
        <w:t>印发《</w:t>
      </w:r>
      <w:r>
        <w:rPr>
          <w:rFonts w:hint="eastAsia" w:ascii="黑体" w:hAnsi="黑体" w:eastAsia="黑体" w:cs="黑体"/>
          <w:b/>
          <w:sz w:val="36"/>
          <w:szCs w:val="36"/>
        </w:rPr>
        <w:t>上海电子信息职业技术学院教师教学工作量计算办法》的通知</w:t>
      </w:r>
      <w:bookmarkEnd w:id="345"/>
    </w:p>
    <w:p>
      <w:pPr>
        <w:pageBreakBefore w:val="0"/>
        <w:topLinePunct w:val="0"/>
        <w:bidi w:val="0"/>
        <w:spacing w:before="312" w:beforeLines="100" w:line="56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before="312" w:beforeLines="100" w:line="56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现将《上海电子信息职业技术学院教师教学工作量计算办法》印发给你们，请结合本部门工作实际，认真研究执行。</w:t>
      </w:r>
      <w:r>
        <w:rPr>
          <w:rFonts w:hint="eastAsia" w:ascii="仿宋_GB2312" w:hAnsi="仿宋_GB2312" w:eastAsia="仿宋_GB2312" w:cs="仿宋_GB2312"/>
          <w:kern w:val="2"/>
          <w:sz w:val="28"/>
          <w:szCs w:val="28"/>
          <w:highlight w:val="none"/>
          <w:lang w:val="en-US" w:eastAsia="zh-CN" w:bidi="ar-SA"/>
        </w:rPr>
        <w:tab/>
      </w:r>
    </w:p>
    <w:p>
      <w:pPr>
        <w:pageBreakBefore w:val="0"/>
        <w:topLinePunct w:val="0"/>
        <w:bidi w:val="0"/>
        <w:spacing w:line="56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附件：上海电子信息职业技术学院教师教学工作量计算办法</w:t>
      </w:r>
    </w:p>
    <w:p>
      <w:pPr>
        <w:pageBreakBefore w:val="0"/>
        <w:topLinePunct w:val="0"/>
        <w:bidi w:val="0"/>
        <w:spacing w:line="560" w:lineRule="exact"/>
        <w:ind w:left="1470" w:leftChars="300"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firstLine="3220" w:firstLineChars="115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00" w:lineRule="exact"/>
        <w:ind w:right="48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2021年7月7日</w:t>
      </w:r>
    </w:p>
    <w:p>
      <w:pPr>
        <w:pageBreakBefore w:val="0"/>
        <w:topLinePunct w:val="0"/>
        <w:bidi w:val="0"/>
        <w:spacing w:line="500" w:lineRule="exact"/>
        <w:ind w:right="480"/>
        <w:jc w:val="left"/>
        <w:outlineLvl w:val="9"/>
        <w:rPr>
          <w:rFonts w:hint="eastAsia" w:eastAsia="华文中宋"/>
          <w:b/>
          <w:color w:val="000000"/>
          <w:kern w:val="0"/>
          <w:sz w:val="36"/>
          <w:szCs w:val="36"/>
        </w:rPr>
      </w:pPr>
    </w:p>
    <w:p>
      <w:pPr>
        <w:pageBreakBefore w:val="0"/>
        <w:topLinePunct w:val="0"/>
        <w:bidi w:val="0"/>
        <w:spacing w:line="500" w:lineRule="exact"/>
        <w:ind w:right="480"/>
        <w:jc w:val="lef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jc w:val="lef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jc w:val="lef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00" w:lineRule="exact"/>
        <w:ind w:right="48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w:t>
      </w:r>
    </w:p>
    <w:p>
      <w:pPr>
        <w:pageBreakBefore w:val="0"/>
        <w:topLinePunct w:val="0"/>
        <w:bidi w:val="0"/>
        <w:spacing w:line="480" w:lineRule="exact"/>
        <w:outlineLvl w:val="9"/>
        <w:rPr>
          <w:rFonts w:eastAsia="华文中宋"/>
          <w:b/>
          <w:color w:val="000000"/>
          <w:kern w:val="0"/>
          <w:sz w:val="36"/>
          <w:szCs w:val="36"/>
        </w:rPr>
      </w:pPr>
    </w:p>
    <w:p>
      <w:pPr>
        <w:pageBreakBefore w:val="0"/>
        <w:topLinePunct w:val="0"/>
        <w:bidi w:val="0"/>
        <w:spacing w:line="480" w:lineRule="exact"/>
        <w:jc w:val="center"/>
        <w:outlineLvl w:val="9"/>
        <w:rPr>
          <w:rFonts w:hint="eastAsia" w:ascii="黑体" w:hAnsi="黑体" w:eastAsia="黑体" w:cs="黑体"/>
          <w:b/>
          <w:color w:val="000000"/>
          <w:kern w:val="0"/>
          <w:sz w:val="36"/>
          <w:szCs w:val="36"/>
        </w:rPr>
      </w:pPr>
      <w:r>
        <w:rPr>
          <w:rFonts w:hint="eastAsia" w:ascii="黑体" w:hAnsi="黑体" w:eastAsia="黑体" w:cs="黑体"/>
          <w:b/>
          <w:color w:val="000000"/>
          <w:kern w:val="0"/>
          <w:sz w:val="36"/>
          <w:szCs w:val="36"/>
        </w:rPr>
        <w:t>上海电子信息职业技术学院</w:t>
      </w:r>
    </w:p>
    <w:p>
      <w:pPr>
        <w:pageBreakBefore w:val="0"/>
        <w:topLinePunct w:val="0"/>
        <w:bidi w:val="0"/>
        <w:spacing w:line="480" w:lineRule="exact"/>
        <w:jc w:val="center"/>
        <w:outlineLvl w:val="9"/>
        <w:rPr>
          <w:rFonts w:eastAsia="仿宋_GB2312"/>
          <w:color w:val="000000"/>
          <w:kern w:val="0"/>
          <w:sz w:val="32"/>
          <w:szCs w:val="32"/>
        </w:rPr>
      </w:pPr>
      <w:r>
        <w:rPr>
          <w:rFonts w:hint="eastAsia" w:ascii="黑体" w:hAnsi="黑体" w:eastAsia="黑体" w:cs="黑体"/>
          <w:b/>
          <w:color w:val="000000"/>
          <w:kern w:val="0"/>
          <w:sz w:val="36"/>
          <w:szCs w:val="36"/>
        </w:rPr>
        <w:t>教师教学工作量计算办法</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为了规范教师教学工作量的计算，充分调动广大教师参与教育教学改革的积极性，提高工作效率和教学质量，确保教学任务的完成，特修订教师工作量计算办法。</w:t>
      </w:r>
    </w:p>
    <w:p>
      <w:pPr>
        <w:pageBreakBefore w:val="0"/>
        <w:topLinePunct w:val="0"/>
        <w:bidi w:val="0"/>
        <w:spacing w:before="93" w:beforeLines="30" w:after="93" w:afterLines="30"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一、教师教学工作量的界定</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1．教师教学工作量是教师在一定质的基础上，完成与教育教学有关的全部工作。</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2．教学工作包括两个部分：课堂教学环节工作和其它教学环节工作。</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课堂教学环节工作是指各教学单位在教务处下达的实施性教学计划中完成的教学任务。具体包括完成课程教学大纲（标准）的编写、备课、讲课、实验实训指导、辅导答疑、批改作业、选编教学补充材料和练习册、命题、阅卷、评定成绩等工作。</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其它教学环节工作是指教师在指导各类实习实训、社会实践、技能竞赛等环节中完成的教学工作。</w:t>
      </w:r>
    </w:p>
    <w:p>
      <w:pPr>
        <w:pageBreakBefore w:val="0"/>
        <w:topLinePunct w:val="0"/>
        <w:bidi w:val="0"/>
        <w:spacing w:before="93" w:beforeLines="30" w:after="93" w:afterLines="30"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二、教师教学工作量的量化规定</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1．专任教师教学工作量</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专任教师每学期基本教学工作量为96课时，核算依据为教师实际授课课时×学生规模系数；完成基本教学工作量后，方可享受基本岗位津贴（专任教师基本教学工作量在整个学期中每个月的分摊计划由各教学单位根据教师的实际排课情况制定，报教务处备案）。原则上专任教师每周授课课时最高为20课时，若确有特殊原因超出20课时的，须报请教务处批准。</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教学中层干部每周教学工作量最高为8课时，超过8课时的，不再计发课时津贴。上述人员于工作日白天授课的，以“授课课时×0.6”计发课时津贴；晚上及双休日授课的，以“授课课时×1”计发课时津贴，另加5元/课时的课时补贴。</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2．行政管理人员教学工作量</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校内行政管理人员兼课的，每周教学工作量最高为8课时，超过8课时的，不再计发课时津贴。上述人员于工作日白天授课的，以“授课课时×0.6”计发课时津贴；晚上及双休日授课的，以“授课课时×1”计发课时津贴，另加5元/课时的课时补贴。</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3．教授、副教授教学工作量</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将教授、副教授为学生授课作为我校基本教学制度，原则上每年须完成不少于64课时的教学工作量（专任教师按照本办法二、1.中规定执行），纳入年度考核。教学工作量包括教师实际承担的列入专业人才培养方案的全日制学生课程教学工作量。 </w:t>
      </w:r>
    </w:p>
    <w:p>
      <w:pPr>
        <w:pageBreakBefore w:val="0"/>
        <w:topLinePunct w:val="0"/>
        <w:bidi w:val="0"/>
        <w:spacing w:before="93" w:beforeLines="30" w:after="93" w:afterLines="30"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三、教师教学工作量的核定原则</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1．教学工作量的计量单位为课时，仅在实际发生教学工作时计发；教师教学工作量的核算按所任教的课程以班级为单元进行核算。</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班级的编制权在教务处，具体由教务处根据每年的实际招生情况进行编制，经教学院长批准后执行。各教学单位若确因项目化教学等教学改革需要，需对班级编制进行调整的，须书面报教务处审核，并经教学院长批准后方可执行，否则不予计算教学工作量。</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师任教的课程及授课课时以教学任务书为准，教学任务书的制定依据是：经教务处审批的学期实施性教学计划。实施性教学计划没有列出或未经批准开设的课程，不予统计，若有特殊情况需经学院研究决定。</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4．教师全部教学工作量折算为标准课时，由各教学单位制单，报教务处审核。若工作量构成中的任一环节未完成，则不予计算该项教学工作量。</w:t>
      </w:r>
    </w:p>
    <w:p>
      <w:pPr>
        <w:pageBreakBefore w:val="0"/>
        <w:topLinePunct w:val="0"/>
        <w:bidi w:val="0"/>
        <w:spacing w:before="93" w:beforeLines="30" w:after="93" w:afterLines="30"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四、教师教学工作量的计算办法</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1．教师教学工作量采取“课时”乘以“系数”的方法计算。</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教学工作量（课时）=实际授课课时×学生规模系数。</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学生规模系数界定</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（1）经教务处编制执行的班级人数一般以30-40人为一个标准班，一个标准班的学生规模系数基准为1；因录取、报到等原因所致的班级人数低于标准班人数下限的，学生规模系数按标准班学生规模系数“1”计算。</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（2）班级人数在41至50人之间的，学生规模系数为1.1。</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（3）班级人数在51至60人之间的，学生规模系数为1.2。</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（4）班级人数在61至70人之间的，学生规模系数为1.3。</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（5）班级人数在71至100人之间的，学生规模系数为1.5。</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（6）班级人数在101至150人之间的，学生规模系数为1.8。</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（7）班级人数大于150人，学生规模系数为2.0。</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（8）采用双元制模式组班的中德学院高职教学班、中专部中职教学班，若其实训课程分拆为两个教学班进行教学的，则每个教学班的学生规模系数为0.6。</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（9）特殊职业实训教师配备情况及规模系数，需事先报教务处审核，并经教学院长批准后执行。</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2．单列的、停课进行的实训课程（包括课程设计与大型作业），严格按照实施性教学计划排定的课时核算教学工作量；若教师在实训周内同时讲授理论课，所属教学单位应及时制定调课方案，以确保教学任务的顺利执行。 </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3．组织学生到校外进行企业实习或社会调查，指导教师的工作量计算按实际发生的教学周数（不包括准备周和总结考核周）每周折算10课时，分散进行的每天折算工作量2课时。</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学生进行毕业顶岗实习。指导一名学生毕业顶岗实习工作量不超过4课时，其中，教师辅导学生撰写毕业实习报告工作量按每名学生3课时计，每位教师辅导不超过20名学生；每名学生安排答辩时间不少于15分钟（含教师提问环节），每名学生至少安排3名教师进行毕业实习答辩，毕业实习答辩工作量按每名学生1课时计，答辩教师的工作量分配比例由各二级学院根据工作实际情况规定。教师联系学生的工作量按专业导师的有关规定执行。</w:t>
      </w:r>
    </w:p>
    <w:p>
      <w:pPr>
        <w:pageBreakBefore w:val="0"/>
        <w:topLinePunct w:val="0"/>
        <w:bidi w:val="0"/>
        <w:spacing w:before="93" w:beforeLines="30" w:after="93" w:afterLines="30"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五、其他</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本办法自颁布之日起正式实施，原《上海电子信息职业技术学院教师教学工作量计算办法（修订）》（沪电信职院〔2021〕57号）废止），由上海电子信息职业技术学院教务处负责解释。</w:t>
      </w:r>
    </w:p>
    <w:p>
      <w:pPr>
        <w:pageBreakBefore w:val="0"/>
        <w:topLinePunct w:val="0"/>
        <w:bidi w:val="0"/>
        <w:spacing w:line="560" w:lineRule="exact"/>
        <w:ind w:firstLine="700" w:firstLineChars="200"/>
        <w:outlineLvl w:val="9"/>
        <w:rPr>
          <w:rFonts w:eastAsia="仿宋_GB2312" w:cs="Times New Roman"/>
          <w:color w:val="1F1F1F"/>
          <w:spacing w:val="15"/>
          <w:kern w:val="0"/>
          <w:sz w:val="32"/>
          <w:szCs w:val="32"/>
        </w:rPr>
      </w:pPr>
    </w:p>
    <w:p>
      <w:pPr>
        <w:pageBreakBefore w:val="0"/>
        <w:topLinePunct w:val="0"/>
        <w:bidi w:val="0"/>
        <w:spacing w:line="560" w:lineRule="exact"/>
        <w:outlineLvl w:val="9"/>
        <w:rPr>
          <w:rFonts w:eastAsia="仿宋_GB2312"/>
          <w:sz w:val="32"/>
          <w:szCs w:val="32"/>
        </w:rPr>
      </w:pPr>
    </w:p>
    <w:p>
      <w:pPr>
        <w:pageBreakBefore w:val="0"/>
        <w:topLinePunct w:val="0"/>
        <w:bidi w:val="0"/>
        <w:spacing w:line="560" w:lineRule="exact"/>
        <w:outlineLvl w:val="9"/>
        <w:rPr>
          <w:rFonts w:eastAsia="仿宋_GB2312"/>
          <w:sz w:val="32"/>
          <w:szCs w:val="32"/>
        </w:rPr>
      </w:pPr>
    </w:p>
    <w:p>
      <w:pPr>
        <w:pageBreakBefore w:val="0"/>
        <w:topLinePunct w:val="0"/>
        <w:bidi w:val="0"/>
        <w:spacing w:line="560" w:lineRule="exact"/>
        <w:outlineLvl w:val="9"/>
        <w:rPr>
          <w:rFonts w:eastAsia="仿宋_GB2312"/>
          <w:sz w:val="32"/>
          <w:szCs w:val="32"/>
        </w:rPr>
      </w:pPr>
    </w:p>
    <w:p>
      <w:pPr>
        <w:pageBreakBefore w:val="0"/>
        <w:topLinePunct w:val="0"/>
        <w:bidi w:val="0"/>
        <w:spacing w:line="560" w:lineRule="exact"/>
        <w:outlineLvl w:val="9"/>
        <w:rPr>
          <w:rFonts w:eastAsia="仿宋_GB2312"/>
          <w:sz w:val="32"/>
          <w:szCs w:val="32"/>
        </w:rPr>
      </w:pPr>
    </w:p>
    <w:p>
      <w:pPr>
        <w:pageBreakBefore w:val="0"/>
        <w:topLinePunct w:val="0"/>
        <w:bidi w:val="0"/>
        <w:spacing w:line="560" w:lineRule="exact"/>
        <w:outlineLvl w:val="9"/>
        <w:rPr>
          <w:rFonts w:eastAsia="仿宋_GB2312"/>
          <w:sz w:val="32"/>
          <w:szCs w:val="32"/>
        </w:rPr>
      </w:pPr>
    </w:p>
    <w:p>
      <w:pPr>
        <w:keepNext/>
        <w:keepLines/>
        <w:pageBreakBefore w:val="0"/>
        <w:widowControl/>
        <w:topLinePunct w:val="0"/>
        <w:bidi w:val="0"/>
        <w:spacing w:line="360" w:lineRule="auto"/>
        <w:jc w:val="center"/>
        <w:outlineLvl w:val="9"/>
        <w:rPr>
          <w:rFonts w:ascii="黑体" w:hAnsi="黑体" w:eastAsia="黑体" w:cs="黑体"/>
          <w:bCs/>
          <w:color w:val="000000"/>
          <w:sz w:val="32"/>
          <w:szCs w:val="32"/>
        </w:rPr>
      </w:pPr>
    </w:p>
    <w:p>
      <w:pPr>
        <w:keepNext/>
        <w:keepLines/>
        <w:pageBreakBefore w:val="0"/>
        <w:widowControl/>
        <w:topLinePunct w:val="0"/>
        <w:bidi w:val="0"/>
        <w:spacing w:line="360" w:lineRule="auto"/>
        <w:jc w:val="center"/>
        <w:outlineLvl w:val="9"/>
        <w:rPr>
          <w:rFonts w:ascii="黑体" w:hAnsi="黑体" w:eastAsia="黑体" w:cs="黑体"/>
          <w:bCs/>
          <w:color w:val="000000"/>
          <w:sz w:val="32"/>
          <w:szCs w:val="32"/>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spacing w:before="156" w:beforeLines="50"/>
        <w:jc w:val="center"/>
        <w:outlineLvl w:val="9"/>
        <w:rPr>
          <w:rFonts w:eastAsia="仿宋_GB2312"/>
          <w:color w:val="000000"/>
          <w:kern w:val="0"/>
          <w:sz w:val="32"/>
          <w:szCs w:val="28"/>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w:t>
      </w:r>
      <w:r>
        <w:rPr>
          <w:rFonts w:hint="eastAsia" w:ascii="仿宋_GB2312" w:eastAsia="仿宋_GB2312"/>
          <w:color w:val="000000"/>
          <w:kern w:val="0"/>
          <w:sz w:val="32"/>
          <w:szCs w:val="28"/>
        </w:rPr>
        <w:t>2</w:t>
      </w:r>
      <w:r>
        <w:rPr>
          <w:rFonts w:hint="eastAsia" w:ascii="仿宋_GB2312" w:eastAsia="仿宋_GB2312"/>
          <w:color w:val="000000"/>
          <w:kern w:val="0"/>
          <w:sz w:val="32"/>
          <w:szCs w:val="28"/>
          <w:lang w:val="en-US" w:eastAsia="zh-CN"/>
        </w:rPr>
        <w:t>1</w:t>
      </w:r>
      <w:r>
        <w:rPr>
          <w:rFonts w:hint="eastAsia" w:ascii="仿宋_GB2312" w:eastAsia="仿宋_GB2312"/>
          <w:color w:val="000000"/>
          <w:kern w:val="0"/>
          <w:sz w:val="32"/>
          <w:szCs w:val="28"/>
        </w:rPr>
        <w:t>〕</w:t>
      </w:r>
      <w:r>
        <w:rPr>
          <w:rFonts w:hint="eastAsia" w:ascii="仿宋_GB2312" w:eastAsia="仿宋_GB2312"/>
          <w:color w:val="000000"/>
          <w:kern w:val="0"/>
          <w:sz w:val="32"/>
          <w:szCs w:val="28"/>
          <w:lang w:val="en-US" w:eastAsia="zh-CN"/>
        </w:rPr>
        <w:t>77</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napToGrid w:val="0"/>
        <w:spacing w:before="312" w:beforeLines="100" w:line="500" w:lineRule="exact"/>
        <w:outlineLvl w:val="9"/>
        <w:rPr>
          <w:rFonts w:ascii="黑体" w:eastAsia="黑体"/>
          <w:color w:val="FF0000"/>
          <w:sz w:val="28"/>
          <w:szCs w:val="28"/>
          <w:u w:val="thick"/>
        </w:rPr>
      </w:pPr>
      <w:r>
        <w:rPr>
          <w:rFonts w:hint="eastAsia" w:ascii="黑体" w:eastAsia="黑体"/>
          <w:color w:val="FF0000"/>
          <w:sz w:val="28"/>
          <w:szCs w:val="28"/>
          <w:u w:val="thick"/>
        </w:rPr>
        <w:t xml:space="preserve">  </w:t>
      </w:r>
      <w:r>
        <w:rPr>
          <w:rFonts w:hint="eastAsia" w:ascii="黑体" w:eastAsia="黑体"/>
          <w:color w:val="FF0000"/>
          <w:sz w:val="28"/>
          <w:szCs w:val="28"/>
          <w:u w:val="thick"/>
        </w:rPr>
        <w:tab/>
      </w:r>
      <w:r>
        <w:rPr>
          <w:rFonts w:hint="eastAsia" w:ascii="黑体" w:eastAsia="黑体"/>
          <w:color w:val="FF0000"/>
          <w:sz w:val="28"/>
          <w:szCs w:val="28"/>
          <w:u w:val="thick"/>
        </w:rPr>
        <w:tab/>
      </w:r>
      <w:r>
        <w:rPr>
          <w:rFonts w:hint="eastAsia" w:ascii="黑体" w:eastAsia="黑体"/>
          <w:color w:val="FF0000"/>
          <w:sz w:val="28"/>
          <w:szCs w:val="28"/>
          <w:u w:val="thick"/>
        </w:rPr>
        <w:tab/>
      </w:r>
      <w:r>
        <w:rPr>
          <w:rFonts w:hint="eastAsia" w:ascii="黑体" w:eastAsia="黑体"/>
          <w:color w:val="FF0000"/>
          <w:sz w:val="28"/>
          <w:szCs w:val="28"/>
          <w:u w:val="thick"/>
        </w:rPr>
        <w:tab/>
      </w:r>
      <w:r>
        <w:rPr>
          <w:rFonts w:hint="eastAsia" w:ascii="黑体" w:eastAsia="黑体"/>
          <w:color w:val="FF0000"/>
          <w:sz w:val="28"/>
          <w:szCs w:val="28"/>
          <w:u w:val="thick"/>
        </w:rPr>
        <w:tab/>
      </w:r>
      <w:r>
        <w:rPr>
          <w:rFonts w:hint="eastAsia" w:ascii="黑体" w:eastAsia="黑体"/>
          <w:color w:val="FF0000"/>
          <w:sz w:val="28"/>
          <w:szCs w:val="28"/>
          <w:u w:val="thick"/>
        </w:rPr>
        <w:tab/>
      </w:r>
      <w:r>
        <w:rPr>
          <w:rFonts w:hint="eastAsia" w:ascii="黑体" w:eastAsia="黑体"/>
          <w:color w:val="FF0000"/>
          <w:sz w:val="28"/>
          <w:szCs w:val="28"/>
          <w:u w:val="thick"/>
        </w:rPr>
        <w:tab/>
      </w:r>
      <w:r>
        <w:rPr>
          <w:rFonts w:hint="eastAsia" w:ascii="黑体" w:eastAsia="黑体"/>
          <w:color w:val="FF0000"/>
          <w:sz w:val="28"/>
          <w:szCs w:val="28"/>
          <w:u w:val="thick"/>
        </w:rPr>
        <w:tab/>
      </w:r>
      <w:r>
        <w:rPr>
          <w:rFonts w:hint="eastAsia" w:ascii="黑体" w:eastAsia="黑体"/>
          <w:color w:val="FF0000"/>
          <w:sz w:val="28"/>
          <w:szCs w:val="28"/>
          <w:u w:val="thick"/>
        </w:rPr>
        <w:tab/>
      </w:r>
      <w:r>
        <w:rPr>
          <w:rFonts w:hint="eastAsia" w:ascii="黑体" w:eastAsia="黑体"/>
          <w:color w:val="FF0000"/>
          <w:sz w:val="28"/>
          <w:szCs w:val="28"/>
          <w:u w:val="thick"/>
        </w:rPr>
        <w:tab/>
      </w:r>
      <w:r>
        <w:rPr>
          <w:rFonts w:hint="eastAsia" w:ascii="黑体" w:eastAsia="黑体"/>
          <w:color w:val="FF0000"/>
          <w:sz w:val="28"/>
          <w:szCs w:val="28"/>
          <w:u w:val="thick"/>
        </w:rPr>
        <w:tab/>
      </w:r>
      <w:r>
        <w:rPr>
          <w:rFonts w:hint="eastAsia" w:ascii="黑体" w:eastAsia="黑体"/>
          <w:color w:val="FF0000"/>
          <w:sz w:val="28"/>
          <w:szCs w:val="28"/>
          <w:u w:val="thick"/>
        </w:rPr>
        <w:tab/>
      </w:r>
      <w:r>
        <w:rPr>
          <w:rFonts w:hint="eastAsia" w:ascii="黑体" w:eastAsia="黑体"/>
          <w:color w:val="FF0000"/>
          <w:sz w:val="28"/>
          <w:szCs w:val="28"/>
          <w:u w:val="thick"/>
        </w:rPr>
        <w:tab/>
      </w:r>
      <w:r>
        <w:rPr>
          <w:rFonts w:hint="eastAsia" w:ascii="黑体" w:eastAsia="黑体"/>
          <w:color w:val="FF0000"/>
          <w:sz w:val="28"/>
          <w:szCs w:val="28"/>
          <w:u w:val="thick"/>
        </w:rPr>
        <w:tab/>
      </w:r>
      <w:r>
        <w:rPr>
          <w:rFonts w:hint="eastAsia" w:ascii="黑体" w:eastAsia="黑体"/>
          <w:color w:val="FF0000"/>
          <w:sz w:val="28"/>
          <w:szCs w:val="28"/>
          <w:u w:val="thick"/>
        </w:rPr>
        <w:tab/>
      </w:r>
      <w:r>
        <w:rPr>
          <w:rFonts w:hint="eastAsia" w:ascii="黑体" w:eastAsia="黑体"/>
          <w:color w:val="FF0000"/>
          <w:sz w:val="28"/>
          <w:szCs w:val="28"/>
          <w:u w:val="thick"/>
        </w:rPr>
        <w:tab/>
      </w:r>
      <w:r>
        <w:rPr>
          <w:rFonts w:hint="eastAsia" w:ascii="黑体" w:eastAsia="黑体"/>
          <w:color w:val="FF0000"/>
          <w:sz w:val="28"/>
          <w:szCs w:val="28"/>
          <w:u w:val="thick"/>
        </w:rPr>
        <w:tab/>
      </w:r>
      <w:r>
        <w:rPr>
          <w:rFonts w:hint="eastAsia" w:ascii="黑体" w:eastAsia="黑体"/>
          <w:color w:val="FF0000"/>
          <w:sz w:val="28"/>
          <w:szCs w:val="28"/>
          <w:u w:val="thick"/>
        </w:rPr>
        <w:tab/>
      </w:r>
    </w:p>
    <w:p>
      <w:pPr>
        <w:keepNext/>
        <w:keepLines/>
        <w:pageBreakBefore w:val="0"/>
        <w:widowControl/>
        <w:topLinePunct w:val="0"/>
        <w:bidi w:val="0"/>
        <w:spacing w:line="360" w:lineRule="auto"/>
        <w:outlineLvl w:val="9"/>
        <w:rPr>
          <w:rFonts w:hint="eastAsia" w:ascii="黑体" w:hAnsi="黑体" w:eastAsia="黑体" w:cs="黑体"/>
          <w:b/>
          <w:kern w:val="0"/>
          <w:sz w:val="36"/>
          <w:szCs w:val="36"/>
        </w:rPr>
      </w:pPr>
    </w:p>
    <w:p>
      <w:pPr>
        <w:keepNext/>
        <w:keepLines/>
        <w:pageBreakBefore w:val="0"/>
        <w:widowControl/>
        <w:kinsoku/>
        <w:wordWrap/>
        <w:overflowPunct/>
        <w:topLinePunct w:val="0"/>
        <w:autoSpaceDE/>
        <w:autoSpaceDN/>
        <w:bidi w:val="0"/>
        <w:adjustRightInd/>
        <w:snapToGrid/>
        <w:spacing w:line="360" w:lineRule="auto"/>
        <w:textAlignment w:val="auto"/>
        <w:outlineLvl w:val="0"/>
        <w:rPr>
          <w:rFonts w:hint="eastAsia" w:ascii="黑体" w:hAnsi="黑体" w:eastAsia="黑体" w:cs="黑体"/>
          <w:b/>
          <w:color w:val="000000"/>
          <w:kern w:val="0"/>
          <w:sz w:val="36"/>
          <w:szCs w:val="36"/>
        </w:rPr>
      </w:pPr>
      <w:bookmarkStart w:id="346" w:name="_Toc22026"/>
      <w:r>
        <w:rPr>
          <w:rFonts w:hint="eastAsia" w:ascii="黑体" w:hAnsi="黑体" w:eastAsia="黑体" w:cs="黑体"/>
          <w:b/>
          <w:kern w:val="0"/>
          <w:sz w:val="36"/>
          <w:szCs w:val="36"/>
        </w:rPr>
        <w:t>关于印</w:t>
      </w:r>
      <w:r>
        <w:rPr>
          <w:rFonts w:hint="eastAsia" w:ascii="黑体" w:hAnsi="黑体" w:eastAsia="黑体" w:cs="黑体"/>
          <w:b/>
          <w:color w:val="000000"/>
          <w:kern w:val="0"/>
          <w:sz w:val="36"/>
          <w:szCs w:val="36"/>
        </w:rPr>
        <w:t>发《上海电子信息职业技术学院课程教学资源</w:t>
      </w:r>
      <w:bookmarkEnd w:id="346"/>
      <w:bookmarkStart w:id="347" w:name="_Toc32315"/>
      <w:r>
        <w:rPr>
          <w:rFonts w:hint="eastAsia" w:ascii="黑体" w:hAnsi="黑体" w:eastAsia="黑体" w:cs="黑体"/>
          <w:b/>
          <w:color w:val="000000"/>
          <w:kern w:val="0"/>
          <w:sz w:val="36"/>
          <w:szCs w:val="36"/>
        </w:rPr>
        <w:t>建设</w:t>
      </w:r>
      <w:r>
        <w:rPr>
          <w:rFonts w:hint="eastAsia" w:ascii="黑体" w:hAnsi="黑体" w:eastAsia="黑体" w:cs="黑体"/>
          <w:b/>
          <w:color w:val="000000"/>
          <w:kern w:val="0"/>
          <w:sz w:val="36"/>
          <w:szCs w:val="36"/>
          <w:lang w:val="en-US" w:eastAsia="zh-CN"/>
        </w:rPr>
        <w:t>指导意见</w:t>
      </w:r>
      <w:r>
        <w:rPr>
          <w:rFonts w:hint="eastAsia" w:ascii="黑体" w:hAnsi="黑体" w:eastAsia="黑体" w:cs="黑体"/>
          <w:b/>
          <w:color w:val="000000"/>
          <w:kern w:val="0"/>
          <w:sz w:val="36"/>
          <w:szCs w:val="36"/>
        </w:rPr>
        <w:t>》的通知</w:t>
      </w:r>
      <w:bookmarkEnd w:id="347"/>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现将《上海电子信息职业技术学院课程教学资源建设指导意见》印发给你们，请结合本部门工作实际，认真研究执行。</w:t>
      </w:r>
    </w:p>
    <w:p>
      <w:pPr>
        <w:pageBreakBefore w:val="0"/>
        <w:tabs>
          <w:tab w:val="left" w:pos="6510"/>
        </w:tabs>
        <w:topLinePunct w:val="0"/>
        <w:bidi w:val="0"/>
        <w:spacing w:line="56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abs>
          <w:tab w:val="left" w:pos="6510"/>
        </w:tabs>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附件：上海电子信息职业技术学院课程教学资源建设指导意见</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firstLine="3360" w:firstLineChars="12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60" w:lineRule="exact"/>
        <w:ind w:firstLine="4200" w:firstLineChars="15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2021年7月8日</w:t>
      </w:r>
    </w:p>
    <w:p>
      <w:pPr>
        <w:pageBreakBefore w:val="0"/>
        <w:topLinePunct w:val="0"/>
        <w:bidi w:val="0"/>
        <w:spacing w:line="560" w:lineRule="exact"/>
        <w:ind w:firstLine="4200" w:firstLineChars="1500"/>
        <w:jc w:val="right"/>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jc w:val="both"/>
        <w:outlineLvl w:val="9"/>
        <w:rPr>
          <w:rFonts w:hint="eastAsia" w:ascii="仿宋_GB2312" w:hAnsi="仿宋_GB2312" w:eastAsia="仿宋_GB2312" w:cs="仿宋_GB2312"/>
          <w:kern w:val="2"/>
          <w:sz w:val="28"/>
          <w:szCs w:val="28"/>
          <w:highlight w:val="none"/>
          <w:lang w:val="en-US" w:eastAsia="zh-CN" w:bidi="ar-SA"/>
        </w:rPr>
      </w:pPr>
    </w:p>
    <w:p>
      <w:pPr>
        <w:keepNext/>
        <w:keepLines/>
        <w:pageBreakBefore w:val="0"/>
        <w:widowControl/>
        <w:topLinePunct w:val="0"/>
        <w:bidi w:val="0"/>
        <w:spacing w:line="360" w:lineRule="auto"/>
        <w:ind w:firstLine="480" w:firstLineChars="200"/>
        <w:jc w:val="left"/>
        <w:outlineLvl w:val="9"/>
        <w:rPr>
          <w:rFonts w:hint="eastAsia" w:ascii="仿宋_GB2312" w:hAnsi="仿宋_GB2312" w:eastAsia="仿宋_GB2312" w:cs="仿宋_GB2312"/>
          <w:bCs/>
          <w:color w:val="000000"/>
          <w:sz w:val="24"/>
          <w:szCs w:val="24"/>
          <w:lang w:val="en-US" w:eastAsia="zh-CN"/>
        </w:rPr>
      </w:pPr>
      <w:r>
        <w:rPr>
          <w:rFonts w:hint="eastAsia" w:ascii="仿宋_GB2312" w:hAnsi="仿宋_GB2312" w:eastAsia="仿宋_GB2312" w:cs="仿宋_GB2312"/>
          <w:bCs/>
          <w:color w:val="000000"/>
          <w:sz w:val="24"/>
          <w:szCs w:val="24"/>
          <w:lang w:val="en-US" w:eastAsia="zh-CN"/>
        </w:rPr>
        <w:t>附件</w:t>
      </w:r>
    </w:p>
    <w:p>
      <w:pPr>
        <w:keepNext/>
        <w:keepLines/>
        <w:pageBreakBefore w:val="0"/>
        <w:widowControl/>
        <w:topLinePunct w:val="0"/>
        <w:bidi w:val="0"/>
        <w:spacing w:line="360" w:lineRule="auto"/>
        <w:ind w:firstLine="720" w:firstLineChars="200"/>
        <w:jc w:val="center"/>
        <w:outlineLvl w:val="9"/>
        <w:rPr>
          <w:rFonts w:hint="default" w:ascii="黑体" w:hAnsi="黑体" w:eastAsia="黑体" w:cs="黑体"/>
          <w:bCs/>
          <w:color w:val="000000"/>
          <w:sz w:val="36"/>
          <w:szCs w:val="36"/>
          <w:lang w:val="en-US" w:eastAsia="zh-CN"/>
        </w:rPr>
      </w:pPr>
      <w:r>
        <w:rPr>
          <w:rFonts w:hint="eastAsia" w:ascii="黑体" w:hAnsi="黑体" w:eastAsia="黑体" w:cs="黑体"/>
          <w:bCs/>
          <w:color w:val="000000"/>
          <w:sz w:val="36"/>
          <w:szCs w:val="36"/>
          <w:lang w:val="en-US" w:eastAsia="zh-CN"/>
        </w:rPr>
        <w:t>上海电子信息职业技术学院</w:t>
      </w:r>
    </w:p>
    <w:p>
      <w:pPr>
        <w:keepNext/>
        <w:keepLines/>
        <w:pageBreakBefore w:val="0"/>
        <w:widowControl/>
        <w:topLinePunct w:val="0"/>
        <w:bidi w:val="0"/>
        <w:spacing w:line="360" w:lineRule="auto"/>
        <w:ind w:firstLine="720" w:firstLineChars="200"/>
        <w:jc w:val="center"/>
        <w:outlineLvl w:val="9"/>
        <w:rPr>
          <w:rFonts w:ascii="宋体" w:hAnsi="宋体" w:eastAsia="宋体" w:cs="宋体"/>
          <w:b/>
          <w:color w:val="000000"/>
          <w:sz w:val="36"/>
          <w:szCs w:val="36"/>
        </w:rPr>
      </w:pPr>
      <w:r>
        <w:rPr>
          <w:rFonts w:hint="eastAsia" w:ascii="黑体" w:hAnsi="黑体" w:eastAsia="黑体" w:cs="黑体"/>
          <w:bCs/>
          <w:color w:val="000000"/>
          <w:sz w:val="36"/>
          <w:szCs w:val="36"/>
        </w:rPr>
        <w:t>课程教学资源建设指导意见</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为贯彻全国教育大会精神，落实《国家职业教育改革实施方案》要求，根据《上海深化产教融合推进一流专科高等职业教育建设试点方案》总体部署，加快专业教学资源库建设，现结合我校实际，为规范课程建设，加强资金管理，制订《上海电子信息职业技术学院课程教学资源建设指导意见》。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一、指导思想</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以习近平新时代中国特色社会主义思想为指导，全面贯彻党的教育方针，坚定社会主义办学方向，坚持立德树人为根本，培养德智体美劳全面发展的社会主义建设者和接班人。深化产教融合、校企合作，坚持上海一流高职院校和一流专业建设定位，加强课程资源建设，推动信息技术在职业教育专教学和职业培训领域综合应用，为在校学生、企业员工和社会学习者提供优质便捷的高职教育服务，为开展专业教学资源库建设奠定基础。。</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二、基本原则</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（一）坚持顶层设计</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以上海城市发展和产业发展为指引，以上海一流高职院校建设、一流专业建设为契机，，参照上海市级示范性专业教学资源库立项申报与建设规划，统筹规划专业建设，分年度建设课程教学资源。</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（二）坚持需求导向</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以教师和学习者用户需求为导向，完善课程教学资源。以课程标准为依据，结合思想政治教育与创新创业教育要求，系统开发课程教学资源，满足多样化教与学需要。</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坚持产教融合</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以紧贴行业新发展为准绳，鼓励与相关行业企业合作开发工学结合的课程教学资源，创新资源共建共享机制，全面提高资源质量和使用效益。</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坚持绩效管理</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以现代最新信息技术为支撑，高水平开展课程教学资源建设。强化建设目标设定，实施动态监控和绩效考核。</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坚持建用同步</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服务在线教学需要，同步建设，同步使用、同步考核。及时更新与完善课程教学资源内容、种类和形式，并提高在专业教学、技能培训和社会培训中的使用率。</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三、建设内容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依据课程标准以数字信号在互联网上进行传输制作课程教学资源，课程教学资源包括但不限于以下内容：</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（一）教学文件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教学文件是教师有效完成专业教学任务的指导性文件，包含课程介绍、授课计划、教学指导和学习指导等相关文件，为有效学习、课程教学和课程建设提供参考和指导。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（二）教学设计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以教学项目和学习任务为单位、以工作过程为主线进行教学（情境）设计，根据教学目标和学习对象确定教学内容和教学方法，最终形成教学实施方案（教案）。主要从课程名称、课程类型、授课对象分析、教学目标、教学方式、考核评价方式和教学过程设计等方面开发教学方案，为有效的教学实施提供参考。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（三）教材学材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以课程为单位，以教学项目和学习任务为单元开发情境式数字化立体教材和学材、活页式工作页教材。利用现代教育技术将传统的纸质内容进行数字化处理，转化为适合电脑、手机等多种媒体终端使用的互动性教材。</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（四）思考题库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思考题包括填空（文字，图）、判断、选择（单项，多项，识图）、简答、应用（案例分析）题和操作（软件）等多种形式，思考题库以教学单元为单位建立检测评价功能，适用于网络电脑和手机使用，答题结束后可直接检测结果并显示参考答案，方便学习者随时使用。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（五）媒体素材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以说明一个问题、明确一项技能、掌握一个知识为目的，重点建设教学课件、专题录像、微型课程和仿真实训操作等内容。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（1）教学课件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以课程单元为单位设计制作。展现教学内容、各种教学方法和教学手段的运用；收集实际案例、技术和做法，集景、乐、图、文于一体，技术上达到精品在线开放课程资源建设要求。按课程对课件分类存储，提供全部课程课件供相关学习者使用。教学课件以 Flash 和 PPT 格式为主。为满足学习者学习需求，以掌握知识点和技能点学习内容为目的制作教学动画，使之可操作、有互动、结果可变，能够引发学生的学习兴趣。</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（2）教学录像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教学录像是教学过程或工作过程的真实再现，以课程为单位存储，涉及三项内容。一是单元教学过程实况，与教学课件的内容相呼应，以教学单元为单位录制，方便学生和自学者随时进入“课堂”获取知识或感受技能训练。二是某一项目生产过程或技能操作过程的真实再现，鉴于生产过程的复杂性、周期性，通过录像将生产过程和技能操作过程“随时”现场示范，方便学生和自学者自学、复习和掌握。三是相关专业领域的专题讲座，一次讲座解决一个问题，开阔视野、解放思想，了解行业前沿动态。</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（3）微型课程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微型课程以综合录像、动画、图片和课件等多种素材制作完成，以一个知识点或一个问题为内容单位，时长不超过15分钟。选择优秀的人（主讲教师）、物（素材）、景（环境场景）资源和典型的教学内容（抽象，微观），充分利用数字化手段，声、乐、图、像、文合理有效组合。通俗大方，清晰易懂，灵活趣味，适合电脑、手机等多种媒体使用。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（4）仿真实训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开设模拟实训室，以生产项目运作或单项技能培训为载体，建立网上模拟操作系统，学习者可以通过电脑和手机实现操作，随时学习和提高。具体思路是以生产过程为主线，通过知识问答、方案设定、实践操作和技能培训等多种形式，集教学、自学、实训、考核功能于一体，建立生产模拟实训场，让学习者通过软件操作，以游戏的方式在电脑上完成知识学习和生产相关实践实训过程。</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（6）其他资源</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企业案例（生产案例）、教学图表、教学工作页和实训指导等文本材料和媒体素材。</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四、管理与职责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（一）二级学院</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1.各二级学院列出年度课程资源的建设计划，分课程制订《XXX》课程教学资源建设方案。</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2.经立项后的课程，需分解到年度项目库、内涵建设、年度公用经费建设以及双一流建设等市级竞争性项目当中。</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3.负责课程教学资源的建设与应用。</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（二）教务处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组织课程建设的项目立项、评审推选、检查、应用管理等。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（三）信息中心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负责课程教学平台与学校智慧校园平台的对接、技术指标审核、技术支持以及资源网络安全等工作。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（四）财务处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负责资源建设经费的财务管理和会计核算；协同教务处指导项目预算编制并负责监督项目资金按照项目立项书及有关财经法规在其预算范围内合理使用。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（五）资产管理处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按照相关管理办法，负责完成课程教学资源建设与应用所需各项设备及服务的采购工作。</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（六）图书馆</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组织课程资源的验收，及相关固定资产的登记与管理。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五、立项与建设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1.鼓励各专业积极申报上海市级示范性专业教学资源库，经上海市立项建设的专业教学资源库，将作为学校重点扶植项目，该专业的课程教学资源建设优先予以支持。</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2.课程教学资源建设方案，经审批通过后，方可建设。</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3.课程教学资源建设一般以年度为单位，不得重复建设。</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4.每年年底，教务处将组织专家对完成建设的课程教学资源进行验收与评审。验收不通过的，将减少部门下年度课程教学资源建设门数。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5.课程教学资源验收后,应逐步推广在学校网络教学平台试点应用。相关专业教师应在课程教学中使用教学资源库中的资源，逐步实施线上线下混合式教学。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六、资金管理</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1.课程教学资源建设经费包含在项目库、内涵建设、年度公用经费以及双一流建设等市级竞争性经费，学校不再安排专项经费。</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2.课程教学资源建设应坚持自我建设为主，不宜简单地将建设内容整体外包。一些教学课件、教学动画、教学录像 、微型课程、虚拟操作、企业案例（生产案例）等资源中涉及的图片、动画、视频、音频、仿真等媒体素材，学校无力完成的可借助第三方制作。</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3.课程建设资金一般不用于课标制订、教案编写、教材编写、课件的制作、思想题库开发等基础性工作。</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在基础性资源较为完善、有一定资源积累，可申请适当课程建设资金。资金主要用于：素材制作费、企业案例收集制作费、特殊工具软件费、应用推广费、调研论证、专家咨询费等。其中，企业案例收集制作费不得超出建设资金的5%，应用推广费不得超出建设资金的2%，调研论证、专家咨询费不得超出建设资金的5%。</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5.单门课程教学资源建设资金原则上不超出10万。有一定建设基础的课程，如申报市级及以上成果的，可突破限额，单独立项。</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6.对于新专业课程及新开设课程，可申请适当资金用于课程开发，不建议用于资源素材的制作。</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7.课程教学资源建设资金不得用于整体购买服务公司等已建成的专业教学资源，在课程资源建设中确有需用购买一些资源素材的，购买资源素材的费用支出不得超过年度项目建设经费的10%。</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8.如本专业已有国家立项建设的专业教学资源库，经过考察与论证，认为该资源库的课程适应我校教学需求，可以用购买服务的方式用于教学，购买服务的经费不得列入课程教学资源建设经费。</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9.各承建单位必须严格执行国家财政、财经法规的规定，切实加强项目资金预算、审批、使用和决算管理。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10.各承建单位、部门应自觉接受财政、审计等有关部门的监督、审计和检查。 </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七、其他</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本办法自颁布之日起正式实施，原《上海电子信息职业技术学院课程教学资源建设指导意见》（沪电信职院〔2020〕105号）废止），由上海电子信息职业技术学院教务处负责解释。</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附件：1.课程教学资源制作规范</w:t>
      </w:r>
    </w:p>
    <w:p>
      <w:pPr>
        <w:keepNext/>
        <w:keepLines/>
        <w:pageBreakBefore w:val="0"/>
        <w:widowControl/>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2.课程资源建设方案</w:t>
      </w:r>
    </w:p>
    <w:p>
      <w:pPr>
        <w:pageBreakBefore w:val="0"/>
        <w:widowControl/>
        <w:topLinePunct w:val="0"/>
        <w:bidi w:val="0"/>
        <w:spacing w:line="360" w:lineRule="auto"/>
        <w:ind w:firstLine="465"/>
        <w:jc w:val="right"/>
        <w:outlineLvl w:val="9"/>
        <w:rPr>
          <w:rFonts w:ascii="宋体" w:hAnsi="宋体" w:eastAsia="宋体" w:cs="宋体"/>
          <w:color w:val="000000"/>
          <w:sz w:val="24"/>
        </w:rPr>
      </w:pPr>
      <w:r>
        <w:rPr>
          <w:rFonts w:hint="eastAsia" w:ascii="宋体" w:hAnsi="宋体" w:eastAsia="宋体" w:cs="宋体"/>
          <w:color w:val="000000"/>
          <w:sz w:val="24"/>
        </w:rPr>
        <w:t xml:space="preserve">　　　　　　　　　　　　　　　　　　  </w:t>
      </w:r>
    </w:p>
    <w:p>
      <w:pPr>
        <w:pageBreakBefore w:val="0"/>
        <w:widowControl/>
        <w:topLinePunct w:val="0"/>
        <w:bidi w:val="0"/>
        <w:spacing w:after="4" w:line="334" w:lineRule="auto"/>
        <w:ind w:left="-15" w:firstLine="465"/>
        <w:jc w:val="left"/>
        <w:outlineLvl w:val="9"/>
        <w:rPr>
          <w:rFonts w:ascii="宋体" w:hAnsi="宋体" w:eastAsia="宋体" w:cs="宋体"/>
          <w:b/>
          <w:bCs/>
          <w:color w:val="000000"/>
          <w:sz w:val="24"/>
        </w:rPr>
      </w:pPr>
    </w:p>
    <w:p>
      <w:pPr>
        <w:pageBreakBefore w:val="0"/>
        <w:widowControl/>
        <w:topLinePunct w:val="0"/>
        <w:bidi w:val="0"/>
        <w:spacing w:after="4" w:line="334" w:lineRule="auto"/>
        <w:ind w:left="-15" w:firstLine="465"/>
        <w:jc w:val="center"/>
        <w:outlineLvl w:val="9"/>
        <w:rPr>
          <w:rFonts w:hint="eastAsia" w:ascii="黑体" w:hAnsi="黑体" w:eastAsia="黑体" w:cs="黑体"/>
          <w:color w:val="000000"/>
          <w:sz w:val="30"/>
          <w:szCs w:val="30"/>
        </w:rPr>
      </w:pPr>
    </w:p>
    <w:p>
      <w:pPr>
        <w:pageBreakBefore w:val="0"/>
        <w:widowControl/>
        <w:topLinePunct w:val="0"/>
        <w:bidi w:val="0"/>
        <w:spacing w:after="4" w:line="334" w:lineRule="auto"/>
        <w:ind w:left="-15" w:firstLine="465"/>
        <w:jc w:val="center"/>
        <w:outlineLvl w:val="9"/>
        <w:rPr>
          <w:rFonts w:hint="eastAsia" w:ascii="黑体" w:hAnsi="黑体" w:eastAsia="黑体" w:cs="黑体"/>
          <w:color w:val="000000"/>
          <w:sz w:val="30"/>
          <w:szCs w:val="30"/>
        </w:rPr>
      </w:pPr>
    </w:p>
    <w:p>
      <w:pPr>
        <w:pageBreakBefore w:val="0"/>
        <w:widowControl/>
        <w:topLinePunct w:val="0"/>
        <w:bidi w:val="0"/>
        <w:spacing w:after="4" w:line="334" w:lineRule="auto"/>
        <w:ind w:left="-15" w:firstLine="465"/>
        <w:jc w:val="both"/>
        <w:outlineLvl w:val="9"/>
        <w:rPr>
          <w:rFonts w:ascii="黑体" w:hAnsi="黑体" w:eastAsia="黑体" w:cs="黑体"/>
          <w:color w:val="000000"/>
          <w:sz w:val="30"/>
          <w:szCs w:val="30"/>
        </w:rPr>
      </w:pPr>
      <w:r>
        <w:rPr>
          <w:rFonts w:hint="eastAsia" w:ascii="黑体" w:hAnsi="黑体" w:eastAsia="黑体" w:cs="黑体"/>
          <w:color w:val="000000"/>
          <w:sz w:val="30"/>
          <w:szCs w:val="30"/>
          <w:lang w:val="en-US" w:eastAsia="zh-CN"/>
        </w:rPr>
        <w:t xml:space="preserve">附件1：         </w:t>
      </w:r>
      <w:r>
        <w:rPr>
          <w:rFonts w:hint="eastAsia" w:ascii="黑体" w:hAnsi="黑体" w:eastAsia="黑体" w:cs="黑体"/>
          <w:color w:val="000000"/>
          <w:sz w:val="30"/>
          <w:szCs w:val="30"/>
        </w:rPr>
        <w:t xml:space="preserve">课程教学资源制作规范 </w:t>
      </w:r>
    </w:p>
    <w:p>
      <w:pPr>
        <w:pageBreakBefore w:val="0"/>
        <w:widowControl/>
        <w:topLinePunct w:val="0"/>
        <w:bidi w:val="0"/>
        <w:spacing w:after="4" w:line="334" w:lineRule="auto"/>
        <w:jc w:val="left"/>
        <w:outlineLvl w:val="9"/>
        <w:rPr>
          <w:rFonts w:ascii="宋体" w:hAnsi="宋体" w:eastAsia="宋体" w:cs="宋体"/>
          <w:b/>
          <w:bCs/>
          <w:color w:val="000000"/>
          <w:sz w:val="24"/>
        </w:rPr>
      </w:pPr>
      <w:r>
        <w:rPr>
          <w:rFonts w:hint="eastAsia" w:ascii="宋体" w:hAnsi="宋体" w:eastAsia="宋体" w:cs="宋体"/>
          <w:b/>
          <w:bCs/>
          <w:color w:val="000000"/>
          <w:sz w:val="24"/>
        </w:rPr>
        <w:t>（一）文本类素材</w:t>
      </w:r>
      <w:r>
        <w:rPr>
          <w:rFonts w:ascii="宋体" w:hAnsi="宋体" w:eastAsia="宋体" w:cs="宋体"/>
          <w:b/>
          <w:bCs/>
          <w:color w:val="000000"/>
          <w:sz w:val="24"/>
        </w:rPr>
        <w:t xml:space="preserve"> </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1</w:t>
      </w:r>
      <w:r>
        <w:rPr>
          <w:rFonts w:hint="eastAsia" w:ascii="宋体" w:hAnsi="宋体" w:eastAsia="宋体" w:cs="宋体"/>
          <w:color w:val="000000"/>
          <w:sz w:val="24"/>
        </w:rPr>
        <w:t>．文件格式</w:t>
      </w:r>
      <w:r>
        <w:rPr>
          <w:rFonts w:ascii="宋体" w:hAnsi="宋体" w:eastAsia="宋体" w:cs="宋体"/>
          <w:color w:val="000000"/>
          <w:sz w:val="24"/>
        </w:rPr>
        <w:t xml:space="preserve"> </w:t>
      </w:r>
    </w:p>
    <w:tbl>
      <w:tblPr>
        <w:tblStyle w:val="137"/>
        <w:tblW w:w="8839" w:type="dxa"/>
        <w:tblInd w:w="-10" w:type="dxa"/>
        <w:tblLayout w:type="autofit"/>
        <w:tblCellMar>
          <w:top w:w="43" w:type="dxa"/>
          <w:left w:w="0" w:type="dxa"/>
          <w:bottom w:w="0" w:type="dxa"/>
          <w:right w:w="115" w:type="dxa"/>
        </w:tblCellMar>
      </w:tblPr>
      <w:tblGrid>
        <w:gridCol w:w="2569"/>
        <w:gridCol w:w="3763"/>
        <w:gridCol w:w="2507"/>
      </w:tblGrid>
      <w:tr>
        <w:tblPrEx>
          <w:tblCellMar>
            <w:top w:w="43" w:type="dxa"/>
            <w:left w:w="0" w:type="dxa"/>
            <w:bottom w:w="0" w:type="dxa"/>
            <w:right w:w="115" w:type="dxa"/>
          </w:tblCellMar>
        </w:tblPrEx>
        <w:trPr>
          <w:trHeight w:val="351" w:hRule="atLeast"/>
        </w:trPr>
        <w:tc>
          <w:tcPr>
            <w:tcW w:w="2569"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媒体类型</w:t>
            </w:r>
            <w:r>
              <w:rPr>
                <w:rFonts w:ascii="宋体" w:hAnsi="宋体" w:eastAsia="宋体" w:cs="宋体"/>
                <w:color w:val="000000"/>
                <w:sz w:val="24"/>
              </w:rPr>
              <w:t xml:space="preserve"> </w:t>
            </w:r>
          </w:p>
        </w:tc>
        <w:tc>
          <w:tcPr>
            <w:tcW w:w="376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扩展名</w:t>
            </w:r>
            <w:r>
              <w:rPr>
                <w:rFonts w:ascii="宋体" w:hAnsi="宋体" w:eastAsia="宋体" w:cs="宋体"/>
                <w:color w:val="000000"/>
                <w:sz w:val="24"/>
              </w:rPr>
              <w:t xml:space="preserve"> </w:t>
            </w:r>
          </w:p>
        </w:tc>
        <w:tc>
          <w:tcPr>
            <w:tcW w:w="2507"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说</w:t>
            </w:r>
            <w:r>
              <w:rPr>
                <w:rFonts w:ascii="宋体" w:hAnsi="宋体" w:eastAsia="宋体" w:cs="宋体"/>
                <w:color w:val="000000"/>
                <w:sz w:val="24"/>
              </w:rPr>
              <w:t xml:space="preserve"> </w:t>
            </w:r>
            <w:r>
              <w:rPr>
                <w:rFonts w:hint="eastAsia" w:ascii="宋体" w:hAnsi="宋体" w:eastAsia="宋体" w:cs="宋体"/>
                <w:color w:val="000000"/>
                <w:sz w:val="24"/>
              </w:rPr>
              <w:t>明</w:t>
            </w:r>
            <w:r>
              <w:rPr>
                <w:rFonts w:ascii="宋体" w:hAnsi="宋体" w:eastAsia="宋体" w:cs="宋体"/>
                <w:color w:val="000000"/>
                <w:sz w:val="24"/>
              </w:rPr>
              <w:t xml:space="preserve"> </w:t>
            </w:r>
          </w:p>
        </w:tc>
      </w:tr>
      <w:tr>
        <w:tblPrEx>
          <w:tblCellMar>
            <w:top w:w="43" w:type="dxa"/>
            <w:left w:w="0" w:type="dxa"/>
            <w:bottom w:w="0" w:type="dxa"/>
            <w:right w:w="115" w:type="dxa"/>
          </w:tblCellMar>
        </w:tblPrEx>
        <w:trPr>
          <w:trHeight w:val="656" w:hRule="atLeast"/>
        </w:trPr>
        <w:tc>
          <w:tcPr>
            <w:tcW w:w="2569"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文本</w:t>
            </w:r>
            <w:r>
              <w:rPr>
                <w:rFonts w:ascii="宋体" w:hAnsi="宋体" w:eastAsia="宋体" w:cs="宋体"/>
                <w:color w:val="000000"/>
                <w:sz w:val="24"/>
              </w:rPr>
              <w:t xml:space="preserve"> </w:t>
            </w:r>
          </w:p>
        </w:tc>
        <w:tc>
          <w:tcPr>
            <w:tcW w:w="376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*.doc</w:t>
            </w:r>
            <w:r>
              <w:rPr>
                <w:rFonts w:hint="eastAsia" w:ascii="宋体" w:hAnsi="宋体" w:eastAsia="宋体" w:cs="宋体"/>
                <w:color w:val="000000"/>
                <w:sz w:val="24"/>
              </w:rPr>
              <w:t>；</w:t>
            </w:r>
            <w:r>
              <w:rPr>
                <w:rFonts w:ascii="宋体" w:hAnsi="宋体" w:eastAsia="宋体" w:cs="宋体"/>
                <w:color w:val="000000"/>
                <w:sz w:val="24"/>
              </w:rPr>
              <w:t>*.docx</w:t>
            </w:r>
            <w:r>
              <w:rPr>
                <w:rFonts w:hint="eastAsia" w:ascii="宋体" w:hAnsi="宋体" w:eastAsia="宋体" w:cs="宋体"/>
                <w:color w:val="000000"/>
                <w:sz w:val="24"/>
              </w:rPr>
              <w:t>；</w:t>
            </w:r>
            <w:r>
              <w:rPr>
                <w:rFonts w:ascii="宋体" w:hAnsi="宋体" w:eastAsia="宋体" w:cs="宋体"/>
                <w:color w:val="000000"/>
                <w:sz w:val="24"/>
              </w:rPr>
              <w:t>*.pdf</w:t>
            </w:r>
            <w:r>
              <w:rPr>
                <w:rFonts w:hint="eastAsia" w:ascii="宋体" w:hAnsi="宋体" w:eastAsia="宋体" w:cs="宋体"/>
                <w:color w:val="000000"/>
                <w:sz w:val="24"/>
              </w:rPr>
              <w:t>；</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*.xls</w:t>
            </w:r>
            <w:r>
              <w:rPr>
                <w:rFonts w:hint="eastAsia" w:ascii="宋体" w:hAnsi="宋体" w:eastAsia="宋体" w:cs="宋体"/>
                <w:color w:val="000000"/>
                <w:sz w:val="24"/>
              </w:rPr>
              <w:t>；</w:t>
            </w:r>
            <w:r>
              <w:rPr>
                <w:rFonts w:ascii="宋体" w:hAnsi="宋体" w:eastAsia="宋体" w:cs="宋体"/>
                <w:color w:val="000000"/>
                <w:sz w:val="24"/>
              </w:rPr>
              <w:t>*.xlsx</w:t>
            </w:r>
            <w:r>
              <w:rPr>
                <w:rFonts w:hint="eastAsia" w:ascii="宋体" w:hAnsi="宋体" w:eastAsia="宋体" w:cs="宋体"/>
                <w:color w:val="000000"/>
                <w:sz w:val="24"/>
              </w:rPr>
              <w:t>；</w:t>
            </w:r>
            <w:r>
              <w:rPr>
                <w:rFonts w:ascii="宋体" w:hAnsi="宋体" w:eastAsia="宋体" w:cs="宋体"/>
                <w:color w:val="000000"/>
                <w:sz w:val="24"/>
              </w:rPr>
              <w:t xml:space="preserve">*.txt </w:t>
            </w:r>
          </w:p>
        </w:tc>
        <w:tc>
          <w:tcPr>
            <w:tcW w:w="2507"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常见文本存储格式</w:t>
            </w: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2</w:t>
      </w:r>
      <w:r>
        <w:rPr>
          <w:rFonts w:hint="eastAsia" w:ascii="宋体" w:hAnsi="宋体" w:eastAsia="宋体" w:cs="宋体"/>
          <w:color w:val="000000"/>
          <w:sz w:val="24"/>
        </w:rPr>
        <w:t>．技术要求</w:t>
      </w:r>
      <w:r>
        <w:rPr>
          <w:rFonts w:ascii="宋体" w:hAnsi="宋体" w:eastAsia="宋体" w:cs="宋体"/>
          <w:color w:val="000000"/>
          <w:sz w:val="24"/>
        </w:rPr>
        <w:t xml:space="preserve"> </w:t>
      </w:r>
    </w:p>
    <w:tbl>
      <w:tblPr>
        <w:tblStyle w:val="137"/>
        <w:tblW w:w="8897" w:type="dxa"/>
        <w:tblInd w:w="-10" w:type="dxa"/>
        <w:tblLayout w:type="autofit"/>
        <w:tblCellMar>
          <w:top w:w="43" w:type="dxa"/>
          <w:left w:w="98" w:type="dxa"/>
          <w:bottom w:w="0" w:type="dxa"/>
          <w:right w:w="18" w:type="dxa"/>
        </w:tblCellMar>
      </w:tblPr>
      <w:tblGrid>
        <w:gridCol w:w="806"/>
        <w:gridCol w:w="8091"/>
      </w:tblGrid>
      <w:tr>
        <w:tblPrEx>
          <w:tblCellMar>
            <w:top w:w="43" w:type="dxa"/>
            <w:left w:w="98" w:type="dxa"/>
            <w:bottom w:w="0" w:type="dxa"/>
            <w:right w:w="18" w:type="dxa"/>
          </w:tblCellMar>
        </w:tblPrEx>
        <w:trPr>
          <w:trHeight w:val="341" w:hRule="atLeast"/>
        </w:trPr>
        <w:tc>
          <w:tcPr>
            <w:tcW w:w="8897" w:type="dxa"/>
            <w:gridSpan w:val="2"/>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center"/>
              <w:outlineLvl w:val="9"/>
              <w:rPr>
                <w:rFonts w:ascii="宋体" w:hAnsi="宋体" w:eastAsia="宋体" w:cs="宋体"/>
                <w:color w:val="000000"/>
                <w:sz w:val="24"/>
              </w:rPr>
            </w:pPr>
            <w:r>
              <w:rPr>
                <w:rFonts w:hint="eastAsia" w:ascii="宋体" w:hAnsi="宋体" w:eastAsia="宋体" w:cs="宋体"/>
                <w:color w:val="000000"/>
                <w:sz w:val="24"/>
              </w:rPr>
              <w:t>技术要求</w:t>
            </w:r>
          </w:p>
        </w:tc>
      </w:tr>
      <w:tr>
        <w:tblPrEx>
          <w:tblCellMar>
            <w:top w:w="43" w:type="dxa"/>
            <w:left w:w="98" w:type="dxa"/>
            <w:bottom w:w="0" w:type="dxa"/>
            <w:right w:w="18" w:type="dxa"/>
          </w:tblCellMar>
        </w:tblPrEx>
        <w:trPr>
          <w:trHeight w:val="766" w:hRule="atLeast"/>
        </w:trPr>
        <w:tc>
          <w:tcPr>
            <w:tcW w:w="554"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软</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件</w:t>
            </w:r>
            <w:r>
              <w:rPr>
                <w:rFonts w:ascii="宋体" w:hAnsi="宋体" w:eastAsia="宋体" w:cs="宋体"/>
                <w:color w:val="000000"/>
                <w:sz w:val="24"/>
              </w:rPr>
              <w:t xml:space="preserve"> </w:t>
            </w:r>
          </w:p>
        </w:tc>
        <w:tc>
          <w:tcPr>
            <w:tcW w:w="8343"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Cs w:val="21"/>
              </w:rPr>
            </w:pPr>
            <w:r>
              <w:rPr>
                <w:rFonts w:hint="eastAsia" w:ascii="宋体" w:hAnsi="宋体" w:eastAsia="宋体" w:cs="宋体"/>
                <w:color w:val="000000"/>
                <w:szCs w:val="21"/>
              </w:rPr>
              <w:t>文件制作版本不低于当前主流版本，要求上下兼容（文。</w:t>
            </w:r>
            <w:r>
              <w:rPr>
                <w:rFonts w:ascii="宋体" w:hAnsi="宋体" w:eastAsia="宋体" w:cs="宋体"/>
                <w:color w:val="000000"/>
                <w:szCs w:val="21"/>
              </w:rPr>
              <w:t xml:space="preserve"> </w:t>
            </w:r>
            <w:r>
              <w:rPr>
                <w:rFonts w:hint="eastAsia" w:ascii="宋体" w:hAnsi="宋体" w:eastAsia="宋体" w:cs="宋体"/>
                <w:color w:val="000000"/>
                <w:szCs w:val="21"/>
              </w:rPr>
              <w:t>档编辑工具不低于</w:t>
            </w:r>
            <w:r>
              <w:rPr>
                <w:rFonts w:ascii="宋体" w:hAnsi="宋体" w:eastAsia="宋体" w:cs="宋体"/>
                <w:color w:val="000000"/>
                <w:szCs w:val="21"/>
              </w:rPr>
              <w:t>Office2003</w:t>
            </w:r>
            <w:r>
              <w:rPr>
                <w:rFonts w:hint="eastAsia" w:ascii="宋体" w:hAnsi="宋体" w:eastAsia="宋体" w:cs="宋体"/>
                <w:color w:val="000000"/>
                <w:szCs w:val="21"/>
              </w:rPr>
              <w:t>）</w:t>
            </w:r>
            <w:r>
              <w:rPr>
                <w:rFonts w:ascii="宋体" w:hAnsi="宋体" w:eastAsia="宋体" w:cs="宋体"/>
                <w:color w:val="000000"/>
                <w:szCs w:val="21"/>
              </w:rPr>
              <w:t xml:space="preserve"> </w:t>
            </w:r>
          </w:p>
        </w:tc>
      </w:tr>
      <w:tr>
        <w:tblPrEx>
          <w:tblCellMar>
            <w:top w:w="43" w:type="dxa"/>
            <w:left w:w="98" w:type="dxa"/>
            <w:bottom w:w="0" w:type="dxa"/>
            <w:right w:w="18" w:type="dxa"/>
          </w:tblCellMar>
        </w:tblPrEx>
        <w:trPr>
          <w:trHeight w:val="446" w:hRule="atLeast"/>
        </w:trPr>
        <w:tc>
          <w:tcPr>
            <w:tcW w:w="554" w:type="dxa"/>
            <w:vMerge w:val="restart"/>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line="360" w:lineRule="auto"/>
              <w:ind w:firstLine="480" w:firstLineChars="200"/>
              <w:jc w:val="left"/>
              <w:outlineLvl w:val="9"/>
              <w:rPr>
                <w:rFonts w:ascii="宋体" w:hAnsi="宋体" w:eastAsia="宋体" w:cs="宋体"/>
                <w:color w:val="000000"/>
                <w:sz w:val="24"/>
              </w:rPr>
            </w:pPr>
            <w:r>
              <w:rPr>
                <w:rFonts w:ascii="宋体" w:hAnsi="宋体" w:eastAsia="宋体" w:cs="宋体"/>
                <w:color w:val="000000"/>
                <w:sz w:val="24"/>
              </w:rPr>
              <w:t xml:space="preserve"> </w:t>
            </w:r>
          </w:p>
          <w:p>
            <w:pPr>
              <w:pageBreakBefore w:val="0"/>
              <w:widowControl/>
              <w:topLinePunct w:val="0"/>
              <w:bidi w:val="0"/>
              <w:spacing w:line="360" w:lineRule="auto"/>
              <w:ind w:firstLine="480" w:firstLineChars="200"/>
              <w:jc w:val="left"/>
              <w:outlineLvl w:val="9"/>
              <w:rPr>
                <w:rFonts w:ascii="宋体" w:hAnsi="宋体" w:eastAsia="宋体" w:cs="宋体"/>
                <w:color w:val="000000"/>
                <w:sz w:val="24"/>
              </w:rPr>
            </w:pPr>
            <w:r>
              <w:rPr>
                <w:rFonts w:ascii="宋体" w:hAnsi="宋体" w:eastAsia="宋体" w:cs="宋体"/>
                <w:color w:val="000000"/>
                <w:sz w:val="24"/>
              </w:rPr>
              <w:t xml:space="preserve"> </w:t>
            </w:r>
            <w:r>
              <w:rPr>
                <w:rFonts w:hint="eastAsia"/>
                <w:sz w:val="24"/>
                <w:szCs w:val="24"/>
              </w:rPr>
              <w:t>品质要求</w:t>
            </w:r>
            <w:r>
              <w:rPr>
                <w:rFonts w:ascii="宋体" w:hAnsi="宋体" w:eastAsia="宋体" w:cs="宋体"/>
                <w:color w:val="000000"/>
                <w:sz w:val="24"/>
              </w:rPr>
              <w:t xml:space="preserve"> </w:t>
            </w:r>
          </w:p>
        </w:tc>
        <w:tc>
          <w:tcPr>
            <w:tcW w:w="8343"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Cs w:val="21"/>
              </w:rPr>
            </w:pPr>
            <w:r>
              <w:rPr>
                <w:rFonts w:hint="eastAsia" w:ascii="宋体" w:hAnsi="宋体" w:eastAsia="宋体" w:cs="宋体"/>
                <w:color w:val="000000"/>
                <w:szCs w:val="21"/>
              </w:rPr>
              <w:t>文本正文应设定文章标题，文章标题放在正文内第一行居中的位置</w:t>
            </w:r>
          </w:p>
        </w:tc>
      </w:tr>
      <w:tr>
        <w:tblPrEx>
          <w:tblCellMar>
            <w:top w:w="43" w:type="dxa"/>
            <w:left w:w="98" w:type="dxa"/>
            <w:bottom w:w="0" w:type="dxa"/>
            <w:right w:w="18" w:type="dxa"/>
          </w:tblCellMar>
        </w:tblPrEx>
        <w:trPr>
          <w:trHeight w:val="437"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834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Cs w:val="21"/>
              </w:rPr>
            </w:pPr>
            <w:r>
              <w:rPr>
                <w:rFonts w:hint="eastAsia" w:ascii="宋体" w:hAnsi="宋体" w:eastAsia="宋体" w:cs="宋体"/>
                <w:color w:val="000000"/>
                <w:szCs w:val="21"/>
              </w:rPr>
              <w:t>各级标题应设置正确，同一级标题使用同样的样式，文本结构清晰</w:t>
            </w:r>
          </w:p>
        </w:tc>
      </w:tr>
      <w:tr>
        <w:tblPrEx>
          <w:tblCellMar>
            <w:top w:w="43" w:type="dxa"/>
            <w:left w:w="98" w:type="dxa"/>
            <w:bottom w:w="0" w:type="dxa"/>
            <w:right w:w="18" w:type="dxa"/>
          </w:tblCellMar>
        </w:tblPrEx>
        <w:trPr>
          <w:trHeight w:val="341"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834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Cs w:val="21"/>
              </w:rPr>
            </w:pPr>
            <w:r>
              <w:rPr>
                <w:rFonts w:hint="eastAsia" w:ascii="宋体" w:hAnsi="宋体" w:eastAsia="宋体" w:cs="宋体"/>
                <w:color w:val="000000"/>
                <w:szCs w:val="21"/>
              </w:rPr>
              <w:t>正文字体、字号、颜色、行间距等要美观、统一</w:t>
            </w:r>
            <w:r>
              <w:rPr>
                <w:rFonts w:ascii="宋体" w:hAnsi="宋体" w:eastAsia="宋体" w:cs="宋体"/>
                <w:color w:val="000000"/>
                <w:szCs w:val="21"/>
              </w:rPr>
              <w:t xml:space="preserve"> </w:t>
            </w:r>
          </w:p>
        </w:tc>
      </w:tr>
      <w:tr>
        <w:tblPrEx>
          <w:tblCellMar>
            <w:top w:w="43" w:type="dxa"/>
            <w:left w:w="98" w:type="dxa"/>
            <w:bottom w:w="0" w:type="dxa"/>
            <w:right w:w="18" w:type="dxa"/>
          </w:tblCellMar>
        </w:tblPrEx>
        <w:trPr>
          <w:trHeight w:val="351"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834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Cs w:val="21"/>
              </w:rPr>
            </w:pPr>
            <w:r>
              <w:rPr>
                <w:rFonts w:hint="eastAsia" w:ascii="宋体" w:hAnsi="宋体" w:eastAsia="宋体" w:cs="宋体"/>
                <w:color w:val="000000"/>
                <w:szCs w:val="21"/>
              </w:rPr>
              <w:t>文本超过</w:t>
            </w:r>
            <w:r>
              <w:rPr>
                <w:rFonts w:ascii="宋体" w:hAnsi="宋体" w:eastAsia="宋体" w:cs="宋体"/>
                <w:color w:val="000000"/>
                <w:szCs w:val="21"/>
              </w:rPr>
              <w:t xml:space="preserve"> 10 </w:t>
            </w:r>
            <w:r>
              <w:rPr>
                <w:rFonts w:hint="eastAsia" w:ascii="宋体" w:hAnsi="宋体" w:eastAsia="宋体" w:cs="宋体"/>
                <w:color w:val="000000"/>
                <w:szCs w:val="21"/>
              </w:rPr>
              <w:t>页应插入页码；超过</w:t>
            </w:r>
            <w:r>
              <w:rPr>
                <w:rFonts w:ascii="宋体" w:hAnsi="宋体" w:eastAsia="宋体" w:cs="宋体"/>
                <w:color w:val="000000"/>
                <w:szCs w:val="21"/>
              </w:rPr>
              <w:t xml:space="preserve"> 15 </w:t>
            </w:r>
            <w:r>
              <w:rPr>
                <w:rFonts w:hint="eastAsia" w:ascii="宋体" w:hAnsi="宋体" w:eastAsia="宋体" w:cs="宋体"/>
                <w:color w:val="000000"/>
                <w:szCs w:val="21"/>
              </w:rPr>
              <w:t>页应插入目录</w:t>
            </w:r>
            <w:r>
              <w:rPr>
                <w:rFonts w:ascii="宋体" w:hAnsi="宋体" w:eastAsia="宋体" w:cs="宋体"/>
                <w:color w:val="000000"/>
                <w:szCs w:val="21"/>
              </w:rPr>
              <w:t xml:space="preserve"> </w:t>
            </w:r>
          </w:p>
        </w:tc>
      </w:tr>
      <w:tr>
        <w:tblPrEx>
          <w:tblCellMar>
            <w:top w:w="43" w:type="dxa"/>
            <w:left w:w="98" w:type="dxa"/>
            <w:bottom w:w="0" w:type="dxa"/>
            <w:right w:w="18" w:type="dxa"/>
          </w:tblCellMar>
        </w:tblPrEx>
        <w:trPr>
          <w:trHeight w:val="972"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834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Cs w:val="21"/>
              </w:rPr>
            </w:pPr>
            <w:r>
              <w:rPr>
                <w:rFonts w:hint="eastAsia" w:ascii="宋体" w:hAnsi="宋体" w:eastAsia="宋体" w:cs="宋体"/>
                <w:color w:val="000000"/>
                <w:szCs w:val="21"/>
              </w:rPr>
              <w:t>表格不应超出页面，且要求使用软件的插入表格或绘制表格等功能生成表格，并使用相应功能加工处理，不要用在文本上描绘直线等绘图方式制作表格</w:t>
            </w:r>
            <w:r>
              <w:rPr>
                <w:rFonts w:ascii="宋体" w:hAnsi="宋体" w:eastAsia="宋体" w:cs="宋体"/>
                <w:color w:val="000000"/>
                <w:szCs w:val="21"/>
              </w:rPr>
              <w:t xml:space="preserve"> </w:t>
            </w:r>
          </w:p>
        </w:tc>
      </w:tr>
      <w:tr>
        <w:tblPrEx>
          <w:tblCellMar>
            <w:top w:w="43" w:type="dxa"/>
            <w:left w:w="98" w:type="dxa"/>
            <w:bottom w:w="0" w:type="dxa"/>
            <w:right w:w="18" w:type="dxa"/>
          </w:tblCellMar>
        </w:tblPrEx>
        <w:trPr>
          <w:trHeight w:val="331"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834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Cs w:val="21"/>
              </w:rPr>
            </w:pPr>
            <w:r>
              <w:rPr>
                <w:rFonts w:hint="eastAsia" w:ascii="宋体" w:hAnsi="宋体" w:eastAsia="宋体" w:cs="宋体"/>
                <w:color w:val="000000"/>
                <w:szCs w:val="21"/>
              </w:rPr>
              <w:t>正文中的图像、图形应清晰，图形要符合国家相关绘制标准</w:t>
            </w:r>
            <w:r>
              <w:rPr>
                <w:rFonts w:ascii="宋体" w:hAnsi="宋体" w:eastAsia="宋体" w:cs="宋体"/>
                <w:color w:val="000000"/>
                <w:szCs w:val="21"/>
              </w:rPr>
              <w:t xml:space="preserve"> </w:t>
            </w:r>
          </w:p>
        </w:tc>
      </w:tr>
      <w:tr>
        <w:tblPrEx>
          <w:tblCellMar>
            <w:top w:w="43" w:type="dxa"/>
            <w:left w:w="98" w:type="dxa"/>
            <w:bottom w:w="0" w:type="dxa"/>
            <w:right w:w="18" w:type="dxa"/>
          </w:tblCellMar>
        </w:tblPrEx>
        <w:trPr>
          <w:trHeight w:val="413"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834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Cs w:val="21"/>
              </w:rPr>
            </w:pPr>
            <w:r>
              <w:rPr>
                <w:rFonts w:hint="eastAsia" w:ascii="宋体" w:hAnsi="宋体" w:eastAsia="宋体" w:cs="宋体"/>
                <w:color w:val="000000"/>
                <w:szCs w:val="21"/>
              </w:rPr>
              <w:t>尽量不要使用</w:t>
            </w:r>
            <w:r>
              <w:rPr>
                <w:rFonts w:ascii="宋体" w:hAnsi="宋体" w:eastAsia="宋体" w:cs="宋体"/>
                <w:color w:val="000000"/>
                <w:szCs w:val="21"/>
              </w:rPr>
              <w:t xml:space="preserve"> Word </w:t>
            </w:r>
            <w:r>
              <w:rPr>
                <w:rFonts w:hint="eastAsia" w:ascii="宋体" w:hAnsi="宋体" w:eastAsia="宋体" w:cs="宋体"/>
                <w:color w:val="000000"/>
                <w:szCs w:val="21"/>
              </w:rPr>
              <w:t>绘制插图，而采用插入已保存的图片的方式</w:t>
            </w:r>
            <w:r>
              <w:rPr>
                <w:rFonts w:ascii="宋体" w:hAnsi="宋体" w:eastAsia="宋体" w:cs="宋体"/>
                <w:color w:val="000000"/>
                <w:szCs w:val="21"/>
              </w:rPr>
              <w:t xml:space="preserve"> </w:t>
            </w:r>
          </w:p>
        </w:tc>
      </w:tr>
      <w:tr>
        <w:tblPrEx>
          <w:tblCellMar>
            <w:top w:w="43" w:type="dxa"/>
            <w:left w:w="98" w:type="dxa"/>
            <w:bottom w:w="0" w:type="dxa"/>
            <w:right w:w="18" w:type="dxa"/>
          </w:tblCellMar>
        </w:tblPrEx>
        <w:trPr>
          <w:trHeight w:val="343"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834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Cs w:val="21"/>
              </w:rPr>
            </w:pPr>
            <w:r>
              <w:rPr>
                <w:rFonts w:hint="eastAsia" w:ascii="宋体" w:hAnsi="宋体" w:eastAsia="宋体" w:cs="宋体"/>
                <w:color w:val="000000"/>
                <w:szCs w:val="21"/>
              </w:rPr>
              <w:t>图文混排的方式选择嵌入式</w:t>
            </w:r>
            <w:r>
              <w:rPr>
                <w:rFonts w:ascii="宋体" w:hAnsi="宋体" w:eastAsia="宋体" w:cs="宋体"/>
                <w:color w:val="000000"/>
                <w:szCs w:val="21"/>
              </w:rPr>
              <w:t xml:space="preserve"> </w:t>
            </w:r>
          </w:p>
        </w:tc>
      </w:tr>
      <w:tr>
        <w:tblPrEx>
          <w:tblCellMar>
            <w:top w:w="43" w:type="dxa"/>
            <w:left w:w="98" w:type="dxa"/>
            <w:bottom w:w="0" w:type="dxa"/>
            <w:right w:w="18" w:type="dxa"/>
          </w:tblCellMar>
        </w:tblPrEx>
        <w:trPr>
          <w:trHeight w:val="346"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834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文档保存时的显示比例为</w:t>
            </w:r>
            <w:r>
              <w:rPr>
                <w:rFonts w:ascii="宋体" w:hAnsi="宋体" w:eastAsia="宋体" w:cs="宋体"/>
                <w:color w:val="000000"/>
                <w:sz w:val="24"/>
              </w:rPr>
              <w:t xml:space="preserve"> 100%</w:t>
            </w:r>
            <w:r>
              <w:rPr>
                <w:rFonts w:hint="eastAsia" w:ascii="宋体" w:hAnsi="宋体" w:eastAsia="宋体" w:cs="宋体"/>
                <w:color w:val="000000"/>
                <w:sz w:val="24"/>
              </w:rPr>
              <w:t>、页面视图</w:t>
            </w:r>
            <w:r>
              <w:rPr>
                <w:rFonts w:ascii="宋体" w:hAnsi="宋体" w:eastAsia="宋体" w:cs="宋体"/>
                <w:color w:val="000000"/>
                <w:sz w:val="24"/>
              </w:rPr>
              <w:t xml:space="preserve"> </w:t>
            </w:r>
          </w:p>
        </w:tc>
      </w:tr>
      <w:tr>
        <w:tblPrEx>
          <w:tblCellMar>
            <w:top w:w="43" w:type="dxa"/>
            <w:left w:w="98" w:type="dxa"/>
            <w:bottom w:w="0" w:type="dxa"/>
            <w:right w:w="18" w:type="dxa"/>
          </w:tblCellMar>
        </w:tblPrEx>
        <w:trPr>
          <w:trHeight w:val="643"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834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文件名应反映主题内容，尽量与文内标题保持一致，不要使用如</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“1.doc”</w:t>
            </w:r>
            <w:r>
              <w:rPr>
                <w:rFonts w:hint="eastAsia" w:ascii="宋体" w:hAnsi="宋体" w:eastAsia="宋体" w:cs="宋体"/>
                <w:color w:val="000000"/>
                <w:sz w:val="24"/>
              </w:rPr>
              <w:t>等这类含义不明的标题</w:t>
            </w:r>
            <w:r>
              <w:rPr>
                <w:rFonts w:ascii="宋体" w:hAnsi="宋体" w:eastAsia="宋体" w:cs="宋体"/>
                <w:color w:val="000000"/>
                <w:sz w:val="24"/>
              </w:rPr>
              <w:t xml:space="preserve"> </w:t>
            </w:r>
          </w:p>
        </w:tc>
      </w:tr>
      <w:tr>
        <w:tblPrEx>
          <w:tblCellMar>
            <w:top w:w="43" w:type="dxa"/>
            <w:left w:w="98" w:type="dxa"/>
            <w:bottom w:w="0" w:type="dxa"/>
            <w:right w:w="18" w:type="dxa"/>
          </w:tblCellMar>
        </w:tblPrEx>
        <w:trPr>
          <w:trHeight w:val="331"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834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文本如有对齐的要求，要用表格来处理，而不要使用空格来实现</w:t>
            </w:r>
            <w:r>
              <w:rPr>
                <w:rFonts w:ascii="宋体" w:hAnsi="宋体" w:eastAsia="宋体" w:cs="宋体"/>
                <w:color w:val="000000"/>
                <w:sz w:val="24"/>
              </w:rPr>
              <w:t xml:space="preserve"> </w:t>
            </w:r>
          </w:p>
        </w:tc>
      </w:tr>
      <w:tr>
        <w:tblPrEx>
          <w:tblCellMar>
            <w:top w:w="43" w:type="dxa"/>
            <w:left w:w="98" w:type="dxa"/>
            <w:bottom w:w="0" w:type="dxa"/>
            <w:right w:w="18" w:type="dxa"/>
          </w:tblCellMar>
        </w:tblPrEx>
        <w:trPr>
          <w:trHeight w:val="644"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834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文本内容应忠实于原文献，完整有序，符合我国法律法规，尊重各民族风俗习惯，版权不存在争议</w:t>
            </w:r>
            <w:r>
              <w:rPr>
                <w:rFonts w:ascii="宋体" w:hAnsi="宋体" w:eastAsia="宋体" w:cs="宋体"/>
                <w:color w:val="000000"/>
                <w:sz w:val="24"/>
              </w:rPr>
              <w:t xml:space="preserve"> </w:t>
            </w:r>
          </w:p>
        </w:tc>
      </w:tr>
      <w:tr>
        <w:tblPrEx>
          <w:tblCellMar>
            <w:top w:w="43" w:type="dxa"/>
            <w:left w:w="98" w:type="dxa"/>
            <w:bottom w:w="0" w:type="dxa"/>
            <w:right w:w="18" w:type="dxa"/>
          </w:tblCellMar>
        </w:tblPrEx>
        <w:trPr>
          <w:trHeight w:val="346"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834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文中所用计量符号应符合国家相关标准</w:t>
            </w:r>
            <w:r>
              <w:rPr>
                <w:rFonts w:ascii="宋体" w:hAnsi="宋体" w:eastAsia="宋体" w:cs="宋体"/>
                <w:color w:val="000000"/>
                <w:sz w:val="24"/>
              </w:rPr>
              <w:t xml:space="preserve"> </w:t>
            </w:r>
          </w:p>
        </w:tc>
      </w:tr>
      <w:tr>
        <w:tblPrEx>
          <w:tblCellMar>
            <w:top w:w="43" w:type="dxa"/>
            <w:left w:w="98" w:type="dxa"/>
            <w:bottom w:w="0" w:type="dxa"/>
            <w:right w:w="18" w:type="dxa"/>
          </w:tblCellMar>
        </w:tblPrEx>
        <w:trPr>
          <w:trHeight w:val="346" w:hRule="atLeast"/>
        </w:trPr>
        <w:tc>
          <w:tcPr>
            <w:tcW w:w="0" w:type="auto"/>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834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文档总页数以不超过</w:t>
            </w:r>
            <w:r>
              <w:rPr>
                <w:rFonts w:ascii="宋体" w:hAnsi="宋体" w:eastAsia="宋体" w:cs="宋体"/>
                <w:color w:val="000000"/>
                <w:sz w:val="24"/>
              </w:rPr>
              <w:t xml:space="preserve"> 60 </w:t>
            </w:r>
            <w:r>
              <w:rPr>
                <w:rFonts w:hint="eastAsia" w:ascii="宋体" w:hAnsi="宋体" w:eastAsia="宋体" w:cs="宋体"/>
                <w:color w:val="000000"/>
                <w:sz w:val="24"/>
              </w:rPr>
              <w:t>页为宜</w:t>
            </w: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3</w:t>
      </w:r>
      <w:r>
        <w:rPr>
          <w:rFonts w:hint="eastAsia" w:ascii="宋体" w:hAnsi="宋体" w:eastAsia="宋体" w:cs="宋体"/>
          <w:color w:val="000000"/>
          <w:sz w:val="24"/>
        </w:rPr>
        <w:t>．提交要求</w:t>
      </w:r>
      <w:r>
        <w:rPr>
          <w:rFonts w:ascii="宋体" w:hAnsi="宋体" w:eastAsia="宋体" w:cs="宋体"/>
          <w:color w:val="000000"/>
          <w:sz w:val="24"/>
        </w:rPr>
        <w:t xml:space="preserve"> </w:t>
      </w:r>
    </w:p>
    <w:tbl>
      <w:tblPr>
        <w:tblStyle w:val="137"/>
        <w:tblW w:w="8893" w:type="dxa"/>
        <w:tblInd w:w="-10" w:type="dxa"/>
        <w:tblLayout w:type="autofit"/>
        <w:tblCellMar>
          <w:top w:w="0" w:type="dxa"/>
          <w:left w:w="108" w:type="dxa"/>
          <w:bottom w:w="93" w:type="dxa"/>
          <w:right w:w="82" w:type="dxa"/>
        </w:tblCellMar>
      </w:tblPr>
      <w:tblGrid>
        <w:gridCol w:w="1274"/>
        <w:gridCol w:w="7619"/>
      </w:tblGrid>
      <w:tr>
        <w:tblPrEx>
          <w:tblCellMar>
            <w:top w:w="0" w:type="dxa"/>
            <w:left w:w="108" w:type="dxa"/>
            <w:bottom w:w="93" w:type="dxa"/>
            <w:right w:w="82" w:type="dxa"/>
          </w:tblCellMar>
        </w:tblPrEx>
        <w:trPr>
          <w:trHeight w:val="600" w:hRule="atLeast"/>
        </w:trPr>
        <w:tc>
          <w:tcPr>
            <w:tcW w:w="1274" w:type="dxa"/>
            <w:tcBorders>
              <w:top w:val="single" w:color="000000" w:sz="8" w:space="0"/>
              <w:left w:val="single" w:color="000000" w:sz="8" w:space="0"/>
              <w:bottom w:val="single" w:color="000000" w:sz="8" w:space="0"/>
              <w:right w:val="single" w:color="000000" w:sz="8" w:space="0"/>
            </w:tcBorders>
            <w:noWrap w:val="0"/>
            <w:vAlign w:val="bottom"/>
          </w:tcPr>
          <w:p>
            <w:pPr>
              <w:pageBreakBefore w:val="0"/>
              <w:widowControl/>
              <w:topLinePunct w:val="0"/>
              <w:bidi w:val="0"/>
              <w:spacing w:after="4" w:line="334" w:lineRule="auto"/>
              <w:jc w:val="left"/>
              <w:outlineLvl w:val="9"/>
              <w:rPr>
                <w:rFonts w:ascii="宋体" w:hAnsi="宋体" w:eastAsia="宋体" w:cs="宋体"/>
                <w:color w:val="000000"/>
                <w:sz w:val="24"/>
              </w:rPr>
            </w:pPr>
            <w:r>
              <w:rPr>
                <w:rFonts w:hint="eastAsia" w:ascii="宋体" w:hAnsi="宋体" w:eastAsia="宋体" w:cs="宋体"/>
                <w:color w:val="000000"/>
                <w:sz w:val="24"/>
              </w:rPr>
              <w:t>媒体类型</w:t>
            </w:r>
            <w:r>
              <w:rPr>
                <w:rFonts w:ascii="宋体" w:hAnsi="宋体" w:eastAsia="宋体" w:cs="宋体"/>
                <w:color w:val="000000"/>
                <w:sz w:val="24"/>
              </w:rPr>
              <w:t xml:space="preserve"> </w:t>
            </w:r>
          </w:p>
        </w:tc>
        <w:tc>
          <w:tcPr>
            <w:tcW w:w="7619" w:type="dxa"/>
            <w:tcBorders>
              <w:top w:val="single" w:color="000000" w:sz="8" w:space="0"/>
              <w:left w:val="single" w:color="000000" w:sz="8" w:space="0"/>
              <w:bottom w:val="single" w:color="000000" w:sz="8" w:space="0"/>
              <w:right w:val="single" w:color="000000" w:sz="8" w:space="0"/>
            </w:tcBorders>
            <w:noWrap w:val="0"/>
            <w:vAlign w:val="bottom"/>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提交要求</w:t>
            </w:r>
            <w:r>
              <w:rPr>
                <w:rFonts w:ascii="宋体" w:hAnsi="宋体" w:eastAsia="宋体" w:cs="宋体"/>
                <w:color w:val="000000"/>
                <w:sz w:val="24"/>
              </w:rPr>
              <w:t xml:space="preserve"> </w:t>
            </w:r>
          </w:p>
        </w:tc>
      </w:tr>
      <w:tr>
        <w:tblPrEx>
          <w:tblCellMar>
            <w:top w:w="0" w:type="dxa"/>
            <w:left w:w="108" w:type="dxa"/>
            <w:bottom w:w="93" w:type="dxa"/>
            <w:right w:w="82" w:type="dxa"/>
          </w:tblCellMar>
        </w:tblPrEx>
        <w:trPr>
          <w:trHeight w:val="600" w:hRule="atLeast"/>
        </w:trPr>
        <w:tc>
          <w:tcPr>
            <w:tcW w:w="1274" w:type="dxa"/>
            <w:tcBorders>
              <w:top w:val="single" w:color="000000" w:sz="8" w:space="0"/>
              <w:left w:val="single" w:color="000000" w:sz="8" w:space="0"/>
              <w:bottom w:val="single" w:color="000000" w:sz="8" w:space="0"/>
              <w:right w:val="single" w:color="000000" w:sz="8" w:space="0"/>
            </w:tcBorders>
            <w:noWrap w:val="0"/>
            <w:vAlign w:val="bottom"/>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文本</w:t>
            </w:r>
            <w:r>
              <w:rPr>
                <w:rFonts w:ascii="宋体" w:hAnsi="宋体" w:eastAsia="宋体" w:cs="宋体"/>
                <w:color w:val="000000"/>
                <w:sz w:val="24"/>
              </w:rPr>
              <w:t xml:space="preserve"> </w:t>
            </w:r>
          </w:p>
        </w:tc>
        <w:tc>
          <w:tcPr>
            <w:tcW w:w="7619" w:type="dxa"/>
            <w:tcBorders>
              <w:top w:val="single" w:color="000000" w:sz="8" w:space="0"/>
              <w:left w:val="single" w:color="000000" w:sz="8" w:space="0"/>
              <w:bottom w:val="single" w:color="000000" w:sz="8" w:space="0"/>
              <w:right w:val="single" w:color="000000" w:sz="8" w:space="0"/>
            </w:tcBorders>
            <w:noWrap w:val="0"/>
            <w:vAlign w:val="bottom"/>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文本内容应相对完整，不可加密</w:t>
            </w: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b/>
          <w:bCs/>
          <w:color w:val="000000"/>
          <w:sz w:val="24"/>
        </w:rPr>
      </w:pPr>
      <w:r>
        <w:rPr>
          <w:rFonts w:hint="eastAsia" w:ascii="宋体" w:hAnsi="宋体" w:eastAsia="宋体" w:cs="宋体"/>
          <w:b/>
          <w:bCs/>
          <w:color w:val="000000"/>
          <w:sz w:val="24"/>
        </w:rPr>
        <w:t>（二）图形</w:t>
      </w:r>
      <w:r>
        <w:rPr>
          <w:rFonts w:ascii="宋体" w:hAnsi="宋体" w:eastAsia="宋体" w:cs="宋体"/>
          <w:b/>
          <w:bCs/>
          <w:color w:val="000000"/>
          <w:sz w:val="24"/>
        </w:rPr>
        <w:t>/</w:t>
      </w:r>
      <w:r>
        <w:rPr>
          <w:rFonts w:hint="eastAsia" w:ascii="宋体" w:hAnsi="宋体" w:eastAsia="宋体" w:cs="宋体"/>
          <w:b/>
          <w:bCs/>
          <w:color w:val="000000"/>
          <w:sz w:val="24"/>
        </w:rPr>
        <w:t>图像类素材</w:t>
      </w:r>
      <w:r>
        <w:rPr>
          <w:rFonts w:ascii="宋体" w:hAnsi="宋体" w:eastAsia="宋体" w:cs="宋体"/>
          <w:b/>
          <w:bCs/>
          <w:color w:val="000000"/>
          <w:sz w:val="24"/>
        </w:rPr>
        <w:t xml:space="preserve"> </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1</w:t>
      </w:r>
      <w:r>
        <w:rPr>
          <w:rFonts w:hint="eastAsia" w:ascii="宋体" w:hAnsi="宋体" w:eastAsia="宋体" w:cs="宋体"/>
          <w:color w:val="000000"/>
          <w:sz w:val="24"/>
        </w:rPr>
        <w:t>．文件格式</w:t>
      </w:r>
      <w:r>
        <w:rPr>
          <w:rFonts w:ascii="宋体" w:hAnsi="宋体" w:eastAsia="宋体" w:cs="宋体"/>
          <w:color w:val="000000"/>
          <w:sz w:val="24"/>
        </w:rPr>
        <w:t xml:space="preserve"> </w:t>
      </w:r>
    </w:p>
    <w:tbl>
      <w:tblPr>
        <w:tblStyle w:val="137"/>
        <w:tblW w:w="8932" w:type="dxa"/>
        <w:tblInd w:w="537" w:type="dxa"/>
        <w:tblLayout w:type="autofit"/>
        <w:tblCellMar>
          <w:top w:w="43" w:type="dxa"/>
          <w:left w:w="679" w:type="dxa"/>
          <w:bottom w:w="0" w:type="dxa"/>
          <w:right w:w="115" w:type="dxa"/>
        </w:tblCellMar>
      </w:tblPr>
      <w:tblGrid>
        <w:gridCol w:w="2410"/>
        <w:gridCol w:w="2268"/>
        <w:gridCol w:w="4254"/>
      </w:tblGrid>
      <w:tr>
        <w:tblPrEx>
          <w:tblCellMar>
            <w:top w:w="43" w:type="dxa"/>
            <w:left w:w="679" w:type="dxa"/>
            <w:bottom w:w="0" w:type="dxa"/>
            <w:right w:w="115" w:type="dxa"/>
          </w:tblCellMar>
        </w:tblPrEx>
        <w:trPr>
          <w:trHeight w:val="641" w:hRule="atLeast"/>
        </w:trPr>
        <w:tc>
          <w:tcPr>
            <w:tcW w:w="241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jc w:val="left"/>
              <w:outlineLvl w:val="9"/>
              <w:rPr>
                <w:rFonts w:ascii="宋体" w:hAnsi="宋体" w:eastAsia="宋体" w:cs="宋体"/>
                <w:color w:val="000000"/>
                <w:sz w:val="24"/>
              </w:rPr>
            </w:pPr>
            <w:r>
              <w:rPr>
                <w:rFonts w:hint="eastAsia" w:ascii="宋体" w:hAnsi="宋体" w:eastAsia="宋体" w:cs="宋体"/>
                <w:color w:val="000000"/>
                <w:sz w:val="24"/>
              </w:rPr>
              <w:t>媒体类型</w:t>
            </w:r>
            <w:r>
              <w:rPr>
                <w:rFonts w:ascii="宋体" w:hAnsi="宋体" w:eastAsia="宋体" w:cs="宋体"/>
                <w:color w:val="000000"/>
                <w:sz w:val="24"/>
              </w:rPr>
              <w:t xml:space="preserve"> </w:t>
            </w:r>
          </w:p>
        </w:tc>
        <w:tc>
          <w:tcPr>
            <w:tcW w:w="2268"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扩展名</w:t>
            </w:r>
            <w:r>
              <w:rPr>
                <w:rFonts w:ascii="宋体" w:hAnsi="宋体" w:eastAsia="宋体" w:cs="宋体"/>
                <w:color w:val="000000"/>
                <w:sz w:val="24"/>
              </w:rPr>
              <w:t xml:space="preserve"> </w:t>
            </w:r>
          </w:p>
        </w:tc>
        <w:tc>
          <w:tcPr>
            <w:tcW w:w="4254"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说</w:t>
            </w:r>
            <w:r>
              <w:rPr>
                <w:rFonts w:ascii="宋体" w:hAnsi="宋体" w:eastAsia="宋体" w:cs="宋体"/>
                <w:color w:val="000000"/>
                <w:sz w:val="24"/>
              </w:rPr>
              <w:t xml:space="preserve"> </w:t>
            </w:r>
            <w:r>
              <w:rPr>
                <w:rFonts w:hint="eastAsia" w:ascii="宋体" w:hAnsi="宋体" w:eastAsia="宋体" w:cs="宋体"/>
                <w:color w:val="000000"/>
                <w:sz w:val="24"/>
              </w:rPr>
              <w:t>明</w:t>
            </w:r>
            <w:r>
              <w:rPr>
                <w:rFonts w:ascii="宋体" w:hAnsi="宋体" w:eastAsia="宋体" w:cs="宋体"/>
                <w:color w:val="000000"/>
                <w:sz w:val="24"/>
              </w:rPr>
              <w:t xml:space="preserve"> </w:t>
            </w:r>
          </w:p>
        </w:tc>
      </w:tr>
      <w:tr>
        <w:tblPrEx>
          <w:tblCellMar>
            <w:top w:w="43" w:type="dxa"/>
            <w:left w:w="679" w:type="dxa"/>
            <w:bottom w:w="0" w:type="dxa"/>
            <w:right w:w="115" w:type="dxa"/>
          </w:tblCellMar>
        </w:tblPrEx>
        <w:trPr>
          <w:trHeight w:val="763" w:hRule="atLeast"/>
        </w:trPr>
        <w:tc>
          <w:tcPr>
            <w:tcW w:w="241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jc w:val="left"/>
              <w:outlineLvl w:val="9"/>
              <w:rPr>
                <w:rFonts w:ascii="宋体" w:hAnsi="宋体" w:eastAsia="宋体" w:cs="宋体"/>
                <w:color w:val="000000"/>
                <w:sz w:val="24"/>
              </w:rPr>
            </w:pPr>
            <w:r>
              <w:rPr>
                <w:rFonts w:hint="eastAsia" w:ascii="宋体" w:hAnsi="宋体" w:eastAsia="宋体" w:cs="宋体"/>
                <w:color w:val="000000"/>
                <w:sz w:val="24"/>
              </w:rPr>
              <w:t>图形</w:t>
            </w:r>
            <w:r>
              <w:rPr>
                <w:rFonts w:ascii="宋体" w:hAnsi="宋体" w:eastAsia="宋体" w:cs="宋体"/>
                <w:color w:val="000000"/>
                <w:sz w:val="24"/>
              </w:rPr>
              <w:t xml:space="preserve">/ </w:t>
            </w:r>
            <w:r>
              <w:rPr>
                <w:rFonts w:hint="eastAsia" w:ascii="宋体" w:hAnsi="宋体" w:eastAsia="宋体" w:cs="宋体"/>
                <w:color w:val="000000"/>
                <w:sz w:val="24"/>
              </w:rPr>
              <w:t>图像</w:t>
            </w:r>
            <w:r>
              <w:rPr>
                <w:rFonts w:ascii="宋体" w:hAnsi="宋体" w:eastAsia="宋体" w:cs="宋体"/>
                <w:color w:val="000000"/>
                <w:sz w:val="24"/>
              </w:rPr>
              <w:t xml:space="preserve"> </w:t>
            </w:r>
          </w:p>
        </w:tc>
        <w:tc>
          <w:tcPr>
            <w:tcW w:w="2268"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jc w:val="left"/>
              <w:outlineLvl w:val="9"/>
              <w:rPr>
                <w:rFonts w:ascii="宋体" w:hAnsi="宋体" w:eastAsia="宋体" w:cs="宋体"/>
                <w:color w:val="000000"/>
                <w:sz w:val="24"/>
              </w:rPr>
            </w:pPr>
            <w:r>
              <w:rPr>
                <w:rFonts w:ascii="宋体" w:hAnsi="宋体" w:eastAsia="宋体" w:cs="宋体"/>
                <w:color w:val="000000"/>
                <w:sz w:val="24"/>
              </w:rPr>
              <w:t xml:space="preserve">*.jpg； *.png </w:t>
            </w:r>
          </w:p>
        </w:tc>
        <w:tc>
          <w:tcPr>
            <w:tcW w:w="4254"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jc w:val="left"/>
              <w:outlineLvl w:val="9"/>
              <w:rPr>
                <w:rFonts w:ascii="宋体" w:hAnsi="宋体" w:eastAsia="宋体" w:cs="宋体"/>
                <w:color w:val="000000"/>
                <w:sz w:val="24"/>
              </w:rPr>
            </w:pPr>
            <w:r>
              <w:rPr>
                <w:rFonts w:hint="eastAsia" w:ascii="宋体" w:hAnsi="宋体" w:eastAsia="宋体" w:cs="宋体"/>
                <w:color w:val="000000"/>
                <w:sz w:val="24"/>
              </w:rPr>
              <w:t>图片压缩格式文件可移植网络图形格式</w:t>
            </w: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2</w:t>
      </w:r>
      <w:r>
        <w:rPr>
          <w:rFonts w:hint="eastAsia" w:ascii="宋体" w:hAnsi="宋体" w:eastAsia="宋体" w:cs="宋体"/>
          <w:color w:val="000000"/>
          <w:sz w:val="24"/>
        </w:rPr>
        <w:t>．技术要求</w:t>
      </w:r>
      <w:r>
        <w:rPr>
          <w:rFonts w:ascii="宋体" w:hAnsi="宋体" w:eastAsia="宋体" w:cs="宋体"/>
          <w:color w:val="000000"/>
          <w:sz w:val="24"/>
        </w:rPr>
        <w:t xml:space="preserve"> </w:t>
      </w:r>
    </w:p>
    <w:tbl>
      <w:tblPr>
        <w:tblStyle w:val="137"/>
        <w:tblW w:w="8330" w:type="dxa"/>
        <w:tblInd w:w="-10" w:type="dxa"/>
        <w:tblLayout w:type="autofit"/>
        <w:tblCellMar>
          <w:top w:w="43" w:type="dxa"/>
          <w:left w:w="98" w:type="dxa"/>
          <w:bottom w:w="0" w:type="dxa"/>
          <w:right w:w="0" w:type="dxa"/>
        </w:tblCellMar>
      </w:tblPr>
      <w:tblGrid>
        <w:gridCol w:w="1526"/>
        <w:gridCol w:w="6804"/>
      </w:tblGrid>
      <w:tr>
        <w:tblPrEx>
          <w:tblCellMar>
            <w:top w:w="43" w:type="dxa"/>
            <w:left w:w="98" w:type="dxa"/>
            <w:bottom w:w="0" w:type="dxa"/>
            <w:right w:w="0" w:type="dxa"/>
          </w:tblCellMar>
        </w:tblPrEx>
        <w:trPr>
          <w:trHeight w:val="341" w:hRule="atLeast"/>
        </w:trPr>
        <w:tc>
          <w:tcPr>
            <w:tcW w:w="8330" w:type="dxa"/>
            <w:gridSpan w:val="2"/>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center"/>
              <w:outlineLvl w:val="9"/>
              <w:rPr>
                <w:rFonts w:ascii="宋体" w:hAnsi="宋体" w:eastAsia="宋体" w:cs="宋体"/>
                <w:color w:val="000000"/>
                <w:sz w:val="24"/>
              </w:rPr>
            </w:pPr>
            <w:r>
              <w:rPr>
                <w:rFonts w:hint="eastAsia" w:ascii="宋体" w:hAnsi="宋体" w:eastAsia="宋体" w:cs="宋体"/>
                <w:color w:val="000000"/>
                <w:sz w:val="24"/>
              </w:rPr>
              <w:t>技术要求</w:t>
            </w:r>
          </w:p>
        </w:tc>
      </w:tr>
      <w:tr>
        <w:tblPrEx>
          <w:tblCellMar>
            <w:top w:w="43" w:type="dxa"/>
            <w:left w:w="98" w:type="dxa"/>
            <w:bottom w:w="0" w:type="dxa"/>
            <w:right w:w="0" w:type="dxa"/>
          </w:tblCellMar>
        </w:tblPrEx>
        <w:trPr>
          <w:trHeight w:val="694" w:hRule="atLeast"/>
        </w:trPr>
        <w:tc>
          <w:tcPr>
            <w:tcW w:w="1526" w:type="dxa"/>
            <w:vMerge w:val="restart"/>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色彩</w:t>
            </w:r>
            <w:r>
              <w:rPr>
                <w:rFonts w:ascii="宋体" w:hAnsi="宋体" w:eastAsia="宋体" w:cs="宋体"/>
                <w:color w:val="000000"/>
                <w:sz w:val="24"/>
              </w:rPr>
              <w:t xml:space="preserve"> </w:t>
            </w:r>
          </w:p>
        </w:tc>
        <w:tc>
          <w:tcPr>
            <w:tcW w:w="6804"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彩色图像颜色数不低于真彩（</w:t>
            </w:r>
            <w:r>
              <w:rPr>
                <w:rFonts w:ascii="宋体" w:hAnsi="宋体" w:eastAsia="宋体" w:cs="宋体"/>
                <w:color w:val="000000"/>
                <w:sz w:val="24"/>
              </w:rPr>
              <w:t xml:space="preserve">24 </w:t>
            </w:r>
            <w:r>
              <w:rPr>
                <w:rFonts w:hint="eastAsia" w:ascii="宋体" w:hAnsi="宋体" w:eastAsia="宋体" w:cs="宋体"/>
                <w:color w:val="000000"/>
                <w:sz w:val="24"/>
              </w:rPr>
              <w:t>位色），灰度图像的灰度级不低于</w:t>
            </w:r>
            <w:r>
              <w:rPr>
                <w:rFonts w:ascii="宋体" w:hAnsi="宋体" w:eastAsia="宋体" w:cs="宋体"/>
                <w:color w:val="000000"/>
                <w:sz w:val="24"/>
              </w:rPr>
              <w:t xml:space="preserve">256 </w:t>
            </w:r>
            <w:r>
              <w:rPr>
                <w:rFonts w:hint="eastAsia" w:ascii="宋体" w:hAnsi="宋体" w:eastAsia="宋体" w:cs="宋体"/>
                <w:color w:val="000000"/>
                <w:sz w:val="24"/>
              </w:rPr>
              <w:t>级</w:t>
            </w:r>
            <w:r>
              <w:rPr>
                <w:rFonts w:ascii="宋体" w:hAnsi="宋体" w:eastAsia="宋体" w:cs="宋体"/>
                <w:color w:val="000000"/>
                <w:sz w:val="24"/>
              </w:rPr>
              <w:t xml:space="preserve"> </w:t>
            </w:r>
          </w:p>
        </w:tc>
      </w:tr>
      <w:tr>
        <w:tblPrEx>
          <w:tblCellMar>
            <w:top w:w="43" w:type="dxa"/>
            <w:left w:w="98" w:type="dxa"/>
            <w:bottom w:w="0" w:type="dxa"/>
            <w:right w:w="0" w:type="dxa"/>
          </w:tblCellMar>
        </w:tblPrEx>
        <w:trPr>
          <w:trHeight w:val="331" w:hRule="atLeast"/>
        </w:trPr>
        <w:tc>
          <w:tcPr>
            <w:tcW w:w="1526" w:type="dxa"/>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6804"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图形可以为单色</w:t>
            </w:r>
            <w:r>
              <w:rPr>
                <w:rFonts w:ascii="宋体" w:hAnsi="宋体" w:eastAsia="宋体" w:cs="宋体"/>
                <w:color w:val="000000"/>
                <w:sz w:val="24"/>
              </w:rPr>
              <w:t xml:space="preserve"> </w:t>
            </w:r>
          </w:p>
        </w:tc>
      </w:tr>
      <w:tr>
        <w:tblPrEx>
          <w:tblCellMar>
            <w:top w:w="43" w:type="dxa"/>
            <w:left w:w="98" w:type="dxa"/>
            <w:bottom w:w="0" w:type="dxa"/>
            <w:right w:w="0" w:type="dxa"/>
          </w:tblCellMar>
        </w:tblPrEx>
        <w:trPr>
          <w:trHeight w:val="1006" w:hRule="atLeast"/>
        </w:trPr>
        <w:tc>
          <w:tcPr>
            <w:tcW w:w="152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jc w:val="left"/>
              <w:outlineLvl w:val="9"/>
              <w:rPr>
                <w:rFonts w:ascii="宋体" w:hAnsi="宋体" w:eastAsia="宋体" w:cs="宋体"/>
                <w:color w:val="000000"/>
                <w:sz w:val="24"/>
              </w:rPr>
            </w:pPr>
            <w:r>
              <w:rPr>
                <w:rFonts w:hint="eastAsia" w:ascii="宋体" w:hAnsi="宋体" w:eastAsia="宋体" w:cs="宋体"/>
                <w:color w:val="000000"/>
                <w:sz w:val="24"/>
              </w:rPr>
              <w:t>　分辨率</w:t>
            </w:r>
            <w:r>
              <w:rPr>
                <w:rFonts w:ascii="宋体" w:hAnsi="宋体" w:eastAsia="宋体" w:cs="宋体"/>
                <w:color w:val="000000"/>
                <w:sz w:val="24"/>
              </w:rPr>
              <w:t xml:space="preserve"> </w:t>
            </w:r>
          </w:p>
        </w:tc>
        <w:tc>
          <w:tcPr>
            <w:tcW w:w="6804"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屏幕分辨率不低于</w:t>
            </w:r>
            <w:r>
              <w:rPr>
                <w:rFonts w:ascii="宋体" w:hAnsi="宋体" w:eastAsia="宋体" w:cs="宋体"/>
                <w:color w:val="000000"/>
                <w:sz w:val="24"/>
              </w:rPr>
              <w:t xml:space="preserve"> 1024×768</w:t>
            </w:r>
            <w:r>
              <w:rPr>
                <w:rFonts w:hint="eastAsia" w:ascii="宋体" w:hAnsi="宋体" w:eastAsia="宋体" w:cs="宋体"/>
                <w:color w:val="000000"/>
                <w:sz w:val="24"/>
              </w:rPr>
              <w:t>，扫描图像的扫描分辨率不低于</w:t>
            </w:r>
            <w:r>
              <w:rPr>
                <w:rFonts w:ascii="宋体" w:hAnsi="宋体" w:eastAsia="宋体" w:cs="宋体"/>
                <w:color w:val="000000"/>
                <w:sz w:val="24"/>
              </w:rPr>
              <w:t xml:space="preserve"> 72dpi</w:t>
            </w:r>
            <w:r>
              <w:rPr>
                <w:rFonts w:hint="eastAsia" w:ascii="宋体" w:hAnsi="宋体" w:eastAsia="宋体" w:cs="宋体"/>
                <w:color w:val="000000"/>
                <w:sz w:val="24"/>
              </w:rPr>
              <w:t>，彩色扫描图像的扫描分辨率不低于</w:t>
            </w:r>
            <w:r>
              <w:rPr>
                <w:rFonts w:ascii="宋体" w:hAnsi="宋体" w:eastAsia="宋体" w:cs="宋体"/>
                <w:color w:val="000000"/>
                <w:sz w:val="24"/>
              </w:rPr>
              <w:t xml:space="preserve">150dpi </w:t>
            </w:r>
          </w:p>
        </w:tc>
      </w:tr>
      <w:tr>
        <w:tblPrEx>
          <w:tblCellMar>
            <w:top w:w="43" w:type="dxa"/>
            <w:left w:w="98" w:type="dxa"/>
            <w:bottom w:w="0" w:type="dxa"/>
            <w:right w:w="0" w:type="dxa"/>
          </w:tblCellMar>
        </w:tblPrEx>
        <w:trPr>
          <w:trHeight w:val="835" w:hRule="atLeast"/>
        </w:trPr>
        <w:tc>
          <w:tcPr>
            <w:tcW w:w="1526" w:type="dxa"/>
            <w:vMerge w:val="restart"/>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清晰度</w:t>
            </w:r>
            <w:r>
              <w:rPr>
                <w:rFonts w:ascii="宋体" w:hAnsi="宋体" w:eastAsia="宋体" w:cs="宋体"/>
                <w:color w:val="000000"/>
                <w:sz w:val="24"/>
              </w:rPr>
              <w:t xml:space="preserve"> </w:t>
            </w:r>
          </w:p>
        </w:tc>
        <w:tc>
          <w:tcPr>
            <w:tcW w:w="6804"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图像内容清晰可辨识，不需要借助额外的设备即可辨认图片资源所需要表达的主体内容</w:t>
            </w:r>
            <w:r>
              <w:rPr>
                <w:rFonts w:ascii="宋体" w:hAnsi="宋体" w:eastAsia="宋体" w:cs="宋体"/>
                <w:color w:val="000000"/>
                <w:sz w:val="24"/>
              </w:rPr>
              <w:t xml:space="preserve"> </w:t>
            </w:r>
          </w:p>
        </w:tc>
      </w:tr>
      <w:tr>
        <w:tblPrEx>
          <w:tblCellMar>
            <w:top w:w="43" w:type="dxa"/>
            <w:left w:w="98" w:type="dxa"/>
            <w:bottom w:w="0" w:type="dxa"/>
            <w:right w:w="0" w:type="dxa"/>
          </w:tblCellMar>
        </w:tblPrEx>
        <w:trPr>
          <w:trHeight w:val="953" w:hRule="atLeast"/>
        </w:trPr>
        <w:tc>
          <w:tcPr>
            <w:tcW w:w="1526" w:type="dxa"/>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6804"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所有图像扫描后，需要使用</w:t>
            </w:r>
            <w:r>
              <w:rPr>
                <w:rFonts w:ascii="宋体" w:hAnsi="宋体" w:eastAsia="宋体" w:cs="宋体"/>
                <w:color w:val="000000"/>
                <w:sz w:val="24"/>
              </w:rPr>
              <w:t xml:space="preserve"> Photoshop</w:t>
            </w:r>
            <w:r>
              <w:rPr>
                <w:rFonts w:hint="eastAsia" w:ascii="宋体" w:hAnsi="宋体" w:eastAsia="宋体" w:cs="宋体"/>
                <w:color w:val="000000"/>
                <w:sz w:val="24"/>
              </w:rPr>
              <w:t>或其他图像处理软件进行裁剪、校色、去污、纠偏等处理，使页面整洁、</w:t>
            </w:r>
            <w:r>
              <w:rPr>
                <w:rFonts w:ascii="宋体" w:hAnsi="宋体" w:eastAsia="宋体" w:cs="宋体"/>
                <w:color w:val="000000"/>
                <w:sz w:val="24"/>
              </w:rPr>
              <w:t xml:space="preserve">   </w:t>
            </w:r>
            <w:r>
              <w:rPr>
                <w:rFonts w:hint="eastAsia" w:ascii="宋体" w:hAnsi="宋体" w:eastAsia="宋体" w:cs="宋体"/>
                <w:color w:val="000000"/>
                <w:sz w:val="24"/>
              </w:rPr>
              <w:t>清晰</w:t>
            </w:r>
            <w:r>
              <w:rPr>
                <w:rFonts w:ascii="宋体" w:hAnsi="宋体" w:eastAsia="宋体" w:cs="宋体"/>
                <w:color w:val="000000"/>
                <w:sz w:val="24"/>
              </w:rPr>
              <w:t xml:space="preserve"> </w:t>
            </w:r>
          </w:p>
        </w:tc>
      </w:tr>
      <w:tr>
        <w:tblPrEx>
          <w:tblCellMar>
            <w:top w:w="43" w:type="dxa"/>
            <w:left w:w="98" w:type="dxa"/>
            <w:bottom w:w="0" w:type="dxa"/>
            <w:right w:w="0" w:type="dxa"/>
          </w:tblCellMar>
        </w:tblPrEx>
        <w:trPr>
          <w:trHeight w:val="768" w:hRule="atLeast"/>
        </w:trPr>
        <w:tc>
          <w:tcPr>
            <w:tcW w:w="1526"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内容</w:t>
            </w:r>
            <w:r>
              <w:rPr>
                <w:rFonts w:ascii="宋体" w:hAnsi="宋体" w:eastAsia="宋体" w:cs="宋体"/>
                <w:color w:val="000000"/>
                <w:sz w:val="24"/>
              </w:rPr>
              <w:t xml:space="preserve"> </w:t>
            </w:r>
          </w:p>
        </w:tc>
        <w:tc>
          <w:tcPr>
            <w:tcW w:w="6804"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图形</w:t>
            </w:r>
            <w:r>
              <w:rPr>
                <w:rFonts w:ascii="宋体" w:hAnsi="宋体" w:eastAsia="宋体" w:cs="宋体"/>
                <w:color w:val="000000"/>
                <w:sz w:val="24"/>
              </w:rPr>
              <w:t>/</w:t>
            </w:r>
            <w:r>
              <w:rPr>
                <w:rFonts w:hint="eastAsia" w:ascii="宋体" w:hAnsi="宋体" w:eastAsia="宋体" w:cs="宋体"/>
                <w:color w:val="000000"/>
                <w:sz w:val="24"/>
              </w:rPr>
              <w:t>图像内容符合我国法律法规，尊重各民族的风俗习惯，版权不存在争议</w:t>
            </w: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3</w:t>
      </w:r>
      <w:r>
        <w:rPr>
          <w:rFonts w:hint="eastAsia" w:ascii="宋体" w:hAnsi="宋体" w:eastAsia="宋体" w:cs="宋体"/>
          <w:color w:val="000000"/>
          <w:sz w:val="24"/>
        </w:rPr>
        <w:t>．提交要求</w:t>
      </w:r>
      <w:r>
        <w:rPr>
          <w:rFonts w:ascii="宋体" w:hAnsi="宋体" w:eastAsia="宋体" w:cs="宋体"/>
          <w:color w:val="000000"/>
          <w:sz w:val="24"/>
        </w:rPr>
        <w:t xml:space="preserve"> </w:t>
      </w:r>
    </w:p>
    <w:tbl>
      <w:tblPr>
        <w:tblStyle w:val="137"/>
        <w:tblW w:w="8242" w:type="dxa"/>
        <w:tblInd w:w="-10" w:type="dxa"/>
        <w:tblLayout w:type="autofit"/>
        <w:tblCellMar>
          <w:top w:w="43" w:type="dxa"/>
          <w:left w:w="0" w:type="dxa"/>
          <w:bottom w:w="57" w:type="dxa"/>
          <w:right w:w="0" w:type="dxa"/>
        </w:tblCellMar>
      </w:tblPr>
      <w:tblGrid>
        <w:gridCol w:w="1766"/>
        <w:gridCol w:w="867"/>
        <w:gridCol w:w="3915"/>
        <w:gridCol w:w="20"/>
        <w:gridCol w:w="1674"/>
      </w:tblGrid>
      <w:tr>
        <w:tblPrEx>
          <w:tblCellMar>
            <w:top w:w="43" w:type="dxa"/>
            <w:left w:w="0" w:type="dxa"/>
            <w:bottom w:w="57" w:type="dxa"/>
            <w:right w:w="0" w:type="dxa"/>
          </w:tblCellMar>
        </w:tblPrEx>
        <w:trPr>
          <w:trHeight w:val="554" w:hRule="atLeast"/>
        </w:trPr>
        <w:tc>
          <w:tcPr>
            <w:tcW w:w="1766"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媒体类型</w:t>
            </w:r>
            <w:r>
              <w:rPr>
                <w:rFonts w:ascii="宋体" w:hAnsi="宋体" w:eastAsia="宋体" w:cs="宋体"/>
                <w:color w:val="000000"/>
                <w:sz w:val="24"/>
              </w:rPr>
              <w:t xml:space="preserve"> </w:t>
            </w:r>
          </w:p>
        </w:tc>
        <w:tc>
          <w:tcPr>
            <w:tcW w:w="4782" w:type="dxa"/>
            <w:gridSpan w:val="2"/>
            <w:tcBorders>
              <w:top w:val="single" w:color="000000" w:sz="8" w:space="0"/>
              <w:left w:val="single" w:color="000000" w:sz="8" w:space="0"/>
              <w:bottom w:val="single" w:color="000000" w:sz="8" w:space="0"/>
              <w:right w:val="nil"/>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提交要求</w:t>
            </w:r>
            <w:r>
              <w:rPr>
                <w:rFonts w:ascii="宋体" w:hAnsi="宋体" w:eastAsia="宋体" w:cs="宋体"/>
                <w:color w:val="000000"/>
                <w:sz w:val="24"/>
              </w:rPr>
              <w:t xml:space="preserve"> </w:t>
            </w:r>
          </w:p>
        </w:tc>
        <w:tc>
          <w:tcPr>
            <w:tcW w:w="1694" w:type="dxa"/>
            <w:gridSpan w:val="2"/>
            <w:tcBorders>
              <w:top w:val="single" w:color="000000" w:sz="8" w:space="0"/>
              <w:left w:val="nil"/>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r>
      <w:tr>
        <w:tblPrEx>
          <w:tblCellMar>
            <w:top w:w="43" w:type="dxa"/>
            <w:left w:w="0" w:type="dxa"/>
            <w:bottom w:w="57" w:type="dxa"/>
            <w:right w:w="0" w:type="dxa"/>
          </w:tblCellMar>
        </w:tblPrEx>
        <w:trPr>
          <w:trHeight w:val="564" w:hRule="atLeast"/>
        </w:trPr>
        <w:tc>
          <w:tcPr>
            <w:tcW w:w="1766"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图形</w:t>
            </w:r>
            <w:r>
              <w:rPr>
                <w:rFonts w:ascii="宋体" w:hAnsi="宋体" w:eastAsia="宋体" w:cs="宋体"/>
                <w:color w:val="000000"/>
                <w:sz w:val="24"/>
              </w:rPr>
              <w:t>/</w:t>
            </w:r>
            <w:r>
              <w:rPr>
                <w:rFonts w:hint="eastAsia" w:ascii="宋体" w:hAnsi="宋体" w:eastAsia="宋体" w:cs="宋体"/>
                <w:color w:val="000000"/>
                <w:sz w:val="24"/>
              </w:rPr>
              <w:t>图像</w:t>
            </w:r>
            <w:r>
              <w:rPr>
                <w:rFonts w:ascii="宋体" w:hAnsi="宋体" w:eastAsia="宋体" w:cs="宋体"/>
                <w:color w:val="000000"/>
                <w:sz w:val="24"/>
              </w:rPr>
              <w:t xml:space="preserve"> </w:t>
            </w:r>
          </w:p>
        </w:tc>
        <w:tc>
          <w:tcPr>
            <w:tcW w:w="4782" w:type="dxa"/>
            <w:gridSpan w:val="2"/>
            <w:tcBorders>
              <w:top w:val="single" w:color="000000" w:sz="8" w:space="0"/>
              <w:left w:val="single" w:color="000000" w:sz="8" w:space="0"/>
              <w:bottom w:val="single" w:color="000000" w:sz="8" w:space="0"/>
              <w:right w:val="nil"/>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图形</w:t>
            </w:r>
            <w:r>
              <w:rPr>
                <w:rFonts w:ascii="宋体" w:hAnsi="宋体" w:eastAsia="宋体" w:cs="宋体"/>
                <w:color w:val="000000"/>
                <w:sz w:val="24"/>
              </w:rPr>
              <w:t>/</w:t>
            </w:r>
            <w:r>
              <w:rPr>
                <w:rFonts w:hint="eastAsia" w:ascii="宋体" w:hAnsi="宋体" w:eastAsia="宋体" w:cs="宋体"/>
                <w:color w:val="000000"/>
                <w:sz w:val="24"/>
              </w:rPr>
              <w:t>图像需提交原始文件</w:t>
            </w:r>
            <w:r>
              <w:rPr>
                <w:rFonts w:ascii="宋体" w:hAnsi="宋体" w:eastAsia="宋体" w:cs="宋体"/>
                <w:color w:val="000000"/>
                <w:sz w:val="24"/>
              </w:rPr>
              <w:t xml:space="preserve"> </w:t>
            </w:r>
          </w:p>
        </w:tc>
        <w:tc>
          <w:tcPr>
            <w:tcW w:w="1694" w:type="dxa"/>
            <w:gridSpan w:val="2"/>
            <w:tcBorders>
              <w:top w:val="single" w:color="000000" w:sz="8" w:space="0"/>
              <w:left w:val="nil"/>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r>
      <w:tr>
        <w:tblPrEx>
          <w:tblCellMar>
            <w:top w:w="43" w:type="dxa"/>
            <w:left w:w="0" w:type="dxa"/>
            <w:bottom w:w="57" w:type="dxa"/>
            <w:right w:w="0" w:type="dxa"/>
          </w:tblCellMar>
        </w:tblPrEx>
        <w:trPr>
          <w:gridAfter w:val="1"/>
          <w:wAfter w:w="1674" w:type="dxa"/>
          <w:trHeight w:val="1181" w:hRule="atLeast"/>
        </w:trPr>
        <w:tc>
          <w:tcPr>
            <w:tcW w:w="2633" w:type="dxa"/>
            <w:gridSpan w:val="2"/>
            <w:tcBorders>
              <w:top w:val="single" w:color="000000" w:sz="8" w:space="0"/>
              <w:left w:val="nil"/>
              <w:bottom w:val="single" w:color="000000" w:sz="8" w:space="0"/>
              <w:right w:val="nil"/>
            </w:tcBorders>
            <w:noWrap w:val="0"/>
            <w:vAlign w:val="bottom"/>
          </w:tcPr>
          <w:p>
            <w:pPr>
              <w:pageBreakBefore w:val="0"/>
              <w:widowControl/>
              <w:topLinePunct w:val="0"/>
              <w:bidi w:val="0"/>
              <w:spacing w:after="4" w:line="334" w:lineRule="auto"/>
              <w:ind w:left="-15" w:firstLine="465"/>
              <w:jc w:val="left"/>
              <w:outlineLvl w:val="9"/>
              <w:rPr>
                <w:rFonts w:ascii="宋体" w:hAnsi="宋体" w:eastAsia="宋体" w:cs="宋体"/>
                <w:b/>
                <w:bCs/>
                <w:color w:val="000000"/>
                <w:sz w:val="24"/>
              </w:rPr>
            </w:pPr>
            <w:r>
              <w:rPr>
                <w:rFonts w:hint="eastAsia" w:ascii="宋体" w:hAnsi="宋体" w:eastAsia="宋体" w:cs="宋体"/>
                <w:b/>
                <w:bCs/>
                <w:color w:val="000000"/>
                <w:sz w:val="24"/>
              </w:rPr>
              <w:t>（三）音频类素材</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1</w:t>
            </w:r>
            <w:r>
              <w:rPr>
                <w:rFonts w:hint="eastAsia" w:ascii="宋体" w:hAnsi="宋体" w:eastAsia="宋体" w:cs="宋体"/>
                <w:color w:val="000000"/>
                <w:sz w:val="24"/>
              </w:rPr>
              <w:t>．文件格式</w:t>
            </w:r>
            <w:r>
              <w:rPr>
                <w:rFonts w:ascii="宋体" w:hAnsi="宋体" w:eastAsia="宋体" w:cs="宋体"/>
                <w:color w:val="000000"/>
                <w:sz w:val="24"/>
              </w:rPr>
              <w:t xml:space="preserve"> </w:t>
            </w:r>
          </w:p>
        </w:tc>
        <w:tc>
          <w:tcPr>
            <w:tcW w:w="3915" w:type="dxa"/>
            <w:tcBorders>
              <w:top w:val="single" w:color="000000" w:sz="8" w:space="0"/>
              <w:left w:val="nil"/>
              <w:bottom w:val="single" w:color="000000" w:sz="8" w:space="0"/>
              <w:right w:val="nil"/>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 </w:t>
            </w:r>
          </w:p>
        </w:tc>
        <w:tc>
          <w:tcPr>
            <w:tcW w:w="20" w:type="dxa"/>
            <w:tcBorders>
              <w:top w:val="single" w:color="000000" w:sz="8" w:space="0"/>
              <w:left w:val="nil"/>
              <w:bottom w:val="single" w:color="000000" w:sz="8" w:space="0"/>
              <w:right w:val="nil"/>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r>
      <w:tr>
        <w:tblPrEx>
          <w:tblCellMar>
            <w:top w:w="43" w:type="dxa"/>
            <w:left w:w="0" w:type="dxa"/>
            <w:bottom w:w="57" w:type="dxa"/>
            <w:right w:w="0" w:type="dxa"/>
          </w:tblCellMar>
        </w:tblPrEx>
        <w:trPr>
          <w:gridAfter w:val="1"/>
          <w:wAfter w:w="1674" w:type="dxa"/>
          <w:trHeight w:val="341" w:hRule="atLeast"/>
        </w:trPr>
        <w:tc>
          <w:tcPr>
            <w:tcW w:w="2633" w:type="dxa"/>
            <w:gridSpan w:val="2"/>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媒体类型</w:t>
            </w:r>
            <w:r>
              <w:rPr>
                <w:rFonts w:ascii="宋体" w:hAnsi="宋体" w:eastAsia="宋体" w:cs="宋体"/>
                <w:color w:val="000000"/>
                <w:sz w:val="24"/>
              </w:rPr>
              <w:t xml:space="preserve"> </w:t>
            </w:r>
          </w:p>
        </w:tc>
        <w:tc>
          <w:tcPr>
            <w:tcW w:w="3915"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扩展名</w:t>
            </w:r>
            <w:r>
              <w:rPr>
                <w:rFonts w:ascii="宋体" w:hAnsi="宋体" w:eastAsia="宋体" w:cs="宋体"/>
                <w:color w:val="000000"/>
                <w:sz w:val="24"/>
              </w:rPr>
              <w:t xml:space="preserve"> </w:t>
            </w:r>
          </w:p>
        </w:tc>
        <w:tc>
          <w:tcPr>
            <w:tcW w:w="20" w:type="dxa"/>
            <w:tcBorders>
              <w:top w:val="single" w:color="000000" w:sz="8" w:space="0"/>
              <w:left w:val="single" w:color="000000" w:sz="8" w:space="0"/>
              <w:bottom w:val="single" w:color="000000" w:sz="8" w:space="0"/>
              <w:right w:val="nil"/>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r>
      <w:tr>
        <w:tblPrEx>
          <w:tblCellMar>
            <w:top w:w="43" w:type="dxa"/>
            <w:left w:w="0" w:type="dxa"/>
            <w:bottom w:w="57" w:type="dxa"/>
            <w:right w:w="0" w:type="dxa"/>
          </w:tblCellMar>
        </w:tblPrEx>
        <w:trPr>
          <w:gridAfter w:val="2"/>
          <w:wAfter w:w="1694" w:type="dxa"/>
          <w:trHeight w:val="343" w:hRule="atLeast"/>
        </w:trPr>
        <w:tc>
          <w:tcPr>
            <w:tcW w:w="1766" w:type="dxa"/>
            <w:tcBorders>
              <w:top w:val="single" w:color="000000" w:sz="8" w:space="0"/>
              <w:left w:val="single" w:color="000000" w:sz="8" w:space="0"/>
              <w:bottom w:val="single" w:color="000000" w:sz="8" w:space="0"/>
              <w:right w:val="nil"/>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音频</w:t>
            </w:r>
            <w:r>
              <w:rPr>
                <w:rFonts w:ascii="宋体" w:hAnsi="宋体" w:eastAsia="宋体" w:cs="宋体"/>
                <w:color w:val="000000"/>
                <w:sz w:val="24"/>
              </w:rPr>
              <w:t xml:space="preserve"> </w:t>
            </w:r>
          </w:p>
        </w:tc>
        <w:tc>
          <w:tcPr>
            <w:tcW w:w="867" w:type="dxa"/>
            <w:tcBorders>
              <w:top w:val="single" w:color="000000" w:sz="8" w:space="0"/>
              <w:left w:val="nil"/>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3915"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*.mp3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2</w:t>
      </w:r>
      <w:r>
        <w:rPr>
          <w:rFonts w:hint="eastAsia" w:ascii="宋体" w:hAnsi="宋体" w:eastAsia="宋体" w:cs="宋体"/>
          <w:color w:val="000000"/>
          <w:sz w:val="24"/>
        </w:rPr>
        <w:t>．技术要求</w:t>
      </w:r>
      <w:r>
        <w:rPr>
          <w:rFonts w:ascii="宋体" w:hAnsi="宋体" w:eastAsia="宋体" w:cs="宋体"/>
          <w:color w:val="000000"/>
          <w:sz w:val="24"/>
        </w:rPr>
        <w:t xml:space="preserve"> </w:t>
      </w:r>
    </w:p>
    <w:tbl>
      <w:tblPr>
        <w:tblStyle w:val="137"/>
        <w:tblW w:w="8280" w:type="dxa"/>
        <w:tblInd w:w="-10" w:type="dxa"/>
        <w:tblLayout w:type="autofit"/>
        <w:tblCellMar>
          <w:top w:w="43" w:type="dxa"/>
          <w:left w:w="48" w:type="dxa"/>
          <w:bottom w:w="0" w:type="dxa"/>
          <w:right w:w="65" w:type="dxa"/>
        </w:tblCellMar>
      </w:tblPr>
      <w:tblGrid>
        <w:gridCol w:w="1334"/>
        <w:gridCol w:w="6946"/>
      </w:tblGrid>
      <w:tr>
        <w:tblPrEx>
          <w:tblCellMar>
            <w:top w:w="43" w:type="dxa"/>
            <w:left w:w="48" w:type="dxa"/>
            <w:bottom w:w="0" w:type="dxa"/>
            <w:right w:w="65" w:type="dxa"/>
          </w:tblCellMar>
        </w:tblPrEx>
        <w:trPr>
          <w:trHeight w:val="377" w:hRule="atLeast"/>
        </w:trPr>
        <w:tc>
          <w:tcPr>
            <w:tcW w:w="8280" w:type="dxa"/>
            <w:gridSpan w:val="2"/>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技术要求</w:t>
            </w:r>
            <w:r>
              <w:rPr>
                <w:rFonts w:ascii="宋体" w:hAnsi="宋体" w:eastAsia="宋体" w:cs="宋体"/>
                <w:color w:val="000000"/>
                <w:sz w:val="24"/>
              </w:rPr>
              <w:t xml:space="preserve"> </w:t>
            </w:r>
          </w:p>
        </w:tc>
      </w:tr>
      <w:tr>
        <w:tblPrEx>
          <w:tblCellMar>
            <w:top w:w="43" w:type="dxa"/>
            <w:left w:w="48" w:type="dxa"/>
            <w:bottom w:w="0" w:type="dxa"/>
            <w:right w:w="65" w:type="dxa"/>
          </w:tblCellMar>
        </w:tblPrEx>
        <w:trPr>
          <w:trHeight w:val="643" w:hRule="atLeast"/>
        </w:trPr>
        <w:tc>
          <w:tcPr>
            <w:tcW w:w="1334" w:type="dxa"/>
            <w:vMerge w:val="restart"/>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品质</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要求</w:t>
            </w:r>
            <w:r>
              <w:rPr>
                <w:rFonts w:ascii="宋体" w:hAnsi="宋体" w:eastAsia="宋体" w:cs="宋体"/>
                <w:color w:val="000000"/>
                <w:sz w:val="24"/>
              </w:rPr>
              <w:t xml:space="preserve"> </w:t>
            </w:r>
          </w:p>
        </w:tc>
        <w:tc>
          <w:tcPr>
            <w:tcW w:w="694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音乐类音频的采样频率不低于</w:t>
            </w:r>
            <w:r>
              <w:rPr>
                <w:rFonts w:ascii="宋体" w:hAnsi="宋体" w:eastAsia="宋体" w:cs="宋体"/>
                <w:color w:val="000000"/>
                <w:sz w:val="24"/>
              </w:rPr>
              <w:t xml:space="preserve"> 44.1kHz</w:t>
            </w:r>
            <w:r>
              <w:rPr>
                <w:rFonts w:hint="eastAsia" w:ascii="宋体" w:hAnsi="宋体" w:eastAsia="宋体" w:cs="宋体"/>
                <w:color w:val="000000"/>
                <w:sz w:val="24"/>
              </w:rPr>
              <w:t>，语音类音频的采样频率不低于</w:t>
            </w:r>
            <w:r>
              <w:rPr>
                <w:rFonts w:ascii="宋体" w:hAnsi="宋体" w:eastAsia="宋体" w:cs="宋体"/>
                <w:color w:val="000000"/>
                <w:sz w:val="24"/>
              </w:rPr>
              <w:t xml:space="preserve"> 22.05 kHz </w:t>
            </w:r>
          </w:p>
        </w:tc>
      </w:tr>
      <w:tr>
        <w:tblPrEx>
          <w:tblCellMar>
            <w:top w:w="43" w:type="dxa"/>
            <w:left w:w="48" w:type="dxa"/>
            <w:bottom w:w="0" w:type="dxa"/>
            <w:right w:w="65" w:type="dxa"/>
          </w:tblCellMar>
        </w:tblPrEx>
        <w:trPr>
          <w:trHeight w:val="494" w:hRule="atLeast"/>
        </w:trPr>
        <w:tc>
          <w:tcPr>
            <w:tcW w:w="1334" w:type="dxa"/>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694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量化位数大于</w:t>
            </w:r>
            <w:r>
              <w:rPr>
                <w:rFonts w:ascii="宋体" w:hAnsi="宋体" w:eastAsia="宋体" w:cs="宋体"/>
                <w:color w:val="000000"/>
                <w:sz w:val="24"/>
              </w:rPr>
              <w:t xml:space="preserve"> 8 </w:t>
            </w:r>
            <w:r>
              <w:rPr>
                <w:rFonts w:hint="eastAsia" w:ascii="宋体" w:hAnsi="宋体" w:eastAsia="宋体" w:cs="宋体"/>
                <w:color w:val="000000"/>
                <w:sz w:val="24"/>
              </w:rPr>
              <w:t>位。码率不低于</w:t>
            </w:r>
            <w:r>
              <w:rPr>
                <w:rFonts w:ascii="宋体" w:hAnsi="宋体" w:eastAsia="宋体" w:cs="宋体"/>
                <w:color w:val="000000"/>
                <w:sz w:val="24"/>
              </w:rPr>
              <w:t xml:space="preserve"> 128Kbps </w:t>
            </w:r>
          </w:p>
        </w:tc>
      </w:tr>
      <w:tr>
        <w:tblPrEx>
          <w:tblCellMar>
            <w:top w:w="43" w:type="dxa"/>
            <w:left w:w="48" w:type="dxa"/>
            <w:bottom w:w="0" w:type="dxa"/>
            <w:right w:w="65" w:type="dxa"/>
          </w:tblCellMar>
        </w:tblPrEx>
        <w:trPr>
          <w:trHeight w:val="440" w:hRule="atLeast"/>
        </w:trPr>
        <w:tc>
          <w:tcPr>
            <w:tcW w:w="1334" w:type="dxa"/>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694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声道数为双声道</w:t>
            </w:r>
            <w:r>
              <w:rPr>
                <w:rFonts w:ascii="宋体" w:hAnsi="宋体" w:eastAsia="宋体" w:cs="宋体"/>
                <w:color w:val="000000"/>
                <w:sz w:val="24"/>
              </w:rPr>
              <w:t xml:space="preserve"> </w:t>
            </w:r>
          </w:p>
        </w:tc>
      </w:tr>
      <w:tr>
        <w:tblPrEx>
          <w:tblCellMar>
            <w:top w:w="43" w:type="dxa"/>
            <w:left w:w="48" w:type="dxa"/>
            <w:bottom w:w="0" w:type="dxa"/>
            <w:right w:w="65" w:type="dxa"/>
          </w:tblCellMar>
        </w:tblPrEx>
        <w:trPr>
          <w:trHeight w:val="763" w:hRule="atLeast"/>
        </w:trPr>
        <w:tc>
          <w:tcPr>
            <w:tcW w:w="1334"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配音</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要求</w:t>
            </w:r>
            <w:r>
              <w:rPr>
                <w:rFonts w:ascii="宋体" w:hAnsi="宋体" w:eastAsia="宋体" w:cs="宋体"/>
                <w:color w:val="000000"/>
                <w:sz w:val="24"/>
              </w:rPr>
              <w:t xml:space="preserve"> </w:t>
            </w:r>
          </w:p>
        </w:tc>
        <w:tc>
          <w:tcPr>
            <w:tcW w:w="694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语音采用标准的普通话、美式或英式英语配音，特殊语言学习和材料除外。使用适合教学的语调</w:t>
            </w:r>
            <w:r>
              <w:rPr>
                <w:rFonts w:ascii="宋体" w:hAnsi="宋体" w:eastAsia="宋体" w:cs="宋体"/>
                <w:color w:val="000000"/>
                <w:sz w:val="24"/>
              </w:rPr>
              <w:t xml:space="preserve"> </w:t>
            </w:r>
          </w:p>
        </w:tc>
      </w:tr>
      <w:tr>
        <w:tblPrEx>
          <w:tblCellMar>
            <w:top w:w="43" w:type="dxa"/>
            <w:left w:w="48" w:type="dxa"/>
            <w:bottom w:w="0" w:type="dxa"/>
            <w:right w:w="65" w:type="dxa"/>
          </w:tblCellMar>
        </w:tblPrEx>
        <w:trPr>
          <w:trHeight w:val="485" w:hRule="atLeast"/>
        </w:trPr>
        <w:tc>
          <w:tcPr>
            <w:tcW w:w="1334" w:type="dxa"/>
            <w:vMerge w:val="restart"/>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质量</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要求</w:t>
            </w:r>
            <w:r>
              <w:rPr>
                <w:rFonts w:ascii="宋体" w:hAnsi="宋体" w:eastAsia="宋体" w:cs="宋体"/>
                <w:color w:val="000000"/>
                <w:sz w:val="24"/>
              </w:rPr>
              <w:t xml:space="preserve"> </w:t>
            </w:r>
          </w:p>
        </w:tc>
        <w:tc>
          <w:tcPr>
            <w:tcW w:w="694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音频播放流畅。声音清晰，噪音低，回响小，无失真</w:t>
            </w:r>
            <w:r>
              <w:rPr>
                <w:rFonts w:ascii="宋体" w:hAnsi="宋体" w:eastAsia="宋体" w:cs="宋体"/>
                <w:color w:val="000000"/>
                <w:sz w:val="24"/>
              </w:rPr>
              <w:t xml:space="preserve"> </w:t>
            </w:r>
          </w:p>
        </w:tc>
      </w:tr>
      <w:tr>
        <w:tblPrEx>
          <w:tblCellMar>
            <w:top w:w="43" w:type="dxa"/>
            <w:left w:w="48" w:type="dxa"/>
            <w:bottom w:w="0" w:type="dxa"/>
            <w:right w:w="65" w:type="dxa"/>
          </w:tblCellMar>
        </w:tblPrEx>
        <w:trPr>
          <w:trHeight w:val="643" w:hRule="atLeast"/>
        </w:trPr>
        <w:tc>
          <w:tcPr>
            <w:tcW w:w="1334" w:type="dxa"/>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694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音频内容符合我国法律法规，尊重各民族的风俗习惯，版权不存在争议</w:t>
            </w: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3</w:t>
      </w:r>
      <w:r>
        <w:rPr>
          <w:rFonts w:hint="eastAsia" w:ascii="宋体" w:hAnsi="宋体" w:eastAsia="宋体" w:cs="宋体"/>
          <w:color w:val="000000"/>
          <w:sz w:val="24"/>
        </w:rPr>
        <w:t>．提交要求</w:t>
      </w:r>
      <w:r>
        <w:rPr>
          <w:rFonts w:ascii="宋体" w:hAnsi="宋体" w:eastAsia="宋体" w:cs="宋体"/>
          <w:color w:val="000000"/>
          <w:sz w:val="24"/>
        </w:rPr>
        <w:t xml:space="preserve"> </w:t>
      </w:r>
    </w:p>
    <w:tbl>
      <w:tblPr>
        <w:tblStyle w:val="137"/>
        <w:tblW w:w="8242" w:type="dxa"/>
        <w:tblInd w:w="-10" w:type="dxa"/>
        <w:tblLayout w:type="autofit"/>
        <w:tblCellMar>
          <w:top w:w="43" w:type="dxa"/>
          <w:left w:w="0" w:type="dxa"/>
          <w:bottom w:w="55" w:type="dxa"/>
          <w:right w:w="0" w:type="dxa"/>
        </w:tblCellMar>
      </w:tblPr>
      <w:tblGrid>
        <w:gridCol w:w="1580"/>
        <w:gridCol w:w="1559"/>
        <w:gridCol w:w="5103"/>
      </w:tblGrid>
      <w:tr>
        <w:tblPrEx>
          <w:tblCellMar>
            <w:top w:w="43" w:type="dxa"/>
            <w:left w:w="0" w:type="dxa"/>
            <w:bottom w:w="55" w:type="dxa"/>
            <w:right w:w="0" w:type="dxa"/>
          </w:tblCellMar>
        </w:tblPrEx>
        <w:trPr>
          <w:trHeight w:val="346" w:hRule="atLeast"/>
        </w:trPr>
        <w:tc>
          <w:tcPr>
            <w:tcW w:w="15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媒体类型</w:t>
            </w:r>
            <w:r>
              <w:rPr>
                <w:rFonts w:ascii="宋体" w:hAnsi="宋体" w:eastAsia="宋体" w:cs="宋体"/>
                <w:color w:val="000000"/>
                <w:sz w:val="24"/>
              </w:rPr>
              <w:t xml:space="preserve"> </w:t>
            </w:r>
          </w:p>
        </w:tc>
        <w:tc>
          <w:tcPr>
            <w:tcW w:w="6662" w:type="dxa"/>
            <w:gridSpan w:val="2"/>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提交要求</w:t>
            </w:r>
            <w:r>
              <w:rPr>
                <w:rFonts w:ascii="宋体" w:hAnsi="宋体" w:eastAsia="宋体" w:cs="宋体"/>
                <w:color w:val="000000"/>
                <w:sz w:val="24"/>
              </w:rPr>
              <w:t xml:space="preserve"> </w:t>
            </w:r>
          </w:p>
        </w:tc>
      </w:tr>
      <w:tr>
        <w:tblPrEx>
          <w:tblCellMar>
            <w:top w:w="43" w:type="dxa"/>
            <w:left w:w="0" w:type="dxa"/>
            <w:bottom w:w="55" w:type="dxa"/>
            <w:right w:w="0" w:type="dxa"/>
          </w:tblCellMar>
        </w:tblPrEx>
        <w:trPr>
          <w:trHeight w:val="696" w:hRule="atLeast"/>
        </w:trPr>
        <w:tc>
          <w:tcPr>
            <w:tcW w:w="1580"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音频</w:t>
            </w:r>
            <w:r>
              <w:rPr>
                <w:rFonts w:ascii="宋体" w:hAnsi="宋体" w:eastAsia="宋体" w:cs="宋体"/>
                <w:color w:val="000000"/>
                <w:sz w:val="24"/>
              </w:rPr>
              <w:t xml:space="preserve"> </w:t>
            </w:r>
          </w:p>
        </w:tc>
        <w:tc>
          <w:tcPr>
            <w:tcW w:w="6662" w:type="dxa"/>
            <w:gridSpan w:val="2"/>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音频采用</w:t>
            </w:r>
            <w:r>
              <w:rPr>
                <w:rFonts w:ascii="宋体" w:hAnsi="宋体" w:eastAsia="宋体" w:cs="宋体"/>
                <w:color w:val="000000"/>
                <w:sz w:val="24"/>
              </w:rPr>
              <w:t xml:space="preserve"> mp3 </w:t>
            </w:r>
            <w:r>
              <w:rPr>
                <w:rFonts w:hint="eastAsia" w:ascii="宋体" w:hAnsi="宋体" w:eastAsia="宋体" w:cs="宋体"/>
                <w:color w:val="000000"/>
                <w:sz w:val="24"/>
              </w:rPr>
              <w:t>格式为主，提交原始文件</w:t>
            </w:r>
            <w:r>
              <w:rPr>
                <w:rFonts w:ascii="宋体" w:hAnsi="宋体" w:eastAsia="宋体" w:cs="宋体"/>
                <w:color w:val="000000"/>
                <w:sz w:val="24"/>
              </w:rPr>
              <w:t xml:space="preserve"> </w:t>
            </w:r>
          </w:p>
        </w:tc>
      </w:tr>
      <w:tr>
        <w:tblPrEx>
          <w:tblCellMar>
            <w:top w:w="43" w:type="dxa"/>
            <w:left w:w="0" w:type="dxa"/>
            <w:bottom w:w="55" w:type="dxa"/>
            <w:right w:w="0" w:type="dxa"/>
          </w:tblCellMar>
        </w:tblPrEx>
        <w:trPr>
          <w:trHeight w:val="1061" w:hRule="atLeast"/>
        </w:trPr>
        <w:tc>
          <w:tcPr>
            <w:tcW w:w="3139" w:type="dxa"/>
            <w:gridSpan w:val="2"/>
            <w:tcBorders>
              <w:top w:val="single" w:color="000000" w:sz="8" w:space="0"/>
              <w:left w:val="nil"/>
              <w:bottom w:val="single" w:color="000000" w:sz="8" w:space="0"/>
              <w:right w:val="nil"/>
            </w:tcBorders>
            <w:noWrap w:val="0"/>
            <w:vAlign w:val="bottom"/>
          </w:tcPr>
          <w:p>
            <w:pPr>
              <w:pageBreakBefore w:val="0"/>
              <w:widowControl/>
              <w:topLinePunct w:val="0"/>
              <w:bidi w:val="0"/>
              <w:spacing w:after="4" w:line="334" w:lineRule="auto"/>
              <w:ind w:left="-15" w:firstLine="465"/>
              <w:jc w:val="left"/>
              <w:outlineLvl w:val="9"/>
              <w:rPr>
                <w:rFonts w:ascii="宋体" w:hAnsi="宋体" w:eastAsia="宋体" w:cs="宋体"/>
                <w:b/>
                <w:bCs/>
                <w:color w:val="000000"/>
                <w:sz w:val="24"/>
              </w:rPr>
            </w:pPr>
            <w:r>
              <w:rPr>
                <w:rFonts w:hint="eastAsia" w:ascii="宋体" w:hAnsi="宋体" w:eastAsia="宋体" w:cs="宋体"/>
                <w:b/>
                <w:bCs/>
                <w:color w:val="000000"/>
                <w:sz w:val="24"/>
              </w:rPr>
              <w:t>（四）视频类素材</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1</w:t>
            </w:r>
            <w:r>
              <w:rPr>
                <w:rFonts w:hint="eastAsia" w:ascii="宋体" w:hAnsi="宋体" w:eastAsia="宋体" w:cs="宋体"/>
                <w:color w:val="000000"/>
                <w:sz w:val="24"/>
              </w:rPr>
              <w:t>．文件格式</w:t>
            </w:r>
            <w:r>
              <w:rPr>
                <w:rFonts w:ascii="宋体" w:hAnsi="宋体" w:eastAsia="宋体" w:cs="宋体"/>
                <w:color w:val="000000"/>
                <w:sz w:val="24"/>
              </w:rPr>
              <w:t xml:space="preserve">    </w:t>
            </w:r>
          </w:p>
        </w:tc>
        <w:tc>
          <w:tcPr>
            <w:tcW w:w="5103" w:type="dxa"/>
            <w:tcBorders>
              <w:top w:val="single" w:color="000000" w:sz="8" w:space="0"/>
              <w:left w:val="nil"/>
              <w:bottom w:val="single" w:color="000000" w:sz="8" w:space="0"/>
              <w:right w:val="nil"/>
            </w:tcBorders>
            <w:noWrap w:val="0"/>
            <w:vAlign w:val="bottom"/>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 </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             </w:t>
            </w:r>
          </w:p>
        </w:tc>
      </w:tr>
      <w:tr>
        <w:tblPrEx>
          <w:tblCellMar>
            <w:top w:w="43" w:type="dxa"/>
            <w:left w:w="0" w:type="dxa"/>
            <w:bottom w:w="55" w:type="dxa"/>
            <w:right w:w="0" w:type="dxa"/>
          </w:tblCellMar>
        </w:tblPrEx>
        <w:trPr>
          <w:trHeight w:val="346" w:hRule="atLeast"/>
        </w:trPr>
        <w:tc>
          <w:tcPr>
            <w:tcW w:w="3139" w:type="dxa"/>
            <w:gridSpan w:val="2"/>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媒体类型</w:t>
            </w:r>
            <w:r>
              <w:rPr>
                <w:rFonts w:ascii="宋体" w:hAnsi="宋体" w:eastAsia="宋体" w:cs="宋体"/>
                <w:color w:val="000000"/>
                <w:sz w:val="24"/>
              </w:rPr>
              <w:t xml:space="preserve"> </w:t>
            </w:r>
          </w:p>
        </w:tc>
        <w:tc>
          <w:tcPr>
            <w:tcW w:w="510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扩展名</w:t>
            </w:r>
            <w:r>
              <w:rPr>
                <w:rFonts w:ascii="宋体" w:hAnsi="宋体" w:eastAsia="宋体" w:cs="宋体"/>
                <w:color w:val="000000"/>
                <w:sz w:val="24"/>
              </w:rPr>
              <w:t xml:space="preserve"> </w:t>
            </w:r>
          </w:p>
        </w:tc>
      </w:tr>
      <w:tr>
        <w:tblPrEx>
          <w:tblCellMar>
            <w:top w:w="43" w:type="dxa"/>
            <w:left w:w="0" w:type="dxa"/>
            <w:bottom w:w="55" w:type="dxa"/>
            <w:right w:w="0" w:type="dxa"/>
          </w:tblCellMar>
        </w:tblPrEx>
        <w:trPr>
          <w:trHeight w:val="727" w:hRule="atLeast"/>
        </w:trPr>
        <w:tc>
          <w:tcPr>
            <w:tcW w:w="3139" w:type="dxa"/>
            <w:gridSpan w:val="2"/>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视频</w:t>
            </w:r>
            <w:r>
              <w:rPr>
                <w:rFonts w:ascii="宋体" w:hAnsi="宋体" w:eastAsia="宋体" w:cs="宋体"/>
                <w:color w:val="000000"/>
                <w:sz w:val="24"/>
              </w:rPr>
              <w:t xml:space="preserve"> </w:t>
            </w:r>
          </w:p>
        </w:tc>
        <w:tc>
          <w:tcPr>
            <w:tcW w:w="510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     *.mp4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2</w:t>
      </w:r>
      <w:r>
        <w:rPr>
          <w:rFonts w:hint="eastAsia" w:ascii="宋体" w:hAnsi="宋体" w:eastAsia="宋体" w:cs="宋体"/>
          <w:color w:val="000000"/>
          <w:sz w:val="24"/>
        </w:rPr>
        <w:t>．技术要求</w:t>
      </w:r>
      <w:r>
        <w:rPr>
          <w:rFonts w:ascii="宋体" w:hAnsi="宋体" w:eastAsia="宋体" w:cs="宋体"/>
          <w:color w:val="000000"/>
          <w:sz w:val="24"/>
        </w:rPr>
        <w:t xml:space="preserve"> </w:t>
      </w:r>
    </w:p>
    <w:tbl>
      <w:tblPr>
        <w:tblStyle w:val="137"/>
        <w:tblW w:w="8333" w:type="dxa"/>
        <w:tblInd w:w="-10" w:type="dxa"/>
        <w:tblLayout w:type="autofit"/>
        <w:tblCellMar>
          <w:top w:w="43" w:type="dxa"/>
          <w:left w:w="101" w:type="dxa"/>
          <w:bottom w:w="0" w:type="dxa"/>
          <w:right w:w="0" w:type="dxa"/>
        </w:tblCellMar>
      </w:tblPr>
      <w:tblGrid>
        <w:gridCol w:w="1245"/>
        <w:gridCol w:w="7088"/>
      </w:tblGrid>
      <w:tr>
        <w:tblPrEx>
          <w:tblCellMar>
            <w:top w:w="43" w:type="dxa"/>
            <w:left w:w="101" w:type="dxa"/>
            <w:bottom w:w="0" w:type="dxa"/>
            <w:right w:w="0" w:type="dxa"/>
          </w:tblCellMar>
        </w:tblPrEx>
        <w:trPr>
          <w:trHeight w:val="566" w:hRule="atLeast"/>
        </w:trPr>
        <w:tc>
          <w:tcPr>
            <w:tcW w:w="8333" w:type="dxa"/>
            <w:gridSpan w:val="2"/>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                </w:t>
            </w:r>
            <w:r>
              <w:rPr>
                <w:rFonts w:hint="eastAsia" w:ascii="宋体" w:hAnsi="宋体" w:eastAsia="宋体" w:cs="宋体"/>
                <w:color w:val="000000"/>
                <w:sz w:val="24"/>
              </w:rPr>
              <w:t>技术要求</w:t>
            </w:r>
            <w:r>
              <w:rPr>
                <w:rFonts w:ascii="宋体" w:hAnsi="宋体" w:eastAsia="宋体" w:cs="宋体"/>
                <w:color w:val="000000"/>
                <w:sz w:val="24"/>
              </w:rPr>
              <w:t xml:space="preserve"> </w:t>
            </w:r>
          </w:p>
        </w:tc>
      </w:tr>
      <w:tr>
        <w:tblPrEx>
          <w:tblCellMar>
            <w:top w:w="43" w:type="dxa"/>
            <w:left w:w="101" w:type="dxa"/>
            <w:bottom w:w="0" w:type="dxa"/>
            <w:right w:w="0" w:type="dxa"/>
          </w:tblCellMar>
        </w:tblPrEx>
        <w:trPr>
          <w:trHeight w:val="953" w:hRule="atLeast"/>
        </w:trPr>
        <w:tc>
          <w:tcPr>
            <w:tcW w:w="1245"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outlineLvl w:val="9"/>
              <w:rPr>
                <w:rFonts w:ascii="宋体" w:hAnsi="宋体" w:eastAsia="宋体" w:cs="宋体"/>
                <w:color w:val="000000"/>
                <w:sz w:val="24"/>
              </w:rPr>
            </w:pPr>
            <w:r>
              <w:rPr>
                <w:rFonts w:hint="eastAsia" w:ascii="宋体" w:hAnsi="宋体" w:eastAsia="宋体" w:cs="宋体"/>
                <w:color w:val="000000"/>
                <w:sz w:val="24"/>
              </w:rPr>
              <w:t>品质要求</w:t>
            </w:r>
          </w:p>
        </w:tc>
        <w:tc>
          <w:tcPr>
            <w:tcW w:w="7088"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视</w:t>
            </w:r>
            <w:r>
              <w:rPr>
                <w:rFonts w:ascii="宋体" w:hAnsi="宋体" w:eastAsia="宋体" w:cs="宋体"/>
                <w:color w:val="000000"/>
                <w:sz w:val="24"/>
              </w:rPr>
              <w:t xml:space="preserve"> </w:t>
            </w:r>
            <w:r>
              <w:rPr>
                <w:rFonts w:hint="eastAsia" w:ascii="宋体" w:hAnsi="宋体" w:eastAsia="宋体" w:cs="宋体"/>
                <w:color w:val="000000"/>
                <w:sz w:val="24"/>
              </w:rPr>
              <w:t>频</w:t>
            </w:r>
            <w:r>
              <w:rPr>
                <w:rFonts w:ascii="宋体" w:hAnsi="宋体" w:eastAsia="宋体" w:cs="宋体"/>
                <w:color w:val="000000"/>
                <w:sz w:val="24"/>
              </w:rPr>
              <w:t xml:space="preserve"> </w:t>
            </w:r>
            <w:r>
              <w:rPr>
                <w:rFonts w:hint="eastAsia" w:ascii="宋体" w:hAnsi="宋体" w:eastAsia="宋体" w:cs="宋体"/>
                <w:color w:val="000000"/>
                <w:sz w:val="24"/>
              </w:rPr>
              <w:t>压</w:t>
            </w:r>
            <w:r>
              <w:rPr>
                <w:rFonts w:ascii="宋体" w:hAnsi="宋体" w:eastAsia="宋体" w:cs="宋体"/>
                <w:color w:val="000000"/>
                <w:sz w:val="24"/>
              </w:rPr>
              <w:t xml:space="preserve"> </w:t>
            </w:r>
            <w:r>
              <w:rPr>
                <w:rFonts w:hint="eastAsia" w:ascii="宋体" w:hAnsi="宋体" w:eastAsia="宋体" w:cs="宋体"/>
                <w:color w:val="000000"/>
                <w:sz w:val="24"/>
              </w:rPr>
              <w:t>缩</w:t>
            </w:r>
            <w:r>
              <w:rPr>
                <w:rFonts w:ascii="宋体" w:hAnsi="宋体" w:eastAsia="宋体" w:cs="宋体"/>
                <w:color w:val="000000"/>
                <w:sz w:val="24"/>
              </w:rPr>
              <w:t xml:space="preserve"> </w:t>
            </w:r>
            <w:r>
              <w:rPr>
                <w:rFonts w:hint="eastAsia" w:ascii="宋体" w:hAnsi="宋体" w:eastAsia="宋体" w:cs="宋体"/>
                <w:color w:val="000000"/>
                <w:sz w:val="24"/>
              </w:rPr>
              <w:t>采</w:t>
            </w:r>
            <w:r>
              <w:rPr>
                <w:rFonts w:ascii="宋体" w:hAnsi="宋体" w:eastAsia="宋体" w:cs="宋体"/>
                <w:color w:val="000000"/>
                <w:sz w:val="24"/>
              </w:rPr>
              <w:t xml:space="preserve"> </w:t>
            </w:r>
            <w:r>
              <w:rPr>
                <w:rFonts w:hint="eastAsia" w:ascii="宋体" w:hAnsi="宋体" w:eastAsia="宋体" w:cs="宋体"/>
                <w:color w:val="000000"/>
                <w:sz w:val="24"/>
              </w:rPr>
              <w:t>用</w:t>
            </w:r>
            <w:r>
              <w:rPr>
                <w:rFonts w:ascii="宋体" w:hAnsi="宋体" w:eastAsia="宋体" w:cs="宋体"/>
                <w:color w:val="000000"/>
                <w:sz w:val="24"/>
              </w:rPr>
              <w:t xml:space="preserve"> H.264(MPEG-4 Part10 </w:t>
            </w:r>
            <w:r>
              <w:rPr>
                <w:rFonts w:hint="eastAsia" w:ascii="宋体" w:hAnsi="宋体" w:eastAsia="宋体" w:cs="宋体"/>
                <w:color w:val="000000"/>
                <w:sz w:val="24"/>
              </w:rPr>
              <w:t>：</w:t>
            </w:r>
            <w:r>
              <w:rPr>
                <w:rFonts w:ascii="宋体" w:hAnsi="宋体" w:eastAsia="宋体" w:cs="宋体"/>
                <w:color w:val="000000"/>
                <w:sz w:val="24"/>
              </w:rPr>
              <w:t xml:space="preserve"> profile=main, level=3.0)</w:t>
            </w:r>
            <w:r>
              <w:rPr>
                <w:rFonts w:hint="eastAsia" w:ascii="宋体" w:hAnsi="宋体" w:eastAsia="宋体" w:cs="宋体"/>
                <w:color w:val="000000"/>
                <w:sz w:val="24"/>
              </w:rPr>
              <w:t>编码方式，码率</w:t>
            </w:r>
            <w:r>
              <w:rPr>
                <w:rFonts w:ascii="宋体" w:hAnsi="宋体" w:eastAsia="宋体" w:cs="宋体"/>
                <w:color w:val="000000"/>
                <w:sz w:val="24"/>
              </w:rPr>
              <w:t xml:space="preserve"> 3M </w:t>
            </w:r>
            <w:r>
              <w:rPr>
                <w:rFonts w:hint="eastAsia" w:ascii="宋体" w:hAnsi="宋体" w:eastAsia="宋体" w:cs="宋体"/>
                <w:color w:val="000000"/>
                <w:sz w:val="24"/>
              </w:rPr>
              <w:t>以上，帧率不低于</w:t>
            </w:r>
            <w:r>
              <w:rPr>
                <w:rFonts w:ascii="宋体" w:hAnsi="宋体" w:eastAsia="宋体" w:cs="宋体"/>
                <w:color w:val="000000"/>
                <w:sz w:val="24"/>
              </w:rPr>
              <w:t xml:space="preserve"> 25 fps</w:t>
            </w:r>
            <w:r>
              <w:rPr>
                <w:rFonts w:hint="eastAsia" w:ascii="宋体" w:hAnsi="宋体" w:eastAsia="宋体" w:cs="宋体"/>
                <w:color w:val="000000"/>
                <w:sz w:val="24"/>
              </w:rPr>
              <w:t>，分辨率不低于</w:t>
            </w:r>
            <w:r>
              <w:rPr>
                <w:rFonts w:ascii="宋体" w:hAnsi="宋体" w:eastAsia="宋体" w:cs="宋体"/>
                <w:color w:val="000000"/>
                <w:sz w:val="24"/>
              </w:rPr>
              <w:t xml:space="preserve">   1024×576</w:t>
            </w:r>
            <w:r>
              <w:rPr>
                <w:rFonts w:hint="eastAsia" w:ascii="宋体" w:hAnsi="宋体" w:eastAsia="宋体" w:cs="宋体"/>
                <w:color w:val="000000"/>
                <w:sz w:val="24"/>
              </w:rPr>
              <w:t>（</w:t>
            </w:r>
            <w:r>
              <w:rPr>
                <w:rFonts w:ascii="宋体" w:hAnsi="宋体" w:eastAsia="宋体" w:cs="宋体"/>
                <w:color w:val="000000"/>
                <w:sz w:val="24"/>
              </w:rPr>
              <w:t>16:9</w:t>
            </w:r>
            <w:r>
              <w:rPr>
                <w:rFonts w:hint="eastAsia" w:ascii="宋体" w:hAnsi="宋体" w:eastAsia="宋体" w:cs="宋体"/>
                <w:color w:val="000000"/>
                <w:sz w:val="24"/>
              </w:rPr>
              <w:t>）</w:t>
            </w:r>
            <w:r>
              <w:rPr>
                <w:rFonts w:ascii="宋体" w:hAnsi="宋体" w:eastAsia="宋体" w:cs="宋体"/>
                <w:color w:val="000000"/>
                <w:sz w:val="24"/>
              </w:rPr>
              <w:t xml:space="preserve"> </w:t>
            </w:r>
          </w:p>
        </w:tc>
      </w:tr>
      <w:tr>
        <w:tblPrEx>
          <w:tblCellMar>
            <w:top w:w="43" w:type="dxa"/>
            <w:left w:w="101" w:type="dxa"/>
            <w:bottom w:w="0" w:type="dxa"/>
            <w:right w:w="0" w:type="dxa"/>
          </w:tblCellMar>
        </w:tblPrEx>
        <w:trPr>
          <w:trHeight w:val="655" w:hRule="atLeast"/>
        </w:trPr>
        <w:tc>
          <w:tcPr>
            <w:tcW w:w="1245" w:type="dxa"/>
            <w:vMerge w:val="restart"/>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jc w:val="left"/>
              <w:outlineLvl w:val="9"/>
              <w:rPr>
                <w:rFonts w:ascii="宋体" w:hAnsi="宋体" w:eastAsia="宋体" w:cs="宋体"/>
                <w:color w:val="000000"/>
                <w:sz w:val="24"/>
              </w:rPr>
            </w:pPr>
            <w:r>
              <w:rPr>
                <w:rFonts w:hint="eastAsia" w:ascii="宋体" w:hAnsi="宋体" w:eastAsia="宋体" w:cs="宋体"/>
                <w:color w:val="000000"/>
                <w:sz w:val="24"/>
              </w:rPr>
              <w:t>字幕要求</w:t>
            </w:r>
            <w:r>
              <w:rPr>
                <w:rFonts w:ascii="宋体" w:hAnsi="宋体" w:eastAsia="宋体" w:cs="宋体"/>
                <w:color w:val="000000"/>
                <w:sz w:val="24"/>
              </w:rPr>
              <w:t xml:space="preserve"> </w:t>
            </w:r>
          </w:p>
        </w:tc>
        <w:tc>
          <w:tcPr>
            <w:tcW w:w="7088"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字幕清晰美观，能正确有效地传达信息。字幕尽可能少，在节目中的停留时间以能看清楚为准</w:t>
            </w:r>
            <w:r>
              <w:rPr>
                <w:rFonts w:ascii="宋体" w:hAnsi="宋体" w:eastAsia="宋体" w:cs="宋体"/>
                <w:color w:val="000000"/>
                <w:sz w:val="24"/>
              </w:rPr>
              <w:t xml:space="preserve"> </w:t>
            </w:r>
          </w:p>
        </w:tc>
      </w:tr>
      <w:tr>
        <w:tblPrEx>
          <w:tblCellMar>
            <w:top w:w="43" w:type="dxa"/>
            <w:left w:w="101" w:type="dxa"/>
            <w:bottom w:w="0" w:type="dxa"/>
            <w:right w:w="0" w:type="dxa"/>
          </w:tblCellMar>
        </w:tblPrEx>
        <w:trPr>
          <w:trHeight w:val="1265" w:hRule="atLeast"/>
        </w:trPr>
        <w:tc>
          <w:tcPr>
            <w:tcW w:w="1245" w:type="dxa"/>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088"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字幕要使用符合国家标准的规范字，不出现繁体字、异体字</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w:t>
            </w:r>
            <w:r>
              <w:rPr>
                <w:rFonts w:hint="eastAsia" w:ascii="宋体" w:hAnsi="宋体" w:eastAsia="宋体" w:cs="宋体"/>
                <w:color w:val="000000"/>
                <w:sz w:val="24"/>
              </w:rPr>
              <w:t>国家规定的除外</w:t>
            </w:r>
            <w:r>
              <w:rPr>
                <w:rFonts w:ascii="宋体" w:hAnsi="宋体" w:eastAsia="宋体" w:cs="宋体"/>
                <w:color w:val="000000"/>
                <w:sz w:val="24"/>
              </w:rPr>
              <w:t>)</w:t>
            </w:r>
            <w:r>
              <w:rPr>
                <w:rFonts w:hint="eastAsia" w:ascii="宋体" w:hAnsi="宋体" w:eastAsia="宋体" w:cs="宋体"/>
                <w:color w:val="000000"/>
                <w:sz w:val="24"/>
              </w:rPr>
              <w:t>、错别字；字幕的字体、大小、色彩搭配、摆放位置、停留时间、出入屏方式力求与其他要素（画面、解说词、音乐）配合适当，不能破坏原有画面</w:t>
            </w:r>
            <w:r>
              <w:rPr>
                <w:rFonts w:ascii="宋体" w:hAnsi="宋体" w:eastAsia="宋体" w:cs="宋体"/>
                <w:color w:val="000000"/>
                <w:sz w:val="24"/>
              </w:rPr>
              <w:t xml:space="preserve"> </w:t>
            </w:r>
          </w:p>
        </w:tc>
      </w:tr>
      <w:tr>
        <w:tblPrEx>
          <w:tblCellMar>
            <w:top w:w="43" w:type="dxa"/>
            <w:left w:w="101" w:type="dxa"/>
            <w:bottom w:w="0" w:type="dxa"/>
            <w:right w:w="0" w:type="dxa"/>
          </w:tblCellMar>
        </w:tblPrEx>
        <w:trPr>
          <w:trHeight w:val="644" w:hRule="atLeast"/>
        </w:trPr>
        <w:tc>
          <w:tcPr>
            <w:tcW w:w="1245" w:type="dxa"/>
            <w:vMerge w:val="restart"/>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jc w:val="left"/>
              <w:outlineLvl w:val="9"/>
              <w:rPr>
                <w:rFonts w:ascii="宋体" w:hAnsi="宋体" w:eastAsia="宋体" w:cs="宋体"/>
                <w:color w:val="000000"/>
                <w:sz w:val="24"/>
              </w:rPr>
            </w:pPr>
            <w:r>
              <w:rPr>
                <w:rFonts w:ascii="宋体" w:hAnsi="宋体" w:eastAsia="宋体" w:cs="宋体"/>
                <w:color w:val="000000"/>
                <w:sz w:val="24"/>
              </w:rPr>
              <w:t xml:space="preserve"> </w:t>
            </w:r>
            <w:r>
              <w:rPr>
                <w:rFonts w:hint="eastAsia" w:ascii="宋体" w:hAnsi="宋体" w:eastAsia="宋体" w:cs="宋体"/>
                <w:color w:val="000000"/>
                <w:sz w:val="24"/>
              </w:rPr>
              <w:t>画面要求</w:t>
            </w:r>
            <w:r>
              <w:rPr>
                <w:rFonts w:ascii="宋体" w:hAnsi="宋体" w:eastAsia="宋体" w:cs="宋体"/>
                <w:color w:val="000000"/>
                <w:sz w:val="24"/>
              </w:rPr>
              <w:t xml:space="preserve"> </w:t>
            </w:r>
          </w:p>
        </w:tc>
        <w:tc>
          <w:tcPr>
            <w:tcW w:w="7088"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视频类素材每帧图像颜色数不低于</w:t>
            </w:r>
            <w:r>
              <w:rPr>
                <w:rFonts w:ascii="宋体" w:hAnsi="宋体" w:eastAsia="宋体" w:cs="宋体"/>
                <w:color w:val="000000"/>
                <w:sz w:val="24"/>
              </w:rPr>
              <w:t xml:space="preserve"> 256 </w:t>
            </w:r>
            <w:r>
              <w:rPr>
                <w:rFonts w:hint="eastAsia" w:ascii="宋体" w:hAnsi="宋体" w:eastAsia="宋体" w:cs="宋体"/>
                <w:color w:val="000000"/>
                <w:sz w:val="24"/>
              </w:rPr>
              <w:t>色或灰度级不低于</w:t>
            </w:r>
            <w:r>
              <w:rPr>
                <w:rFonts w:ascii="宋体" w:hAnsi="宋体" w:eastAsia="宋体" w:cs="宋体"/>
                <w:color w:val="000000"/>
                <w:sz w:val="24"/>
              </w:rPr>
              <w:t xml:space="preserve"> </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128 </w:t>
            </w:r>
            <w:r>
              <w:rPr>
                <w:rFonts w:hint="eastAsia" w:ascii="宋体" w:hAnsi="宋体" w:eastAsia="宋体" w:cs="宋体"/>
                <w:color w:val="000000"/>
                <w:sz w:val="24"/>
              </w:rPr>
              <w:t>级</w:t>
            </w:r>
            <w:r>
              <w:rPr>
                <w:rFonts w:ascii="宋体" w:hAnsi="宋体" w:eastAsia="宋体" w:cs="宋体"/>
                <w:color w:val="000000"/>
                <w:sz w:val="24"/>
              </w:rPr>
              <w:t xml:space="preserve"> </w:t>
            </w:r>
          </w:p>
        </w:tc>
      </w:tr>
      <w:tr>
        <w:tblPrEx>
          <w:tblCellMar>
            <w:top w:w="43" w:type="dxa"/>
            <w:left w:w="101" w:type="dxa"/>
            <w:bottom w:w="0" w:type="dxa"/>
            <w:right w:w="0" w:type="dxa"/>
          </w:tblCellMar>
        </w:tblPrEx>
        <w:trPr>
          <w:trHeight w:val="348" w:hRule="atLeast"/>
        </w:trPr>
        <w:tc>
          <w:tcPr>
            <w:tcW w:w="1245" w:type="dxa"/>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088"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视频图像清晰，播放时没有明显的噪点，播放流畅</w:t>
            </w:r>
            <w:r>
              <w:rPr>
                <w:rFonts w:ascii="宋体" w:hAnsi="宋体" w:eastAsia="宋体" w:cs="宋体"/>
                <w:color w:val="000000"/>
                <w:sz w:val="24"/>
              </w:rPr>
              <w:t xml:space="preserve"> </w:t>
            </w:r>
          </w:p>
        </w:tc>
      </w:tr>
      <w:tr>
        <w:tblPrEx>
          <w:tblCellMar>
            <w:top w:w="43" w:type="dxa"/>
            <w:left w:w="101" w:type="dxa"/>
            <w:bottom w:w="0" w:type="dxa"/>
            <w:right w:w="0" w:type="dxa"/>
          </w:tblCellMar>
        </w:tblPrEx>
        <w:trPr>
          <w:trHeight w:val="331" w:hRule="atLeast"/>
        </w:trPr>
        <w:tc>
          <w:tcPr>
            <w:tcW w:w="1245" w:type="dxa"/>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088"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彩色视频素材每帧图像颜色均为真彩色</w:t>
            </w:r>
            <w:r>
              <w:rPr>
                <w:rFonts w:ascii="宋体" w:hAnsi="宋体" w:eastAsia="宋体" w:cs="宋体"/>
                <w:color w:val="000000"/>
                <w:sz w:val="24"/>
              </w:rPr>
              <w:t xml:space="preserve"> </w:t>
            </w:r>
          </w:p>
        </w:tc>
      </w:tr>
      <w:tr>
        <w:tblPrEx>
          <w:tblCellMar>
            <w:top w:w="43" w:type="dxa"/>
            <w:left w:w="101" w:type="dxa"/>
            <w:bottom w:w="0" w:type="dxa"/>
            <w:right w:w="0" w:type="dxa"/>
          </w:tblCellMar>
        </w:tblPrEx>
        <w:trPr>
          <w:trHeight w:val="641" w:hRule="atLeast"/>
        </w:trPr>
        <w:tc>
          <w:tcPr>
            <w:tcW w:w="1245" w:type="dxa"/>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088"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音频与视频图像有良好的同步，音频部分应符合音频素材的质量要求</w:t>
            </w:r>
            <w:r>
              <w:rPr>
                <w:rFonts w:ascii="宋体" w:hAnsi="宋体" w:eastAsia="宋体" w:cs="宋体"/>
                <w:color w:val="000000"/>
                <w:sz w:val="24"/>
              </w:rPr>
              <w:t xml:space="preserve"> </w:t>
            </w:r>
          </w:p>
        </w:tc>
      </w:tr>
      <w:tr>
        <w:tblPrEx>
          <w:tblCellMar>
            <w:top w:w="43" w:type="dxa"/>
            <w:left w:w="101" w:type="dxa"/>
            <w:bottom w:w="0" w:type="dxa"/>
            <w:right w:w="0" w:type="dxa"/>
          </w:tblCellMar>
        </w:tblPrEx>
        <w:trPr>
          <w:trHeight w:val="643" w:hRule="atLeast"/>
        </w:trPr>
        <w:tc>
          <w:tcPr>
            <w:tcW w:w="1245" w:type="dxa"/>
            <w:vMerge w:val="restart"/>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jc w:val="left"/>
              <w:outlineLvl w:val="9"/>
              <w:rPr>
                <w:rFonts w:ascii="宋体" w:hAnsi="宋体" w:eastAsia="宋体" w:cs="宋体"/>
                <w:color w:val="000000"/>
                <w:sz w:val="24"/>
              </w:rPr>
            </w:pPr>
            <w:r>
              <w:rPr>
                <w:rFonts w:hint="eastAsia" w:ascii="宋体" w:hAnsi="宋体" w:eastAsia="宋体" w:cs="宋体"/>
                <w:color w:val="000000"/>
                <w:sz w:val="24"/>
              </w:rPr>
              <w:t>内容要求</w:t>
            </w:r>
            <w:r>
              <w:rPr>
                <w:rFonts w:ascii="宋体" w:hAnsi="宋体" w:eastAsia="宋体" w:cs="宋体"/>
                <w:color w:val="000000"/>
                <w:sz w:val="24"/>
              </w:rPr>
              <w:t xml:space="preserve"> </w:t>
            </w:r>
          </w:p>
        </w:tc>
        <w:tc>
          <w:tcPr>
            <w:tcW w:w="7088"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视频内容符合我国法律法规，尊重各民族的风俗习惯，版权不存在争议</w:t>
            </w:r>
            <w:r>
              <w:rPr>
                <w:rFonts w:ascii="宋体" w:hAnsi="宋体" w:eastAsia="宋体" w:cs="宋体"/>
                <w:color w:val="000000"/>
                <w:sz w:val="24"/>
              </w:rPr>
              <w:t xml:space="preserve"> </w:t>
            </w:r>
          </w:p>
        </w:tc>
      </w:tr>
      <w:tr>
        <w:tblPrEx>
          <w:tblCellMar>
            <w:top w:w="43" w:type="dxa"/>
            <w:left w:w="101" w:type="dxa"/>
            <w:bottom w:w="0" w:type="dxa"/>
            <w:right w:w="0" w:type="dxa"/>
          </w:tblCellMar>
        </w:tblPrEx>
        <w:trPr>
          <w:trHeight w:val="734" w:hRule="atLeast"/>
        </w:trPr>
        <w:tc>
          <w:tcPr>
            <w:tcW w:w="1245" w:type="dxa"/>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088"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若其中包含少数民族或外国语言文字信息，应遵循其原内容完整性，使用原语言进行处理</w:t>
            </w: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3</w:t>
      </w:r>
      <w:r>
        <w:rPr>
          <w:rFonts w:hint="eastAsia" w:ascii="宋体" w:hAnsi="宋体" w:eastAsia="宋体" w:cs="宋体"/>
          <w:color w:val="000000"/>
          <w:sz w:val="24"/>
        </w:rPr>
        <w:t>．提交要求</w:t>
      </w:r>
      <w:r>
        <w:rPr>
          <w:rFonts w:ascii="宋体" w:hAnsi="宋体" w:eastAsia="宋体" w:cs="宋体"/>
          <w:color w:val="000000"/>
          <w:sz w:val="24"/>
        </w:rPr>
        <w:t xml:space="preserve"> </w:t>
      </w:r>
    </w:p>
    <w:tbl>
      <w:tblPr>
        <w:tblStyle w:val="137"/>
        <w:tblW w:w="8280" w:type="dxa"/>
        <w:tblInd w:w="-10" w:type="dxa"/>
        <w:tblLayout w:type="autofit"/>
        <w:tblCellMar>
          <w:top w:w="46" w:type="dxa"/>
          <w:left w:w="48" w:type="dxa"/>
          <w:bottom w:w="0" w:type="dxa"/>
          <w:right w:w="132" w:type="dxa"/>
        </w:tblCellMar>
      </w:tblPr>
      <w:tblGrid>
        <w:gridCol w:w="1529"/>
        <w:gridCol w:w="6751"/>
      </w:tblGrid>
      <w:tr>
        <w:tblPrEx>
          <w:tblCellMar>
            <w:top w:w="46" w:type="dxa"/>
            <w:left w:w="48" w:type="dxa"/>
            <w:bottom w:w="0" w:type="dxa"/>
            <w:right w:w="132" w:type="dxa"/>
          </w:tblCellMar>
        </w:tblPrEx>
        <w:trPr>
          <w:trHeight w:val="348" w:hRule="atLeast"/>
        </w:trPr>
        <w:tc>
          <w:tcPr>
            <w:tcW w:w="1529"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jc w:val="left"/>
              <w:outlineLvl w:val="9"/>
              <w:rPr>
                <w:rFonts w:ascii="宋体" w:hAnsi="宋体" w:eastAsia="宋体" w:cs="宋体"/>
                <w:color w:val="000000"/>
                <w:sz w:val="24"/>
              </w:rPr>
            </w:pPr>
            <w:r>
              <w:rPr>
                <w:rFonts w:hint="eastAsia" w:ascii="宋体" w:hAnsi="宋体" w:eastAsia="宋体" w:cs="宋体"/>
                <w:color w:val="000000"/>
                <w:sz w:val="24"/>
              </w:rPr>
              <w:t>媒体类型</w:t>
            </w:r>
            <w:r>
              <w:rPr>
                <w:rFonts w:ascii="宋体" w:hAnsi="宋体" w:eastAsia="宋体" w:cs="宋体"/>
                <w:color w:val="000000"/>
                <w:sz w:val="24"/>
              </w:rPr>
              <w:t xml:space="preserve"> </w:t>
            </w:r>
          </w:p>
        </w:tc>
        <w:tc>
          <w:tcPr>
            <w:tcW w:w="6751"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提交要求</w:t>
            </w:r>
            <w:r>
              <w:rPr>
                <w:rFonts w:ascii="宋体" w:hAnsi="宋体" w:eastAsia="宋体" w:cs="宋体"/>
                <w:color w:val="000000"/>
                <w:sz w:val="24"/>
              </w:rPr>
              <w:t xml:space="preserve"> </w:t>
            </w:r>
          </w:p>
        </w:tc>
      </w:tr>
      <w:tr>
        <w:tblPrEx>
          <w:tblCellMar>
            <w:top w:w="46" w:type="dxa"/>
            <w:left w:w="48" w:type="dxa"/>
            <w:bottom w:w="0" w:type="dxa"/>
            <w:right w:w="132" w:type="dxa"/>
          </w:tblCellMar>
        </w:tblPrEx>
        <w:trPr>
          <w:trHeight w:val="458" w:hRule="atLeast"/>
        </w:trPr>
        <w:tc>
          <w:tcPr>
            <w:tcW w:w="1529"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视频</w:t>
            </w:r>
            <w:r>
              <w:rPr>
                <w:rFonts w:ascii="宋体" w:hAnsi="宋体" w:eastAsia="宋体" w:cs="宋体"/>
                <w:color w:val="000000"/>
                <w:sz w:val="24"/>
              </w:rPr>
              <w:t xml:space="preserve"> </w:t>
            </w:r>
          </w:p>
        </w:tc>
        <w:tc>
          <w:tcPr>
            <w:tcW w:w="6751"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提供原始视频文件</w:t>
            </w: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b/>
          <w:bCs/>
          <w:color w:val="000000"/>
          <w:sz w:val="24"/>
        </w:rPr>
      </w:pPr>
      <w:r>
        <w:rPr>
          <w:rFonts w:hint="eastAsia" w:ascii="宋体" w:hAnsi="宋体" w:eastAsia="宋体" w:cs="宋体"/>
          <w:b/>
          <w:bCs/>
          <w:color w:val="000000"/>
          <w:sz w:val="24"/>
        </w:rPr>
        <w:t>（五）动画类素材</w:t>
      </w:r>
      <w:r>
        <w:rPr>
          <w:rFonts w:ascii="宋体" w:hAnsi="宋体" w:eastAsia="宋体" w:cs="宋体"/>
          <w:b/>
          <w:bCs/>
          <w:color w:val="000000"/>
          <w:sz w:val="24"/>
        </w:rPr>
        <w:t xml:space="preserve"> </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1</w:t>
      </w:r>
      <w:r>
        <w:rPr>
          <w:rFonts w:hint="eastAsia" w:ascii="宋体" w:hAnsi="宋体" w:eastAsia="宋体" w:cs="宋体"/>
          <w:color w:val="000000"/>
          <w:sz w:val="24"/>
        </w:rPr>
        <w:t>．文件格式</w:t>
      </w:r>
      <w:r>
        <w:rPr>
          <w:rFonts w:ascii="宋体" w:hAnsi="宋体" w:eastAsia="宋体" w:cs="宋体"/>
          <w:color w:val="000000"/>
          <w:sz w:val="24"/>
        </w:rPr>
        <w:t xml:space="preserve"> </w:t>
      </w:r>
    </w:p>
    <w:tbl>
      <w:tblPr>
        <w:tblStyle w:val="137"/>
        <w:tblW w:w="8327" w:type="dxa"/>
        <w:tblInd w:w="-10" w:type="dxa"/>
        <w:tblLayout w:type="autofit"/>
        <w:tblCellMar>
          <w:top w:w="0" w:type="dxa"/>
          <w:left w:w="82" w:type="dxa"/>
          <w:bottom w:w="0" w:type="dxa"/>
          <w:right w:w="115" w:type="dxa"/>
        </w:tblCellMar>
      </w:tblPr>
      <w:tblGrid>
        <w:gridCol w:w="2038"/>
        <w:gridCol w:w="2211"/>
        <w:gridCol w:w="4078"/>
      </w:tblGrid>
      <w:tr>
        <w:tblPrEx>
          <w:tblCellMar>
            <w:top w:w="0" w:type="dxa"/>
            <w:left w:w="82" w:type="dxa"/>
            <w:bottom w:w="0" w:type="dxa"/>
            <w:right w:w="115" w:type="dxa"/>
          </w:tblCellMar>
        </w:tblPrEx>
        <w:trPr>
          <w:trHeight w:val="752" w:hRule="atLeast"/>
        </w:trPr>
        <w:tc>
          <w:tcPr>
            <w:tcW w:w="2038"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媒体类型</w:t>
            </w:r>
            <w:r>
              <w:rPr>
                <w:rFonts w:ascii="宋体" w:hAnsi="宋体" w:eastAsia="宋体" w:cs="宋体"/>
                <w:color w:val="000000"/>
                <w:sz w:val="24"/>
              </w:rPr>
              <w:t xml:space="preserve"> </w:t>
            </w:r>
          </w:p>
        </w:tc>
        <w:tc>
          <w:tcPr>
            <w:tcW w:w="2211"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   </w:t>
            </w:r>
            <w:r>
              <w:rPr>
                <w:rFonts w:hint="eastAsia" w:ascii="宋体" w:hAnsi="宋体" w:eastAsia="宋体" w:cs="宋体"/>
                <w:color w:val="000000"/>
                <w:sz w:val="24"/>
              </w:rPr>
              <w:t>扩展名</w:t>
            </w:r>
            <w:r>
              <w:rPr>
                <w:rFonts w:ascii="宋体" w:hAnsi="宋体" w:eastAsia="宋体" w:cs="宋体"/>
                <w:color w:val="000000"/>
                <w:sz w:val="24"/>
              </w:rPr>
              <w:t xml:space="preserve"> </w:t>
            </w:r>
          </w:p>
        </w:tc>
        <w:tc>
          <w:tcPr>
            <w:tcW w:w="4079"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说</w:t>
            </w:r>
            <w:r>
              <w:rPr>
                <w:rFonts w:ascii="宋体" w:hAnsi="宋体" w:eastAsia="宋体" w:cs="宋体"/>
                <w:color w:val="000000"/>
                <w:sz w:val="24"/>
              </w:rPr>
              <w:t xml:space="preserve"> </w:t>
            </w:r>
            <w:r>
              <w:rPr>
                <w:rFonts w:hint="eastAsia" w:ascii="宋体" w:hAnsi="宋体" w:eastAsia="宋体" w:cs="宋体"/>
                <w:color w:val="000000"/>
                <w:sz w:val="24"/>
              </w:rPr>
              <w:t>明</w:t>
            </w:r>
            <w:r>
              <w:rPr>
                <w:rFonts w:ascii="宋体" w:hAnsi="宋体" w:eastAsia="宋体" w:cs="宋体"/>
                <w:color w:val="000000"/>
                <w:sz w:val="24"/>
              </w:rPr>
              <w:t xml:space="preserve"> </w:t>
            </w:r>
          </w:p>
        </w:tc>
      </w:tr>
      <w:tr>
        <w:trPr>
          <w:trHeight w:val="955" w:hRule="atLeast"/>
        </w:trPr>
        <w:tc>
          <w:tcPr>
            <w:tcW w:w="2038"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动画</w:t>
            </w:r>
            <w:r>
              <w:rPr>
                <w:rFonts w:ascii="宋体" w:hAnsi="宋体" w:eastAsia="宋体" w:cs="宋体"/>
                <w:color w:val="000000"/>
                <w:sz w:val="24"/>
              </w:rPr>
              <w:t xml:space="preserve"> </w:t>
            </w:r>
          </w:p>
        </w:tc>
        <w:tc>
          <w:tcPr>
            <w:tcW w:w="2211"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*.swf </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*.mp4 </w:t>
            </w:r>
          </w:p>
        </w:tc>
        <w:tc>
          <w:tcPr>
            <w:tcW w:w="4079"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有交互的动画，使</w:t>
            </w:r>
            <w:r>
              <w:rPr>
                <w:rFonts w:ascii="宋体" w:hAnsi="宋体" w:eastAsia="宋体" w:cs="宋体"/>
                <w:color w:val="000000"/>
                <w:sz w:val="24"/>
              </w:rPr>
              <w:t xml:space="preserve">swf </w:t>
            </w:r>
            <w:r>
              <w:rPr>
                <w:rFonts w:hint="eastAsia" w:ascii="宋体" w:hAnsi="宋体" w:eastAsia="宋体" w:cs="宋体"/>
                <w:color w:val="000000"/>
                <w:sz w:val="24"/>
              </w:rPr>
              <w:t>格式</w:t>
            </w:r>
            <w:r>
              <w:rPr>
                <w:rFonts w:ascii="宋体" w:hAnsi="宋体" w:eastAsia="宋体" w:cs="宋体"/>
                <w:color w:val="000000"/>
                <w:sz w:val="24"/>
              </w:rPr>
              <w:t xml:space="preserve">;    </w:t>
            </w:r>
            <w:r>
              <w:rPr>
                <w:rFonts w:hint="eastAsia" w:ascii="宋体" w:hAnsi="宋体" w:eastAsia="宋体" w:cs="宋体"/>
                <w:color w:val="000000"/>
                <w:sz w:val="24"/>
              </w:rPr>
              <w:t>没有交互的动画，使用</w:t>
            </w:r>
            <w:r>
              <w:rPr>
                <w:rFonts w:ascii="宋体" w:hAnsi="宋体" w:eastAsia="宋体" w:cs="宋体"/>
                <w:color w:val="000000"/>
                <w:sz w:val="24"/>
              </w:rPr>
              <w:t xml:space="preserve"> mp4 </w:t>
            </w:r>
            <w:r>
              <w:rPr>
                <w:rFonts w:hint="eastAsia" w:ascii="宋体" w:hAnsi="宋体" w:eastAsia="宋体" w:cs="宋体"/>
                <w:color w:val="000000"/>
                <w:sz w:val="24"/>
              </w:rPr>
              <w:t>格式</w:t>
            </w: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2</w:t>
      </w:r>
      <w:r>
        <w:rPr>
          <w:rFonts w:hint="eastAsia" w:ascii="宋体" w:hAnsi="宋体" w:eastAsia="宋体" w:cs="宋体"/>
          <w:color w:val="000000"/>
          <w:sz w:val="24"/>
        </w:rPr>
        <w:t>．技术要求</w:t>
      </w:r>
      <w:r>
        <w:rPr>
          <w:rFonts w:ascii="宋体" w:hAnsi="宋体" w:eastAsia="宋体" w:cs="宋体"/>
          <w:color w:val="000000"/>
          <w:sz w:val="24"/>
        </w:rPr>
        <w:t xml:space="preserve"> </w:t>
      </w:r>
    </w:p>
    <w:tbl>
      <w:tblPr>
        <w:tblStyle w:val="137"/>
        <w:tblW w:w="8242" w:type="dxa"/>
        <w:tblInd w:w="-10" w:type="dxa"/>
        <w:tblLayout w:type="autofit"/>
        <w:tblCellMar>
          <w:top w:w="51" w:type="dxa"/>
          <w:left w:w="0" w:type="dxa"/>
          <w:bottom w:w="0" w:type="dxa"/>
          <w:right w:w="20" w:type="dxa"/>
        </w:tblCellMar>
      </w:tblPr>
      <w:tblGrid>
        <w:gridCol w:w="1013"/>
        <w:gridCol w:w="7229"/>
      </w:tblGrid>
      <w:tr>
        <w:tblPrEx>
          <w:tblCellMar>
            <w:top w:w="51" w:type="dxa"/>
            <w:left w:w="0" w:type="dxa"/>
            <w:bottom w:w="0" w:type="dxa"/>
            <w:right w:w="20" w:type="dxa"/>
          </w:tblCellMar>
        </w:tblPrEx>
        <w:trPr>
          <w:trHeight w:val="583" w:hRule="atLeast"/>
        </w:trPr>
        <w:tc>
          <w:tcPr>
            <w:tcW w:w="8242" w:type="dxa"/>
            <w:gridSpan w:val="2"/>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                 </w:t>
            </w:r>
            <w:r>
              <w:rPr>
                <w:rFonts w:hint="eastAsia" w:ascii="宋体" w:hAnsi="宋体" w:eastAsia="宋体" w:cs="宋体"/>
                <w:color w:val="000000"/>
                <w:sz w:val="24"/>
              </w:rPr>
              <w:t>技术要求</w:t>
            </w:r>
            <w:r>
              <w:rPr>
                <w:rFonts w:ascii="宋体" w:hAnsi="宋体" w:eastAsia="宋体" w:cs="宋体"/>
                <w:color w:val="000000"/>
                <w:sz w:val="24"/>
              </w:rPr>
              <w:t xml:space="preserve"> </w:t>
            </w:r>
          </w:p>
        </w:tc>
      </w:tr>
      <w:tr>
        <w:tblPrEx>
          <w:tblCellMar>
            <w:top w:w="51" w:type="dxa"/>
            <w:left w:w="0" w:type="dxa"/>
            <w:bottom w:w="0" w:type="dxa"/>
            <w:right w:w="20" w:type="dxa"/>
          </w:tblCellMar>
        </w:tblPrEx>
        <w:trPr>
          <w:trHeight w:val="720" w:hRule="atLeast"/>
        </w:trPr>
        <w:tc>
          <w:tcPr>
            <w:tcW w:w="1013" w:type="dxa"/>
            <w:vMerge w:val="restart"/>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jc w:val="left"/>
              <w:outlineLvl w:val="9"/>
              <w:rPr>
                <w:rFonts w:ascii="宋体" w:hAnsi="宋体" w:eastAsia="宋体" w:cs="宋体"/>
                <w:color w:val="000000"/>
                <w:sz w:val="24"/>
              </w:rPr>
            </w:pPr>
            <w:r>
              <w:rPr>
                <w:rFonts w:hint="eastAsia" w:ascii="宋体" w:hAnsi="宋体" w:eastAsia="宋体" w:cs="宋体"/>
                <w:color w:val="000000"/>
                <w:sz w:val="24"/>
              </w:rPr>
              <w:t>品质要求</w:t>
            </w:r>
            <w:r>
              <w:rPr>
                <w:rFonts w:ascii="宋体" w:hAnsi="宋体" w:eastAsia="宋体" w:cs="宋体"/>
                <w:color w:val="000000"/>
                <w:sz w:val="24"/>
              </w:rPr>
              <w:t xml:space="preserve"> </w:t>
            </w:r>
          </w:p>
        </w:tc>
        <w:tc>
          <w:tcPr>
            <w:tcW w:w="7229"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动画的开始要有醒目的标题，标题要能够体现动画所表现的内容</w:t>
            </w:r>
            <w:r>
              <w:rPr>
                <w:rFonts w:ascii="宋体" w:hAnsi="宋体" w:eastAsia="宋体" w:cs="宋体"/>
                <w:color w:val="000000"/>
                <w:sz w:val="24"/>
              </w:rPr>
              <w:t xml:space="preserve"> </w:t>
            </w:r>
          </w:p>
        </w:tc>
      </w:tr>
      <w:tr>
        <w:tblPrEx>
          <w:tblCellMar>
            <w:top w:w="51" w:type="dxa"/>
            <w:left w:w="0" w:type="dxa"/>
            <w:bottom w:w="0" w:type="dxa"/>
            <w:right w:w="20" w:type="dxa"/>
          </w:tblCellMar>
        </w:tblPrEx>
        <w:trPr>
          <w:trHeight w:val="733" w:hRule="atLeast"/>
        </w:trPr>
        <w:tc>
          <w:tcPr>
            <w:tcW w:w="1013" w:type="dxa"/>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229"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动画中如果有文字，文字要醒目，文字的字体、字号与内容协调，字体颜色避免与背景色相近</w:t>
            </w:r>
            <w:r>
              <w:rPr>
                <w:rFonts w:ascii="宋体" w:hAnsi="宋体" w:eastAsia="宋体" w:cs="宋体"/>
                <w:color w:val="000000"/>
                <w:sz w:val="24"/>
              </w:rPr>
              <w:t xml:space="preserve"> </w:t>
            </w:r>
          </w:p>
        </w:tc>
      </w:tr>
      <w:tr>
        <w:tblPrEx>
          <w:tblCellMar>
            <w:top w:w="51" w:type="dxa"/>
            <w:left w:w="0" w:type="dxa"/>
            <w:bottom w:w="0" w:type="dxa"/>
            <w:right w:w="20" w:type="dxa"/>
          </w:tblCellMar>
        </w:tblPrEx>
        <w:trPr>
          <w:trHeight w:val="725" w:hRule="atLeast"/>
        </w:trPr>
        <w:tc>
          <w:tcPr>
            <w:tcW w:w="1013" w:type="dxa"/>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229"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动画色彩造型应和谐，画面简洁清晰，界面友好，交互设计合理，操作简单</w:t>
            </w:r>
            <w:r>
              <w:rPr>
                <w:rFonts w:ascii="宋体" w:hAnsi="宋体" w:eastAsia="宋体" w:cs="宋体"/>
                <w:color w:val="000000"/>
                <w:sz w:val="24"/>
              </w:rPr>
              <w:t xml:space="preserve"> </w:t>
            </w:r>
          </w:p>
        </w:tc>
      </w:tr>
      <w:tr>
        <w:tblPrEx>
          <w:tblCellMar>
            <w:top w:w="51" w:type="dxa"/>
            <w:left w:w="0" w:type="dxa"/>
            <w:bottom w:w="0" w:type="dxa"/>
            <w:right w:w="20" w:type="dxa"/>
          </w:tblCellMar>
        </w:tblPrEx>
        <w:trPr>
          <w:trHeight w:val="346" w:hRule="atLeast"/>
        </w:trPr>
        <w:tc>
          <w:tcPr>
            <w:tcW w:w="1013" w:type="dxa"/>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229"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动画连续，节奏合适，帧和帧之间的关联性要强</w:t>
            </w:r>
            <w:r>
              <w:rPr>
                <w:rFonts w:ascii="宋体" w:hAnsi="宋体" w:eastAsia="宋体" w:cs="宋体"/>
                <w:color w:val="000000"/>
                <w:sz w:val="24"/>
              </w:rPr>
              <w:t xml:space="preserve"> </w:t>
            </w:r>
          </w:p>
        </w:tc>
      </w:tr>
      <w:tr>
        <w:tblPrEx>
          <w:tblCellMar>
            <w:top w:w="51" w:type="dxa"/>
            <w:left w:w="0" w:type="dxa"/>
            <w:bottom w:w="0" w:type="dxa"/>
            <w:right w:w="20" w:type="dxa"/>
          </w:tblCellMar>
        </w:tblPrEx>
        <w:trPr>
          <w:trHeight w:val="826" w:hRule="atLeast"/>
        </w:trPr>
        <w:tc>
          <w:tcPr>
            <w:tcW w:w="1013" w:type="dxa"/>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229"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如果有解说，配音应标准，无噪音，声音悦耳，音量适当，快慢适度，并提供控制解说的开关</w:t>
            </w:r>
            <w:r>
              <w:rPr>
                <w:rFonts w:ascii="宋体" w:hAnsi="宋体" w:eastAsia="宋体" w:cs="宋体"/>
                <w:color w:val="000000"/>
                <w:sz w:val="24"/>
              </w:rPr>
              <w:t xml:space="preserve"> </w:t>
            </w:r>
          </w:p>
        </w:tc>
      </w:tr>
      <w:tr>
        <w:tblPrEx>
          <w:tblCellMar>
            <w:top w:w="51" w:type="dxa"/>
            <w:left w:w="0" w:type="dxa"/>
            <w:bottom w:w="0" w:type="dxa"/>
            <w:right w:w="20" w:type="dxa"/>
          </w:tblCellMar>
        </w:tblPrEx>
        <w:trPr>
          <w:trHeight w:val="866" w:hRule="atLeast"/>
        </w:trPr>
        <w:tc>
          <w:tcPr>
            <w:tcW w:w="1013" w:type="dxa"/>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229"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动画如果有背景音乐，背景音乐音量不宜过大，音乐与内容相符，并提供控制开关</w:t>
            </w:r>
            <w:r>
              <w:rPr>
                <w:rFonts w:ascii="宋体" w:hAnsi="宋体" w:eastAsia="宋体" w:cs="宋体"/>
                <w:color w:val="000000"/>
                <w:sz w:val="24"/>
              </w:rPr>
              <w:t xml:space="preserve"> </w:t>
            </w:r>
          </w:p>
        </w:tc>
      </w:tr>
      <w:tr>
        <w:tblPrEx>
          <w:tblCellMar>
            <w:top w:w="51" w:type="dxa"/>
            <w:left w:w="0" w:type="dxa"/>
            <w:bottom w:w="0" w:type="dxa"/>
            <w:right w:w="20" w:type="dxa"/>
          </w:tblCellMar>
        </w:tblPrEx>
        <w:trPr>
          <w:trHeight w:val="454" w:hRule="atLeast"/>
        </w:trPr>
        <w:tc>
          <w:tcPr>
            <w:tcW w:w="1013" w:type="dxa"/>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229"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动画演播过程要流畅，静止画面时间不超过</w:t>
            </w:r>
            <w:r>
              <w:rPr>
                <w:rFonts w:ascii="宋体" w:hAnsi="宋体" w:eastAsia="宋体" w:cs="宋体"/>
                <w:color w:val="000000"/>
                <w:sz w:val="24"/>
              </w:rPr>
              <w:t xml:space="preserve"> 5 </w:t>
            </w:r>
            <w:r>
              <w:rPr>
                <w:rFonts w:hint="eastAsia" w:ascii="宋体" w:hAnsi="宋体" w:eastAsia="宋体" w:cs="宋体"/>
                <w:color w:val="000000"/>
                <w:sz w:val="24"/>
              </w:rPr>
              <w:t>秒钟</w:t>
            </w:r>
            <w:r>
              <w:rPr>
                <w:rFonts w:ascii="宋体" w:hAnsi="宋体" w:eastAsia="宋体" w:cs="宋体"/>
                <w:color w:val="000000"/>
                <w:sz w:val="24"/>
              </w:rPr>
              <w:t xml:space="preserve"> </w:t>
            </w:r>
          </w:p>
        </w:tc>
      </w:tr>
      <w:tr>
        <w:tblPrEx>
          <w:tblCellMar>
            <w:top w:w="51" w:type="dxa"/>
            <w:left w:w="0" w:type="dxa"/>
            <w:bottom w:w="0" w:type="dxa"/>
            <w:right w:w="20" w:type="dxa"/>
          </w:tblCellMar>
        </w:tblPrEx>
        <w:trPr>
          <w:trHeight w:val="728" w:hRule="atLeast"/>
        </w:trPr>
        <w:tc>
          <w:tcPr>
            <w:tcW w:w="1013" w:type="dxa"/>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229"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一般情况下，应设置暂停与播放控制按钮，当动画时间较长时应设置进度拖动条</w:t>
            </w:r>
            <w:r>
              <w:rPr>
                <w:rFonts w:ascii="宋体" w:hAnsi="宋体" w:eastAsia="宋体" w:cs="宋体"/>
                <w:color w:val="000000"/>
                <w:sz w:val="24"/>
              </w:rPr>
              <w:t xml:space="preserve"> </w:t>
            </w:r>
          </w:p>
        </w:tc>
      </w:tr>
      <w:tr>
        <w:tblPrEx>
          <w:tblCellMar>
            <w:top w:w="51" w:type="dxa"/>
            <w:left w:w="0" w:type="dxa"/>
            <w:bottom w:w="0" w:type="dxa"/>
            <w:right w:w="20" w:type="dxa"/>
          </w:tblCellMar>
        </w:tblPrEx>
        <w:trPr>
          <w:trHeight w:val="734" w:hRule="atLeast"/>
        </w:trPr>
        <w:tc>
          <w:tcPr>
            <w:tcW w:w="1013" w:type="dxa"/>
            <w:vMerge w:val="restart"/>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jc w:val="left"/>
              <w:outlineLvl w:val="9"/>
              <w:rPr>
                <w:rFonts w:ascii="宋体" w:hAnsi="宋体" w:eastAsia="宋体" w:cs="宋体"/>
                <w:color w:val="000000"/>
                <w:sz w:val="24"/>
              </w:rPr>
            </w:pPr>
            <w:r>
              <w:rPr>
                <w:rFonts w:hint="eastAsia" w:ascii="宋体" w:hAnsi="宋体" w:eastAsia="宋体" w:cs="宋体"/>
                <w:color w:val="000000"/>
                <w:sz w:val="24"/>
              </w:rPr>
              <w:t>内容要求</w:t>
            </w:r>
            <w:r>
              <w:rPr>
                <w:rFonts w:ascii="宋体" w:hAnsi="宋体" w:eastAsia="宋体" w:cs="宋体"/>
                <w:color w:val="000000"/>
                <w:sz w:val="24"/>
              </w:rPr>
              <w:t xml:space="preserve"> </w:t>
            </w:r>
          </w:p>
        </w:tc>
        <w:tc>
          <w:tcPr>
            <w:tcW w:w="7229"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动画内容符合我国法律法规，尊重各民族的风俗习惯，版权不存在争议</w:t>
            </w:r>
            <w:r>
              <w:rPr>
                <w:rFonts w:ascii="宋体" w:hAnsi="宋体" w:eastAsia="宋体" w:cs="宋体"/>
                <w:color w:val="000000"/>
                <w:sz w:val="24"/>
              </w:rPr>
              <w:t xml:space="preserve"> </w:t>
            </w:r>
          </w:p>
        </w:tc>
      </w:tr>
      <w:tr>
        <w:tblPrEx>
          <w:tblCellMar>
            <w:top w:w="51" w:type="dxa"/>
            <w:left w:w="0" w:type="dxa"/>
            <w:bottom w:w="0" w:type="dxa"/>
            <w:right w:w="20" w:type="dxa"/>
          </w:tblCellMar>
        </w:tblPrEx>
        <w:trPr>
          <w:trHeight w:val="862" w:hRule="atLeast"/>
        </w:trPr>
        <w:tc>
          <w:tcPr>
            <w:tcW w:w="1013" w:type="dxa"/>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229"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若其中包含少数民族或外国语言文字信息，应遵循其原内容完整性，使用原语言进行处理</w:t>
            </w:r>
            <w:r>
              <w:rPr>
                <w:rFonts w:ascii="宋体" w:hAnsi="宋体" w:eastAsia="宋体" w:cs="宋体"/>
                <w:color w:val="000000"/>
                <w:sz w:val="24"/>
              </w:rPr>
              <w:t xml:space="preserve"> </w:t>
            </w:r>
          </w:p>
        </w:tc>
      </w:tr>
      <w:tr>
        <w:tblPrEx>
          <w:tblCellMar>
            <w:top w:w="51" w:type="dxa"/>
            <w:left w:w="0" w:type="dxa"/>
            <w:bottom w:w="0" w:type="dxa"/>
            <w:right w:w="20" w:type="dxa"/>
          </w:tblCellMar>
        </w:tblPrEx>
        <w:trPr>
          <w:trHeight w:val="422" w:hRule="atLeast"/>
        </w:trPr>
        <w:tc>
          <w:tcPr>
            <w:tcW w:w="1013" w:type="dxa"/>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229"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有明确的版权标识信息</w:t>
            </w:r>
            <w:r>
              <w:rPr>
                <w:rFonts w:ascii="宋体" w:hAnsi="宋体" w:eastAsia="宋体" w:cs="宋体"/>
                <w:color w:val="000000"/>
                <w:sz w:val="24"/>
              </w:rPr>
              <w:t xml:space="preserve"> </w:t>
            </w:r>
          </w:p>
        </w:tc>
      </w:tr>
      <w:tr>
        <w:tblPrEx>
          <w:tblCellMar>
            <w:top w:w="51" w:type="dxa"/>
            <w:left w:w="0" w:type="dxa"/>
            <w:bottom w:w="0" w:type="dxa"/>
            <w:right w:w="20" w:type="dxa"/>
          </w:tblCellMar>
        </w:tblPrEx>
        <w:trPr>
          <w:trHeight w:val="655" w:hRule="atLeast"/>
        </w:trPr>
        <w:tc>
          <w:tcPr>
            <w:tcW w:w="1013"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jc w:val="left"/>
              <w:outlineLvl w:val="9"/>
              <w:rPr>
                <w:rFonts w:ascii="宋体" w:hAnsi="宋体" w:eastAsia="宋体" w:cs="宋体"/>
                <w:color w:val="000000"/>
                <w:sz w:val="24"/>
              </w:rPr>
            </w:pPr>
            <w:r>
              <w:rPr>
                <w:rFonts w:hint="eastAsia" w:ascii="宋体" w:hAnsi="宋体" w:eastAsia="宋体" w:cs="宋体"/>
                <w:color w:val="000000"/>
                <w:sz w:val="24"/>
              </w:rPr>
              <w:t>存储格式</w:t>
            </w:r>
          </w:p>
        </w:tc>
        <w:tc>
          <w:tcPr>
            <w:tcW w:w="7229"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 </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采用</w:t>
            </w:r>
            <w:r>
              <w:rPr>
                <w:rFonts w:ascii="宋体" w:hAnsi="宋体" w:eastAsia="宋体" w:cs="宋体"/>
                <w:color w:val="000000"/>
                <w:sz w:val="24"/>
              </w:rPr>
              <w:t xml:space="preserve"> swf</w:t>
            </w:r>
            <w:r>
              <w:rPr>
                <w:rFonts w:hint="eastAsia" w:ascii="宋体" w:hAnsi="宋体" w:eastAsia="宋体" w:cs="宋体"/>
                <w:color w:val="000000"/>
                <w:sz w:val="24"/>
              </w:rPr>
              <w:t>（不低于</w:t>
            </w:r>
            <w:r>
              <w:rPr>
                <w:rFonts w:ascii="宋体" w:hAnsi="宋体" w:eastAsia="宋体" w:cs="宋体"/>
                <w:color w:val="000000"/>
                <w:sz w:val="24"/>
              </w:rPr>
              <w:t xml:space="preserve"> Flash6.0</w:t>
            </w:r>
            <w:r>
              <w:rPr>
                <w:rFonts w:hint="eastAsia" w:ascii="宋体" w:hAnsi="宋体" w:eastAsia="宋体" w:cs="宋体"/>
                <w:color w:val="000000"/>
                <w:sz w:val="24"/>
              </w:rPr>
              <w:t>）或</w:t>
            </w:r>
            <w:r>
              <w:rPr>
                <w:rFonts w:ascii="宋体" w:hAnsi="宋体" w:eastAsia="宋体" w:cs="宋体"/>
                <w:color w:val="000000"/>
                <w:sz w:val="24"/>
              </w:rPr>
              <w:t xml:space="preserve"> mp4 </w:t>
            </w:r>
            <w:r>
              <w:rPr>
                <w:rFonts w:hint="eastAsia" w:ascii="宋体" w:hAnsi="宋体" w:eastAsia="宋体" w:cs="宋体"/>
                <w:color w:val="000000"/>
                <w:sz w:val="24"/>
              </w:rPr>
              <w:t>存储格式</w:t>
            </w:r>
            <w:r>
              <w:rPr>
                <w:rFonts w:ascii="宋体" w:hAnsi="宋体" w:eastAsia="宋体" w:cs="宋体"/>
                <w:color w:val="000000"/>
                <w:sz w:val="24"/>
              </w:rPr>
              <w:t xml:space="preserve"> </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3</w:t>
      </w:r>
      <w:r>
        <w:rPr>
          <w:rFonts w:hint="eastAsia" w:ascii="宋体" w:hAnsi="宋体" w:eastAsia="宋体" w:cs="宋体"/>
          <w:color w:val="000000"/>
          <w:sz w:val="24"/>
        </w:rPr>
        <w:t>．提交要求</w:t>
      </w:r>
      <w:r>
        <w:rPr>
          <w:rFonts w:ascii="宋体" w:hAnsi="宋体" w:eastAsia="宋体" w:cs="宋体"/>
          <w:color w:val="000000"/>
          <w:sz w:val="24"/>
        </w:rPr>
        <w:t xml:space="preserve"> </w:t>
      </w:r>
    </w:p>
    <w:tbl>
      <w:tblPr>
        <w:tblStyle w:val="137"/>
        <w:tblW w:w="8333" w:type="dxa"/>
        <w:tblInd w:w="-10" w:type="dxa"/>
        <w:tblLayout w:type="autofit"/>
        <w:tblCellMar>
          <w:top w:w="43" w:type="dxa"/>
          <w:left w:w="101" w:type="dxa"/>
          <w:bottom w:w="0" w:type="dxa"/>
          <w:right w:w="0" w:type="dxa"/>
        </w:tblCellMar>
      </w:tblPr>
      <w:tblGrid>
        <w:gridCol w:w="1176"/>
        <w:gridCol w:w="7157"/>
      </w:tblGrid>
      <w:tr>
        <w:tblPrEx>
          <w:tblCellMar>
            <w:top w:w="43" w:type="dxa"/>
            <w:left w:w="101" w:type="dxa"/>
            <w:bottom w:w="0" w:type="dxa"/>
            <w:right w:w="0" w:type="dxa"/>
          </w:tblCellMar>
        </w:tblPrEx>
        <w:trPr>
          <w:trHeight w:val="346" w:hRule="atLeast"/>
        </w:trPr>
        <w:tc>
          <w:tcPr>
            <w:tcW w:w="117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jc w:val="left"/>
              <w:outlineLvl w:val="9"/>
              <w:rPr>
                <w:rFonts w:ascii="宋体" w:hAnsi="宋体" w:eastAsia="宋体" w:cs="宋体"/>
                <w:color w:val="000000"/>
                <w:sz w:val="24"/>
              </w:rPr>
            </w:pPr>
            <w:r>
              <w:rPr>
                <w:rFonts w:hint="eastAsia" w:ascii="宋体" w:hAnsi="宋体" w:eastAsia="宋体" w:cs="宋体"/>
                <w:color w:val="000000"/>
                <w:sz w:val="24"/>
              </w:rPr>
              <w:t>媒体类型</w:t>
            </w:r>
            <w:r>
              <w:rPr>
                <w:rFonts w:ascii="宋体" w:hAnsi="宋体" w:eastAsia="宋体" w:cs="宋体"/>
                <w:color w:val="000000"/>
                <w:sz w:val="24"/>
              </w:rPr>
              <w:t xml:space="preserve"> </w:t>
            </w:r>
          </w:p>
        </w:tc>
        <w:tc>
          <w:tcPr>
            <w:tcW w:w="7157"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提交要求</w:t>
            </w:r>
            <w:r>
              <w:rPr>
                <w:rFonts w:ascii="宋体" w:hAnsi="宋体" w:eastAsia="宋体" w:cs="宋体"/>
                <w:color w:val="000000"/>
                <w:sz w:val="24"/>
              </w:rPr>
              <w:t xml:space="preserve"> </w:t>
            </w:r>
          </w:p>
        </w:tc>
      </w:tr>
      <w:tr>
        <w:tblPrEx>
          <w:tblCellMar>
            <w:top w:w="43" w:type="dxa"/>
            <w:left w:w="101" w:type="dxa"/>
            <w:bottom w:w="0" w:type="dxa"/>
            <w:right w:w="0" w:type="dxa"/>
          </w:tblCellMar>
        </w:tblPrEx>
        <w:trPr>
          <w:trHeight w:val="732" w:hRule="atLeast"/>
        </w:trPr>
        <w:tc>
          <w:tcPr>
            <w:tcW w:w="1176" w:type="dxa"/>
            <w:vMerge w:val="restart"/>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动画</w:t>
            </w:r>
            <w:r>
              <w:rPr>
                <w:rFonts w:ascii="宋体" w:hAnsi="宋体" w:eastAsia="宋体" w:cs="宋体"/>
                <w:color w:val="000000"/>
                <w:sz w:val="24"/>
              </w:rPr>
              <w:t xml:space="preserve"> </w:t>
            </w:r>
          </w:p>
        </w:tc>
        <w:tc>
          <w:tcPr>
            <w:tcW w:w="7157"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保持每个动画素材的独立性，尽量不设置两个或多个动画文件之间的嵌套及链接关系</w:t>
            </w:r>
            <w:r>
              <w:rPr>
                <w:rFonts w:ascii="宋体" w:hAnsi="宋体" w:eastAsia="宋体" w:cs="宋体"/>
                <w:color w:val="000000"/>
                <w:sz w:val="24"/>
              </w:rPr>
              <w:t xml:space="preserve"> </w:t>
            </w:r>
          </w:p>
        </w:tc>
      </w:tr>
      <w:tr>
        <w:tblPrEx>
          <w:tblCellMar>
            <w:top w:w="43" w:type="dxa"/>
            <w:left w:w="101" w:type="dxa"/>
            <w:bottom w:w="0" w:type="dxa"/>
            <w:right w:w="0" w:type="dxa"/>
          </w:tblCellMar>
        </w:tblPrEx>
        <w:trPr>
          <w:trHeight w:val="643" w:hRule="atLeast"/>
        </w:trPr>
        <w:tc>
          <w:tcPr>
            <w:tcW w:w="0" w:type="auto"/>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157"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要求提交动画源文件、打过</w:t>
            </w:r>
            <w:r>
              <w:rPr>
                <w:rFonts w:ascii="宋体" w:hAnsi="宋体" w:eastAsia="宋体" w:cs="宋体"/>
                <w:color w:val="000000"/>
                <w:sz w:val="24"/>
              </w:rPr>
              <w:t xml:space="preserve"> logo </w:t>
            </w:r>
            <w:r>
              <w:rPr>
                <w:rFonts w:hint="eastAsia" w:ascii="宋体" w:hAnsi="宋体" w:eastAsia="宋体" w:cs="宋体"/>
                <w:color w:val="000000"/>
                <w:sz w:val="24"/>
              </w:rPr>
              <w:t>的可执行文件和预览文件</w:t>
            </w: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b/>
          <w:bCs/>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b/>
          <w:bCs/>
          <w:color w:val="000000"/>
          <w:sz w:val="24"/>
        </w:rPr>
      </w:pPr>
      <w:r>
        <w:rPr>
          <w:rFonts w:hint="eastAsia" w:ascii="宋体" w:hAnsi="宋体" w:eastAsia="宋体" w:cs="宋体"/>
          <w:b/>
          <w:bCs/>
          <w:color w:val="000000"/>
          <w:sz w:val="24"/>
        </w:rPr>
        <w:t>（六）虚拟仿真类素材</w:t>
      </w:r>
      <w:r>
        <w:rPr>
          <w:rFonts w:ascii="宋体" w:hAnsi="宋体" w:eastAsia="宋体" w:cs="宋体"/>
          <w:b/>
          <w:bCs/>
          <w:color w:val="000000"/>
          <w:sz w:val="24"/>
        </w:rPr>
        <w:t xml:space="preserve"> </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1</w:t>
      </w:r>
      <w:r>
        <w:rPr>
          <w:rFonts w:hint="eastAsia" w:ascii="宋体" w:hAnsi="宋体" w:eastAsia="宋体" w:cs="宋体"/>
          <w:color w:val="000000"/>
          <w:sz w:val="24"/>
        </w:rPr>
        <w:t>．文件格式</w:t>
      </w:r>
      <w:r>
        <w:rPr>
          <w:rFonts w:ascii="宋体" w:hAnsi="宋体" w:eastAsia="宋体" w:cs="宋体"/>
          <w:color w:val="000000"/>
          <w:sz w:val="24"/>
        </w:rPr>
        <w:t xml:space="preserve"> </w:t>
      </w:r>
    </w:p>
    <w:tbl>
      <w:tblPr>
        <w:tblStyle w:val="137"/>
        <w:tblW w:w="8327" w:type="dxa"/>
        <w:tblInd w:w="-10" w:type="dxa"/>
        <w:tblLayout w:type="autofit"/>
        <w:tblCellMar>
          <w:top w:w="43" w:type="dxa"/>
          <w:left w:w="103" w:type="dxa"/>
          <w:bottom w:w="0" w:type="dxa"/>
          <w:right w:w="17" w:type="dxa"/>
        </w:tblCellMar>
      </w:tblPr>
      <w:tblGrid>
        <w:gridCol w:w="1344"/>
        <w:gridCol w:w="1769"/>
        <w:gridCol w:w="5214"/>
      </w:tblGrid>
      <w:tr>
        <w:tblPrEx>
          <w:tblCellMar>
            <w:top w:w="43" w:type="dxa"/>
            <w:left w:w="103" w:type="dxa"/>
            <w:bottom w:w="0" w:type="dxa"/>
            <w:right w:w="17" w:type="dxa"/>
          </w:tblCellMar>
        </w:tblPrEx>
        <w:trPr>
          <w:trHeight w:val="449" w:hRule="atLeast"/>
        </w:trPr>
        <w:tc>
          <w:tcPr>
            <w:tcW w:w="1344"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jc w:val="left"/>
              <w:outlineLvl w:val="9"/>
              <w:rPr>
                <w:rFonts w:ascii="宋体" w:hAnsi="宋体" w:eastAsia="宋体" w:cs="宋体"/>
                <w:color w:val="000000"/>
                <w:sz w:val="24"/>
              </w:rPr>
            </w:pPr>
            <w:r>
              <w:rPr>
                <w:rFonts w:hint="eastAsia" w:ascii="宋体" w:hAnsi="宋体" w:eastAsia="宋体" w:cs="宋体"/>
                <w:color w:val="000000"/>
                <w:sz w:val="24"/>
              </w:rPr>
              <w:t>媒体类型</w:t>
            </w:r>
            <w:r>
              <w:rPr>
                <w:rFonts w:ascii="宋体" w:hAnsi="宋体" w:eastAsia="宋体" w:cs="宋体"/>
                <w:color w:val="000000"/>
                <w:sz w:val="24"/>
              </w:rPr>
              <w:t xml:space="preserve"> </w:t>
            </w:r>
          </w:p>
        </w:tc>
        <w:tc>
          <w:tcPr>
            <w:tcW w:w="1769"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扩展名</w:t>
            </w:r>
            <w:r>
              <w:rPr>
                <w:rFonts w:ascii="宋体" w:hAnsi="宋体" w:eastAsia="宋体" w:cs="宋体"/>
                <w:color w:val="000000"/>
                <w:sz w:val="24"/>
              </w:rPr>
              <w:t xml:space="preserve"> </w:t>
            </w:r>
          </w:p>
        </w:tc>
        <w:tc>
          <w:tcPr>
            <w:tcW w:w="5214"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说</w:t>
            </w:r>
            <w:r>
              <w:rPr>
                <w:rFonts w:ascii="宋体" w:hAnsi="宋体" w:eastAsia="宋体" w:cs="宋体"/>
                <w:color w:val="000000"/>
                <w:sz w:val="24"/>
              </w:rPr>
              <w:t xml:space="preserve"> </w:t>
            </w:r>
            <w:r>
              <w:rPr>
                <w:rFonts w:hint="eastAsia" w:ascii="宋体" w:hAnsi="宋体" w:eastAsia="宋体" w:cs="宋体"/>
                <w:color w:val="000000"/>
                <w:sz w:val="24"/>
              </w:rPr>
              <w:t>明</w:t>
            </w:r>
            <w:r>
              <w:rPr>
                <w:rFonts w:ascii="宋体" w:hAnsi="宋体" w:eastAsia="宋体" w:cs="宋体"/>
                <w:color w:val="000000"/>
                <w:sz w:val="24"/>
              </w:rPr>
              <w:t xml:space="preserve"> </w:t>
            </w:r>
          </w:p>
        </w:tc>
      </w:tr>
      <w:tr>
        <w:tblPrEx>
          <w:tblCellMar>
            <w:top w:w="43" w:type="dxa"/>
            <w:left w:w="103" w:type="dxa"/>
            <w:bottom w:w="0" w:type="dxa"/>
            <w:right w:w="17" w:type="dxa"/>
          </w:tblCellMar>
        </w:tblPrEx>
        <w:trPr>
          <w:trHeight w:val="955" w:hRule="atLeast"/>
        </w:trPr>
        <w:tc>
          <w:tcPr>
            <w:tcW w:w="1344"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jc w:val="left"/>
              <w:outlineLvl w:val="9"/>
              <w:rPr>
                <w:rFonts w:ascii="宋体" w:hAnsi="宋体" w:eastAsia="宋体" w:cs="宋体"/>
                <w:color w:val="000000"/>
                <w:sz w:val="24"/>
              </w:rPr>
            </w:pPr>
            <w:r>
              <w:rPr>
                <w:rFonts w:hint="eastAsia" w:ascii="宋体" w:hAnsi="宋体" w:eastAsia="宋体" w:cs="宋体"/>
                <w:color w:val="000000"/>
                <w:sz w:val="24"/>
              </w:rPr>
              <w:t>虚拟仿真</w:t>
            </w:r>
            <w:r>
              <w:rPr>
                <w:rFonts w:ascii="宋体" w:hAnsi="宋体" w:eastAsia="宋体" w:cs="宋体"/>
                <w:color w:val="000000"/>
                <w:sz w:val="24"/>
              </w:rPr>
              <w:t xml:space="preserve"> </w:t>
            </w:r>
          </w:p>
        </w:tc>
        <w:tc>
          <w:tcPr>
            <w:tcW w:w="1769"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不限</w:t>
            </w:r>
            <w:r>
              <w:rPr>
                <w:rFonts w:ascii="宋体" w:hAnsi="宋体" w:eastAsia="宋体" w:cs="宋体"/>
                <w:color w:val="000000"/>
                <w:sz w:val="24"/>
              </w:rPr>
              <w:t xml:space="preserve"> </w:t>
            </w:r>
          </w:p>
        </w:tc>
        <w:tc>
          <w:tcPr>
            <w:tcW w:w="5214"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可以有多种开发平台，如三维的</w:t>
            </w:r>
            <w:r>
              <w:rPr>
                <w:rFonts w:ascii="宋体" w:hAnsi="宋体" w:eastAsia="宋体" w:cs="宋体"/>
                <w:color w:val="000000"/>
                <w:sz w:val="24"/>
              </w:rPr>
              <w:t xml:space="preserve"> Virtools</w:t>
            </w:r>
            <w:r>
              <w:rPr>
                <w:rFonts w:hint="eastAsia" w:ascii="宋体" w:hAnsi="宋体" w:eastAsia="宋体" w:cs="宋体"/>
                <w:color w:val="000000"/>
                <w:sz w:val="24"/>
              </w:rPr>
              <w:t>、</w:t>
            </w:r>
            <w:r>
              <w:rPr>
                <w:rFonts w:ascii="宋体" w:hAnsi="宋体" w:eastAsia="宋体" w:cs="宋体"/>
                <w:color w:val="000000"/>
                <w:sz w:val="24"/>
              </w:rPr>
              <w:t xml:space="preserve"> Quest3D</w:t>
            </w:r>
            <w:r>
              <w:rPr>
                <w:rFonts w:hint="eastAsia" w:ascii="宋体" w:hAnsi="宋体" w:eastAsia="宋体" w:cs="宋体"/>
                <w:color w:val="000000"/>
                <w:sz w:val="24"/>
              </w:rPr>
              <w:t>、</w:t>
            </w:r>
            <w:r>
              <w:rPr>
                <w:rFonts w:ascii="宋体" w:hAnsi="宋体" w:eastAsia="宋体" w:cs="宋体"/>
                <w:color w:val="000000"/>
                <w:sz w:val="24"/>
              </w:rPr>
              <w:t>Vrp</w:t>
            </w:r>
            <w:r>
              <w:rPr>
                <w:rFonts w:hint="eastAsia" w:ascii="宋体" w:hAnsi="宋体" w:eastAsia="宋体" w:cs="宋体"/>
                <w:color w:val="000000"/>
                <w:sz w:val="24"/>
              </w:rPr>
              <w:t>，二维的</w:t>
            </w:r>
            <w:r>
              <w:rPr>
                <w:rFonts w:ascii="宋体" w:hAnsi="宋体" w:eastAsia="宋体" w:cs="宋体"/>
                <w:color w:val="000000"/>
                <w:sz w:val="24"/>
              </w:rPr>
              <w:t xml:space="preserve"> Flash </w:t>
            </w:r>
            <w:r>
              <w:rPr>
                <w:rFonts w:hint="eastAsia" w:ascii="宋体" w:hAnsi="宋体" w:eastAsia="宋体" w:cs="宋体"/>
                <w:color w:val="000000"/>
                <w:sz w:val="24"/>
              </w:rPr>
              <w:t>等，因此允许多种格式，但应能在一般环境下运行</w:t>
            </w: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2</w:t>
      </w:r>
      <w:r>
        <w:rPr>
          <w:rFonts w:hint="eastAsia" w:ascii="宋体" w:hAnsi="宋体" w:eastAsia="宋体" w:cs="宋体"/>
          <w:color w:val="000000"/>
          <w:sz w:val="24"/>
        </w:rPr>
        <w:t>．技术要求</w:t>
      </w:r>
      <w:r>
        <w:rPr>
          <w:rFonts w:ascii="宋体" w:hAnsi="宋体" w:eastAsia="宋体" w:cs="宋体"/>
          <w:color w:val="000000"/>
          <w:sz w:val="24"/>
        </w:rPr>
        <w:t xml:space="preserve"> </w:t>
      </w:r>
    </w:p>
    <w:tbl>
      <w:tblPr>
        <w:tblStyle w:val="137"/>
        <w:tblW w:w="8237" w:type="dxa"/>
        <w:tblInd w:w="-5" w:type="dxa"/>
        <w:tblLayout w:type="autofit"/>
        <w:tblCellMar>
          <w:top w:w="43" w:type="dxa"/>
          <w:left w:w="0" w:type="dxa"/>
          <w:bottom w:w="0" w:type="dxa"/>
          <w:right w:w="0" w:type="dxa"/>
        </w:tblCellMar>
      </w:tblPr>
      <w:tblGrid>
        <w:gridCol w:w="710"/>
        <w:gridCol w:w="7527"/>
      </w:tblGrid>
      <w:tr>
        <w:tblPrEx>
          <w:tblCellMar>
            <w:top w:w="43" w:type="dxa"/>
            <w:left w:w="0" w:type="dxa"/>
            <w:bottom w:w="0" w:type="dxa"/>
            <w:right w:w="0" w:type="dxa"/>
          </w:tblCellMar>
        </w:tblPrEx>
        <w:trPr>
          <w:trHeight w:val="346" w:hRule="atLeast"/>
        </w:trPr>
        <w:tc>
          <w:tcPr>
            <w:tcW w:w="8237" w:type="dxa"/>
            <w:gridSpan w:val="2"/>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            </w:t>
            </w:r>
            <w:r>
              <w:rPr>
                <w:rFonts w:hint="eastAsia" w:ascii="宋体" w:hAnsi="宋体" w:eastAsia="宋体" w:cs="宋体"/>
                <w:color w:val="000000"/>
                <w:sz w:val="24"/>
              </w:rPr>
              <w:t>技术要求</w:t>
            </w:r>
            <w:r>
              <w:rPr>
                <w:rFonts w:ascii="宋体" w:hAnsi="宋体" w:eastAsia="宋体" w:cs="宋体"/>
                <w:color w:val="000000"/>
                <w:sz w:val="24"/>
              </w:rPr>
              <w:t xml:space="preserve"> </w:t>
            </w:r>
          </w:p>
        </w:tc>
      </w:tr>
      <w:tr>
        <w:tblPrEx>
          <w:tblCellMar>
            <w:top w:w="43" w:type="dxa"/>
            <w:left w:w="0" w:type="dxa"/>
            <w:bottom w:w="0" w:type="dxa"/>
            <w:right w:w="0" w:type="dxa"/>
          </w:tblCellMar>
        </w:tblPrEx>
        <w:trPr>
          <w:trHeight w:val="955" w:hRule="atLeast"/>
        </w:trPr>
        <w:tc>
          <w:tcPr>
            <w:tcW w:w="571" w:type="dxa"/>
            <w:vMerge w:val="restart"/>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jc w:val="left"/>
              <w:outlineLvl w:val="9"/>
              <w:rPr>
                <w:rFonts w:ascii="宋体" w:hAnsi="宋体" w:eastAsia="宋体" w:cs="宋体"/>
                <w:color w:val="000000"/>
                <w:sz w:val="24"/>
              </w:rPr>
            </w:pPr>
            <w:r>
              <w:rPr>
                <w:rFonts w:hint="eastAsia" w:ascii="宋体" w:hAnsi="宋体" w:eastAsia="宋体" w:cs="宋体"/>
                <w:color w:val="000000"/>
                <w:sz w:val="24"/>
              </w:rPr>
              <w:t>内容要求</w:t>
            </w:r>
            <w:r>
              <w:rPr>
                <w:rFonts w:ascii="宋体" w:hAnsi="宋体" w:eastAsia="宋体" w:cs="宋体"/>
                <w:color w:val="000000"/>
                <w:sz w:val="24"/>
              </w:rPr>
              <w:t xml:space="preserve"> </w:t>
            </w:r>
          </w:p>
        </w:tc>
        <w:tc>
          <w:tcPr>
            <w:tcW w:w="766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应具有漫游（职业场景、设施设备）、演示（操作规程、安全禁忌）、互动（设备拆装、仪器操作）、考核（过程操作、故障排除）中的一种或多种功能</w:t>
            </w:r>
            <w:r>
              <w:rPr>
                <w:rFonts w:ascii="宋体" w:hAnsi="宋体" w:eastAsia="宋体" w:cs="宋体"/>
                <w:color w:val="000000"/>
                <w:sz w:val="24"/>
              </w:rPr>
              <w:t xml:space="preserve"> </w:t>
            </w:r>
          </w:p>
        </w:tc>
      </w:tr>
      <w:tr>
        <w:tblPrEx>
          <w:tblCellMar>
            <w:top w:w="43" w:type="dxa"/>
            <w:left w:w="0" w:type="dxa"/>
            <w:bottom w:w="0" w:type="dxa"/>
            <w:right w:w="0" w:type="dxa"/>
          </w:tblCellMar>
        </w:tblPrEx>
        <w:trPr>
          <w:trHeight w:val="641"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66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jc w:val="left"/>
              <w:outlineLvl w:val="9"/>
              <w:rPr>
                <w:rFonts w:ascii="宋体" w:hAnsi="宋体" w:eastAsia="宋体" w:cs="宋体"/>
                <w:color w:val="000000"/>
                <w:sz w:val="24"/>
              </w:rPr>
            </w:pPr>
            <w:r>
              <w:rPr>
                <w:rFonts w:hint="eastAsia" w:ascii="宋体" w:hAnsi="宋体" w:eastAsia="宋体" w:cs="宋体"/>
                <w:color w:val="000000"/>
                <w:sz w:val="24"/>
              </w:rPr>
              <w:t>内容符合职业标准、技术规范、业务规程和行业属性，无科学性错误</w:t>
            </w:r>
            <w:r>
              <w:rPr>
                <w:rFonts w:ascii="宋体" w:hAnsi="宋体" w:eastAsia="宋体" w:cs="宋体"/>
                <w:color w:val="000000"/>
                <w:sz w:val="24"/>
              </w:rPr>
              <w:t xml:space="preserve"> </w:t>
            </w:r>
          </w:p>
        </w:tc>
      </w:tr>
      <w:tr>
        <w:tblPrEx>
          <w:tblCellMar>
            <w:top w:w="43" w:type="dxa"/>
            <w:left w:w="0" w:type="dxa"/>
            <w:bottom w:w="0" w:type="dxa"/>
            <w:right w:w="0" w:type="dxa"/>
          </w:tblCellMar>
        </w:tblPrEx>
        <w:trPr>
          <w:trHeight w:val="331"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66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内容符合我国法律法规，尊重各民族风俗习惯，版权不存在争议</w:t>
            </w:r>
          </w:p>
        </w:tc>
      </w:tr>
      <w:tr>
        <w:tblPrEx>
          <w:tblCellMar>
            <w:top w:w="43" w:type="dxa"/>
            <w:left w:w="0" w:type="dxa"/>
            <w:bottom w:w="0" w:type="dxa"/>
            <w:right w:w="0" w:type="dxa"/>
          </w:tblCellMar>
        </w:tblPrEx>
        <w:trPr>
          <w:trHeight w:val="643"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66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若其中包含少数民族或外国语言文字信息，应遵循其原内容完整性，使用原语言进行处理</w:t>
            </w:r>
            <w:r>
              <w:rPr>
                <w:rFonts w:ascii="宋体" w:hAnsi="宋体" w:eastAsia="宋体" w:cs="宋体"/>
                <w:color w:val="000000"/>
                <w:sz w:val="24"/>
              </w:rPr>
              <w:t xml:space="preserve"> </w:t>
            </w:r>
          </w:p>
        </w:tc>
      </w:tr>
      <w:tr>
        <w:tblPrEx>
          <w:tblCellMar>
            <w:top w:w="43" w:type="dxa"/>
            <w:left w:w="0" w:type="dxa"/>
            <w:bottom w:w="0" w:type="dxa"/>
            <w:right w:w="0" w:type="dxa"/>
          </w:tblCellMar>
        </w:tblPrEx>
        <w:trPr>
          <w:trHeight w:val="331" w:hRule="atLeast"/>
        </w:trPr>
        <w:tc>
          <w:tcPr>
            <w:tcW w:w="0" w:type="auto"/>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66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有明确的版权标识信息</w:t>
            </w:r>
            <w:r>
              <w:rPr>
                <w:rFonts w:ascii="宋体" w:hAnsi="宋体" w:eastAsia="宋体" w:cs="宋体"/>
                <w:color w:val="000000"/>
                <w:sz w:val="24"/>
              </w:rPr>
              <w:t xml:space="preserve"> </w:t>
            </w:r>
          </w:p>
        </w:tc>
      </w:tr>
      <w:tr>
        <w:tblPrEx>
          <w:tblCellMar>
            <w:top w:w="43" w:type="dxa"/>
            <w:left w:w="0" w:type="dxa"/>
            <w:bottom w:w="0" w:type="dxa"/>
            <w:right w:w="0" w:type="dxa"/>
          </w:tblCellMar>
        </w:tblPrEx>
        <w:trPr>
          <w:trHeight w:val="362" w:hRule="atLeast"/>
        </w:trPr>
        <w:tc>
          <w:tcPr>
            <w:tcW w:w="571" w:type="dxa"/>
            <w:vMerge w:val="restart"/>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jc w:val="left"/>
              <w:outlineLvl w:val="9"/>
              <w:rPr>
                <w:rFonts w:ascii="宋体" w:hAnsi="宋体" w:eastAsia="宋体" w:cs="宋体"/>
                <w:color w:val="000000"/>
                <w:sz w:val="24"/>
              </w:rPr>
            </w:pPr>
            <w:r>
              <w:rPr>
                <w:rFonts w:hint="eastAsia" w:ascii="宋体" w:hAnsi="宋体" w:eastAsia="宋体" w:cs="宋体"/>
                <w:color w:val="000000"/>
                <w:sz w:val="24"/>
              </w:rPr>
              <w:t>品质要求</w:t>
            </w:r>
            <w:r>
              <w:rPr>
                <w:rFonts w:ascii="宋体" w:hAnsi="宋体" w:eastAsia="宋体" w:cs="宋体"/>
                <w:color w:val="000000"/>
                <w:sz w:val="24"/>
              </w:rPr>
              <w:t xml:space="preserve"> </w:t>
            </w:r>
          </w:p>
        </w:tc>
        <w:tc>
          <w:tcPr>
            <w:tcW w:w="766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画面逼真，色彩、形状、声音、位置等高度符合实物的特征</w:t>
            </w:r>
            <w:r>
              <w:rPr>
                <w:rFonts w:ascii="宋体" w:hAnsi="宋体" w:eastAsia="宋体" w:cs="宋体"/>
                <w:color w:val="000000"/>
                <w:sz w:val="24"/>
              </w:rPr>
              <w:t xml:space="preserve"> </w:t>
            </w:r>
          </w:p>
        </w:tc>
      </w:tr>
      <w:tr>
        <w:tblPrEx>
          <w:tblCellMar>
            <w:top w:w="43" w:type="dxa"/>
            <w:left w:w="0" w:type="dxa"/>
            <w:bottom w:w="0" w:type="dxa"/>
            <w:right w:w="0" w:type="dxa"/>
          </w:tblCellMar>
        </w:tblPrEx>
        <w:trPr>
          <w:trHeight w:val="331"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66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界面友好，交互设计合理，操作简单</w:t>
            </w:r>
            <w:r>
              <w:rPr>
                <w:rFonts w:ascii="宋体" w:hAnsi="宋体" w:eastAsia="宋体" w:cs="宋体"/>
                <w:color w:val="000000"/>
                <w:sz w:val="24"/>
              </w:rPr>
              <w:t xml:space="preserve"> </w:t>
            </w:r>
          </w:p>
        </w:tc>
      </w:tr>
      <w:tr>
        <w:tblPrEx>
          <w:tblCellMar>
            <w:top w:w="43" w:type="dxa"/>
            <w:left w:w="0" w:type="dxa"/>
            <w:bottom w:w="0" w:type="dxa"/>
            <w:right w:w="0" w:type="dxa"/>
          </w:tblCellMar>
        </w:tblPrEx>
        <w:trPr>
          <w:trHeight w:val="643"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66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如果有解说，配音应标准，无噪音，声音悦耳，音量适当，快慢，适度并提供控制解说的开关</w:t>
            </w:r>
            <w:r>
              <w:rPr>
                <w:rFonts w:ascii="宋体" w:hAnsi="宋体" w:eastAsia="宋体" w:cs="宋体"/>
                <w:color w:val="000000"/>
                <w:sz w:val="24"/>
              </w:rPr>
              <w:t xml:space="preserve"> </w:t>
            </w:r>
          </w:p>
        </w:tc>
      </w:tr>
      <w:tr>
        <w:tblPrEx>
          <w:tblCellMar>
            <w:top w:w="43" w:type="dxa"/>
            <w:left w:w="0" w:type="dxa"/>
            <w:bottom w:w="0" w:type="dxa"/>
            <w:right w:w="0" w:type="dxa"/>
          </w:tblCellMar>
        </w:tblPrEx>
        <w:trPr>
          <w:trHeight w:val="643" w:hRule="atLeast"/>
        </w:trPr>
        <w:tc>
          <w:tcPr>
            <w:tcW w:w="0" w:type="auto"/>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66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如果有背景音乐，背景音乐音量不宜过大，音乐与内容相符，并提供控制开关</w:t>
            </w:r>
            <w:r>
              <w:rPr>
                <w:rFonts w:ascii="宋体" w:hAnsi="宋体" w:eastAsia="宋体" w:cs="宋体"/>
                <w:color w:val="000000"/>
                <w:sz w:val="24"/>
              </w:rPr>
              <w:t xml:space="preserve"> </w:t>
            </w:r>
          </w:p>
        </w:tc>
      </w:tr>
      <w:tr>
        <w:tblPrEx>
          <w:tblCellMar>
            <w:top w:w="43" w:type="dxa"/>
            <w:left w:w="0" w:type="dxa"/>
            <w:bottom w:w="0" w:type="dxa"/>
            <w:right w:w="0" w:type="dxa"/>
          </w:tblCellMar>
        </w:tblPrEx>
        <w:trPr>
          <w:trHeight w:val="653" w:hRule="atLeast"/>
        </w:trPr>
        <w:tc>
          <w:tcPr>
            <w:tcW w:w="571"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其</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他</w:t>
            </w:r>
            <w:r>
              <w:rPr>
                <w:rFonts w:ascii="宋体" w:hAnsi="宋体" w:eastAsia="宋体" w:cs="宋体"/>
                <w:color w:val="000000"/>
                <w:sz w:val="24"/>
              </w:rPr>
              <w:t xml:space="preserve"> </w:t>
            </w:r>
          </w:p>
        </w:tc>
        <w:tc>
          <w:tcPr>
            <w:tcW w:w="7666"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如有考核功能，还须有后台服务器支撑</w:t>
            </w: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3</w:t>
      </w:r>
      <w:r>
        <w:rPr>
          <w:rFonts w:hint="eastAsia" w:ascii="宋体" w:hAnsi="宋体" w:eastAsia="宋体" w:cs="宋体"/>
          <w:color w:val="000000"/>
          <w:sz w:val="24"/>
        </w:rPr>
        <w:t>．提交要求</w:t>
      </w:r>
      <w:r>
        <w:rPr>
          <w:rFonts w:ascii="宋体" w:hAnsi="宋体" w:eastAsia="宋体" w:cs="宋体"/>
          <w:color w:val="000000"/>
          <w:sz w:val="24"/>
        </w:rPr>
        <w:t xml:space="preserve"> </w:t>
      </w:r>
    </w:p>
    <w:tbl>
      <w:tblPr>
        <w:tblStyle w:val="137"/>
        <w:tblW w:w="8279" w:type="dxa"/>
        <w:tblInd w:w="-7" w:type="dxa"/>
        <w:tblLayout w:type="autofit"/>
        <w:tblCellMar>
          <w:top w:w="70" w:type="dxa"/>
          <w:left w:w="50" w:type="dxa"/>
          <w:bottom w:w="0" w:type="dxa"/>
          <w:right w:w="101" w:type="dxa"/>
        </w:tblCellMar>
      </w:tblPr>
      <w:tblGrid>
        <w:gridCol w:w="1702"/>
        <w:gridCol w:w="6577"/>
      </w:tblGrid>
      <w:tr>
        <w:tblPrEx>
          <w:tblCellMar>
            <w:top w:w="70" w:type="dxa"/>
            <w:left w:w="50" w:type="dxa"/>
            <w:bottom w:w="0" w:type="dxa"/>
            <w:right w:w="101" w:type="dxa"/>
          </w:tblCellMar>
        </w:tblPrEx>
        <w:trPr>
          <w:trHeight w:val="382" w:hRule="atLeast"/>
        </w:trPr>
        <w:tc>
          <w:tcPr>
            <w:tcW w:w="1702"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媒体类型</w:t>
            </w:r>
            <w:r>
              <w:rPr>
                <w:rFonts w:ascii="宋体" w:hAnsi="宋体" w:eastAsia="宋体" w:cs="宋体"/>
                <w:color w:val="000000"/>
                <w:sz w:val="24"/>
              </w:rPr>
              <w:t xml:space="preserve"> </w:t>
            </w:r>
          </w:p>
        </w:tc>
        <w:tc>
          <w:tcPr>
            <w:tcW w:w="6577"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提交要求</w:t>
            </w:r>
            <w:r>
              <w:rPr>
                <w:rFonts w:ascii="宋体" w:hAnsi="宋体" w:eastAsia="宋体" w:cs="宋体"/>
                <w:color w:val="000000"/>
                <w:sz w:val="24"/>
              </w:rPr>
              <w:t xml:space="preserve"> </w:t>
            </w:r>
          </w:p>
        </w:tc>
      </w:tr>
      <w:tr>
        <w:tblPrEx>
          <w:tblCellMar>
            <w:top w:w="70" w:type="dxa"/>
            <w:left w:w="50" w:type="dxa"/>
            <w:bottom w:w="0" w:type="dxa"/>
            <w:right w:w="101" w:type="dxa"/>
          </w:tblCellMar>
        </w:tblPrEx>
        <w:trPr>
          <w:trHeight w:val="713" w:hRule="atLeast"/>
        </w:trPr>
        <w:tc>
          <w:tcPr>
            <w:tcW w:w="1702"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虚拟仿真</w:t>
            </w:r>
            <w:r>
              <w:rPr>
                <w:rFonts w:ascii="宋体" w:hAnsi="宋体" w:eastAsia="宋体" w:cs="宋体"/>
                <w:color w:val="000000"/>
                <w:sz w:val="24"/>
              </w:rPr>
              <w:t xml:space="preserve"> </w:t>
            </w:r>
          </w:p>
        </w:tc>
        <w:tc>
          <w:tcPr>
            <w:tcW w:w="6577"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除提交源文件外，还需提交能以单个文件呈现的预览文件（演示版）或预览图</w:t>
            </w: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b/>
          <w:bCs/>
          <w:color w:val="000000"/>
          <w:sz w:val="24"/>
        </w:rPr>
      </w:pPr>
      <w:r>
        <w:rPr>
          <w:rFonts w:hint="eastAsia" w:ascii="宋体" w:hAnsi="宋体" w:eastAsia="宋体" w:cs="宋体"/>
          <w:b/>
          <w:bCs/>
          <w:color w:val="000000"/>
          <w:sz w:val="24"/>
        </w:rPr>
        <w:t>（七）</w:t>
      </w:r>
      <w:r>
        <w:rPr>
          <w:rFonts w:ascii="宋体" w:hAnsi="宋体" w:eastAsia="宋体" w:cs="宋体"/>
          <w:b/>
          <w:bCs/>
          <w:color w:val="000000"/>
          <w:sz w:val="24"/>
        </w:rPr>
        <w:t xml:space="preserve">PPT </w:t>
      </w:r>
      <w:r>
        <w:rPr>
          <w:rFonts w:hint="eastAsia" w:ascii="宋体" w:hAnsi="宋体" w:eastAsia="宋体" w:cs="宋体"/>
          <w:b/>
          <w:bCs/>
          <w:color w:val="000000"/>
          <w:sz w:val="24"/>
        </w:rPr>
        <w:t>演示文稿</w:t>
      </w:r>
      <w:r>
        <w:rPr>
          <w:rFonts w:ascii="宋体" w:hAnsi="宋体" w:eastAsia="宋体" w:cs="宋体"/>
          <w:b/>
          <w:bCs/>
          <w:color w:val="000000"/>
          <w:sz w:val="24"/>
        </w:rPr>
        <w:t xml:space="preserve"> </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1.</w:t>
      </w:r>
      <w:r>
        <w:rPr>
          <w:rFonts w:hint="eastAsia" w:ascii="宋体" w:hAnsi="宋体" w:eastAsia="宋体" w:cs="宋体"/>
          <w:color w:val="000000"/>
          <w:sz w:val="24"/>
        </w:rPr>
        <w:t>文件格式</w:t>
      </w:r>
      <w:r>
        <w:rPr>
          <w:rFonts w:ascii="宋体" w:hAnsi="宋体" w:eastAsia="宋体" w:cs="宋体"/>
          <w:color w:val="000000"/>
          <w:sz w:val="24"/>
        </w:rPr>
        <w:t xml:space="preserve"> </w:t>
      </w:r>
    </w:p>
    <w:tbl>
      <w:tblPr>
        <w:tblStyle w:val="137"/>
        <w:tblW w:w="8327" w:type="dxa"/>
        <w:tblInd w:w="-10" w:type="dxa"/>
        <w:tblLayout w:type="autofit"/>
        <w:tblCellMar>
          <w:top w:w="0" w:type="dxa"/>
          <w:left w:w="46" w:type="dxa"/>
          <w:bottom w:w="0" w:type="dxa"/>
          <w:right w:w="113" w:type="dxa"/>
        </w:tblCellMar>
      </w:tblPr>
      <w:tblGrid>
        <w:gridCol w:w="2777"/>
        <w:gridCol w:w="3188"/>
        <w:gridCol w:w="2362"/>
      </w:tblGrid>
      <w:tr>
        <w:tblPrEx>
          <w:tblCellMar>
            <w:top w:w="0" w:type="dxa"/>
            <w:left w:w="46" w:type="dxa"/>
            <w:bottom w:w="0" w:type="dxa"/>
            <w:right w:w="113" w:type="dxa"/>
          </w:tblCellMar>
        </w:tblPrEx>
        <w:trPr>
          <w:trHeight w:val="442" w:hRule="atLeast"/>
        </w:trPr>
        <w:tc>
          <w:tcPr>
            <w:tcW w:w="2777"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媒体类型</w:t>
            </w:r>
            <w:r>
              <w:rPr>
                <w:rFonts w:ascii="宋体" w:hAnsi="宋体" w:eastAsia="宋体" w:cs="宋体"/>
                <w:color w:val="000000"/>
                <w:sz w:val="24"/>
              </w:rPr>
              <w:t xml:space="preserve"> </w:t>
            </w:r>
          </w:p>
        </w:tc>
        <w:tc>
          <w:tcPr>
            <w:tcW w:w="3188"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扩展名</w:t>
            </w:r>
            <w:r>
              <w:rPr>
                <w:rFonts w:ascii="宋体" w:hAnsi="宋体" w:eastAsia="宋体" w:cs="宋体"/>
                <w:color w:val="000000"/>
                <w:sz w:val="24"/>
              </w:rPr>
              <w:t xml:space="preserve"> </w:t>
            </w:r>
          </w:p>
        </w:tc>
        <w:tc>
          <w:tcPr>
            <w:tcW w:w="2362"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说</w:t>
            </w:r>
            <w:r>
              <w:rPr>
                <w:rFonts w:ascii="宋体" w:hAnsi="宋体" w:eastAsia="宋体" w:cs="宋体"/>
                <w:color w:val="000000"/>
                <w:sz w:val="24"/>
              </w:rPr>
              <w:t xml:space="preserve"> </w:t>
            </w:r>
            <w:r>
              <w:rPr>
                <w:rFonts w:hint="eastAsia" w:ascii="宋体" w:hAnsi="宋体" w:eastAsia="宋体" w:cs="宋体"/>
                <w:color w:val="000000"/>
                <w:sz w:val="24"/>
              </w:rPr>
              <w:t>明</w:t>
            </w:r>
            <w:r>
              <w:rPr>
                <w:rFonts w:ascii="宋体" w:hAnsi="宋体" w:eastAsia="宋体" w:cs="宋体"/>
                <w:color w:val="000000"/>
                <w:sz w:val="24"/>
              </w:rPr>
              <w:t xml:space="preserve"> </w:t>
            </w:r>
          </w:p>
        </w:tc>
      </w:tr>
      <w:tr>
        <w:tblPrEx>
          <w:tblCellMar>
            <w:top w:w="0" w:type="dxa"/>
            <w:left w:w="46" w:type="dxa"/>
            <w:bottom w:w="0" w:type="dxa"/>
            <w:right w:w="113" w:type="dxa"/>
          </w:tblCellMar>
        </w:tblPrEx>
        <w:trPr>
          <w:trHeight w:val="800" w:hRule="atLeast"/>
        </w:trPr>
        <w:tc>
          <w:tcPr>
            <w:tcW w:w="2777"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   PPT </w:t>
            </w:r>
            <w:r>
              <w:rPr>
                <w:rFonts w:hint="eastAsia" w:ascii="宋体" w:hAnsi="宋体" w:eastAsia="宋体" w:cs="宋体"/>
                <w:color w:val="000000"/>
                <w:sz w:val="24"/>
              </w:rPr>
              <w:t>演示文稿</w:t>
            </w:r>
            <w:r>
              <w:rPr>
                <w:rFonts w:ascii="宋体" w:hAnsi="宋体" w:eastAsia="宋体" w:cs="宋体"/>
                <w:color w:val="000000"/>
                <w:sz w:val="24"/>
              </w:rPr>
              <w:t xml:space="preserve"> </w:t>
            </w:r>
          </w:p>
        </w:tc>
        <w:tc>
          <w:tcPr>
            <w:tcW w:w="3188"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*.ppt</w:t>
            </w:r>
            <w:r>
              <w:rPr>
                <w:rFonts w:hint="eastAsia" w:ascii="宋体" w:hAnsi="宋体" w:eastAsia="宋体" w:cs="宋体"/>
                <w:color w:val="000000"/>
                <w:sz w:val="24"/>
              </w:rPr>
              <w:t>；</w:t>
            </w:r>
            <w:r>
              <w:rPr>
                <w:rFonts w:ascii="宋体" w:hAnsi="宋体" w:eastAsia="宋体" w:cs="宋体"/>
                <w:color w:val="000000"/>
                <w:sz w:val="24"/>
              </w:rPr>
              <w:t xml:space="preserve">*.pptx </w:t>
            </w:r>
          </w:p>
        </w:tc>
        <w:tc>
          <w:tcPr>
            <w:tcW w:w="2362" w:type="dxa"/>
            <w:tcBorders>
              <w:top w:val="single" w:color="000000" w:sz="8" w:space="0"/>
              <w:left w:val="single" w:color="000000" w:sz="8" w:space="0"/>
              <w:bottom w:val="single" w:color="000000" w:sz="8" w:space="0"/>
              <w:right w:val="single" w:color="000000" w:sz="8" w:space="0"/>
            </w:tcBorders>
            <w:noWrap w:val="0"/>
            <w:vAlign w:val="center"/>
          </w:tcPr>
          <w:p>
            <w:pPr>
              <w:pageBreakBefore w:val="0"/>
              <w:widowControl/>
              <w:topLinePunct w:val="0"/>
              <w:bidi w:val="0"/>
              <w:spacing w:after="4" w:line="334" w:lineRule="auto"/>
              <w:jc w:val="left"/>
              <w:outlineLvl w:val="9"/>
              <w:rPr>
                <w:rFonts w:ascii="宋体" w:hAnsi="宋体" w:eastAsia="宋体" w:cs="宋体"/>
                <w:color w:val="000000"/>
                <w:sz w:val="24"/>
              </w:rPr>
            </w:pPr>
            <w:r>
              <w:rPr>
                <w:rFonts w:hint="eastAsia" w:ascii="宋体" w:hAnsi="宋体" w:eastAsia="宋体" w:cs="宋体"/>
                <w:color w:val="000000"/>
                <w:sz w:val="24"/>
              </w:rPr>
              <w:t>不要使用</w:t>
            </w:r>
            <w:r>
              <w:rPr>
                <w:rFonts w:ascii="宋体" w:hAnsi="宋体" w:eastAsia="宋体" w:cs="宋体"/>
                <w:color w:val="000000"/>
                <w:sz w:val="24"/>
              </w:rPr>
              <w:t>PPS</w:t>
            </w:r>
            <w:r>
              <w:rPr>
                <w:rFonts w:hint="eastAsia" w:ascii="宋体" w:hAnsi="宋体" w:eastAsia="宋体" w:cs="宋体"/>
                <w:color w:val="000000"/>
                <w:sz w:val="24"/>
              </w:rPr>
              <w:t>格式</w:t>
            </w: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2.</w:t>
      </w:r>
      <w:r>
        <w:rPr>
          <w:rFonts w:hint="eastAsia" w:ascii="宋体" w:hAnsi="宋体" w:eastAsia="宋体" w:cs="宋体"/>
          <w:color w:val="000000"/>
          <w:sz w:val="24"/>
        </w:rPr>
        <w:t>技术要求</w:t>
      </w:r>
      <w:r>
        <w:rPr>
          <w:rFonts w:ascii="宋体" w:hAnsi="宋体" w:eastAsia="宋体" w:cs="宋体"/>
          <w:color w:val="000000"/>
          <w:sz w:val="24"/>
        </w:rPr>
        <w:t xml:space="preserve"> </w:t>
      </w:r>
    </w:p>
    <w:tbl>
      <w:tblPr>
        <w:tblStyle w:val="137"/>
        <w:tblW w:w="8237" w:type="dxa"/>
        <w:tblInd w:w="-5" w:type="dxa"/>
        <w:tblLayout w:type="autofit"/>
        <w:tblCellMar>
          <w:top w:w="0" w:type="dxa"/>
          <w:left w:w="0" w:type="dxa"/>
          <w:bottom w:w="0" w:type="dxa"/>
          <w:right w:w="0" w:type="dxa"/>
        </w:tblCellMar>
      </w:tblPr>
      <w:tblGrid>
        <w:gridCol w:w="857"/>
        <w:gridCol w:w="7380"/>
      </w:tblGrid>
      <w:tr>
        <w:tblPrEx>
          <w:tblCellMar>
            <w:top w:w="0" w:type="dxa"/>
            <w:left w:w="0" w:type="dxa"/>
            <w:bottom w:w="0" w:type="dxa"/>
            <w:right w:w="0" w:type="dxa"/>
          </w:tblCellMar>
        </w:tblPrEx>
        <w:trPr>
          <w:trHeight w:val="602" w:hRule="atLeast"/>
        </w:trPr>
        <w:tc>
          <w:tcPr>
            <w:tcW w:w="8237" w:type="dxa"/>
            <w:gridSpan w:val="2"/>
            <w:tcBorders>
              <w:top w:val="single" w:color="000000" w:sz="8" w:space="0"/>
              <w:left w:val="single" w:color="000000" w:sz="8" w:space="0"/>
              <w:bottom w:val="single" w:color="000000" w:sz="8" w:space="0"/>
              <w:right w:val="single" w:color="000000" w:sz="8" w:space="0"/>
            </w:tcBorders>
            <w:noWrap w:val="0"/>
            <w:vAlign w:val="bottom"/>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技术要求</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416" w:hRule="atLeast"/>
        </w:trPr>
        <w:tc>
          <w:tcPr>
            <w:tcW w:w="857" w:type="dxa"/>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jc w:val="left"/>
              <w:outlineLvl w:val="9"/>
              <w:rPr>
                <w:rFonts w:ascii="宋体" w:hAnsi="宋体" w:eastAsia="宋体" w:cs="宋体"/>
                <w:color w:val="000000"/>
                <w:sz w:val="24"/>
              </w:rPr>
            </w:pPr>
            <w:r>
              <w:rPr>
                <w:rFonts w:hint="eastAsia" w:ascii="宋体" w:hAnsi="宋体" w:eastAsia="宋体" w:cs="宋体"/>
                <w:color w:val="000000"/>
                <w:sz w:val="24"/>
              </w:rPr>
              <w:t>软件</w:t>
            </w:r>
            <w:r>
              <w:rPr>
                <w:rFonts w:ascii="宋体" w:hAnsi="宋体" w:eastAsia="宋体" w:cs="宋体"/>
                <w:color w:val="000000"/>
                <w:sz w:val="24"/>
              </w:rPr>
              <w:t xml:space="preserve"> </w:t>
            </w:r>
          </w:p>
        </w:tc>
        <w:tc>
          <w:tcPr>
            <w:tcW w:w="7380" w:type="dxa"/>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文件制作所用的软件版本不低于</w:t>
            </w:r>
            <w:r>
              <w:rPr>
                <w:rFonts w:ascii="宋体" w:hAnsi="宋体" w:eastAsia="宋体" w:cs="宋体"/>
                <w:color w:val="000000"/>
                <w:sz w:val="24"/>
              </w:rPr>
              <w:t xml:space="preserve"> Microsoft Office 2003 </w:t>
            </w:r>
          </w:p>
        </w:tc>
      </w:tr>
      <w:tr>
        <w:tblPrEx>
          <w:tblCellMar>
            <w:top w:w="0" w:type="dxa"/>
            <w:left w:w="0" w:type="dxa"/>
            <w:bottom w:w="0" w:type="dxa"/>
            <w:right w:w="0" w:type="dxa"/>
          </w:tblCellMar>
        </w:tblPrEx>
        <w:trPr>
          <w:trHeight w:val="955" w:hRule="atLeast"/>
        </w:trPr>
        <w:tc>
          <w:tcPr>
            <w:tcW w:w="857" w:type="dxa"/>
            <w:vMerge w:val="restart"/>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jc w:val="left"/>
              <w:outlineLvl w:val="9"/>
              <w:rPr>
                <w:rFonts w:ascii="宋体" w:hAnsi="宋体" w:eastAsia="宋体" w:cs="宋体"/>
                <w:color w:val="000000"/>
                <w:sz w:val="24"/>
              </w:rPr>
            </w:pPr>
            <w:r>
              <w:rPr>
                <w:rFonts w:hint="eastAsia" w:ascii="宋体" w:hAnsi="宋体" w:eastAsia="宋体" w:cs="宋体"/>
                <w:color w:val="000000"/>
                <w:sz w:val="24"/>
              </w:rPr>
              <w:t>模板</w:t>
            </w:r>
          </w:p>
          <w:p>
            <w:pPr>
              <w:pageBreakBefore w:val="0"/>
              <w:widowControl/>
              <w:topLinePunct w:val="0"/>
              <w:bidi w:val="0"/>
              <w:spacing w:after="4" w:line="334" w:lineRule="auto"/>
              <w:ind w:left="-15"/>
              <w:jc w:val="left"/>
              <w:outlineLvl w:val="9"/>
              <w:rPr>
                <w:rFonts w:ascii="宋体" w:hAnsi="宋体" w:eastAsia="宋体" w:cs="宋体"/>
                <w:color w:val="000000"/>
                <w:sz w:val="24"/>
              </w:rPr>
            </w:pPr>
            <w:r>
              <w:rPr>
                <w:rFonts w:hint="eastAsia" w:ascii="宋体" w:hAnsi="宋体" w:eastAsia="宋体" w:cs="宋体"/>
                <w:color w:val="000000"/>
                <w:sz w:val="24"/>
              </w:rPr>
              <w:t>应用</w:t>
            </w:r>
            <w:r>
              <w:rPr>
                <w:rFonts w:ascii="宋体" w:hAnsi="宋体" w:eastAsia="宋体" w:cs="宋体"/>
                <w:color w:val="000000"/>
                <w:sz w:val="24"/>
              </w:rPr>
              <w:t xml:space="preserve"> </w:t>
            </w: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模板朴素、大方，颜色适宜，便于长时间观看；在模板的适当位置标明课程名称、模块（章或节）序号与模块（章或节）的名称</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691" w:hRule="atLeast"/>
        </w:trPr>
        <w:tc>
          <w:tcPr>
            <w:tcW w:w="0" w:type="auto"/>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多个页面均有的相同元素，如背景、按钮、标题、页码等，可以使用幻灯片母版来实现</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953" w:hRule="atLeast"/>
        </w:trPr>
        <w:tc>
          <w:tcPr>
            <w:tcW w:w="857" w:type="dxa"/>
            <w:vMerge w:val="restart"/>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 </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 </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 </w:t>
            </w:r>
          </w:p>
          <w:p>
            <w:pPr>
              <w:pageBreakBefore w:val="0"/>
              <w:widowControl/>
              <w:topLinePunct w:val="0"/>
              <w:bidi w:val="0"/>
              <w:spacing w:after="4" w:line="334" w:lineRule="auto"/>
              <w:ind w:left="-15"/>
              <w:jc w:val="left"/>
              <w:outlineLvl w:val="9"/>
              <w:rPr>
                <w:rFonts w:ascii="宋体" w:hAnsi="宋体" w:eastAsia="宋体" w:cs="宋体"/>
                <w:color w:val="000000"/>
                <w:sz w:val="24"/>
              </w:rPr>
            </w:pPr>
            <w:r>
              <w:rPr>
                <w:rFonts w:hint="eastAsia" w:ascii="宋体" w:hAnsi="宋体" w:eastAsia="宋体" w:cs="宋体"/>
                <w:color w:val="000000"/>
                <w:sz w:val="24"/>
              </w:rPr>
              <w:t>版式</w:t>
            </w:r>
          </w:p>
          <w:p>
            <w:pPr>
              <w:pageBreakBefore w:val="0"/>
              <w:widowControl/>
              <w:topLinePunct w:val="0"/>
              <w:bidi w:val="0"/>
              <w:spacing w:after="4" w:line="334" w:lineRule="auto"/>
              <w:ind w:left="-15"/>
              <w:jc w:val="left"/>
              <w:outlineLvl w:val="9"/>
              <w:rPr>
                <w:rFonts w:ascii="宋体" w:hAnsi="宋体" w:eastAsia="宋体" w:cs="宋体"/>
                <w:color w:val="000000"/>
                <w:sz w:val="24"/>
              </w:rPr>
            </w:pPr>
            <w:r>
              <w:rPr>
                <w:rFonts w:hint="eastAsia" w:ascii="宋体" w:hAnsi="宋体" w:eastAsia="宋体" w:cs="宋体"/>
                <w:color w:val="000000"/>
                <w:sz w:val="24"/>
              </w:rPr>
              <w:t>设计</w:t>
            </w:r>
            <w:r>
              <w:rPr>
                <w:rFonts w:ascii="宋体" w:hAnsi="宋体" w:eastAsia="宋体" w:cs="宋体"/>
                <w:color w:val="000000"/>
                <w:sz w:val="24"/>
              </w:rPr>
              <w:t xml:space="preserve"> </w:t>
            </w: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每页版面的字数不宜太多。正文字号应不小于</w:t>
            </w:r>
            <w:r>
              <w:rPr>
                <w:rFonts w:ascii="宋体" w:hAnsi="宋体" w:eastAsia="宋体" w:cs="宋体"/>
                <w:color w:val="000000"/>
                <w:sz w:val="24"/>
              </w:rPr>
              <w:t xml:space="preserve"> 24 </w:t>
            </w:r>
            <w:r>
              <w:rPr>
                <w:rFonts w:hint="eastAsia" w:ascii="宋体" w:hAnsi="宋体" w:eastAsia="宋体" w:cs="宋体"/>
                <w:color w:val="000000"/>
                <w:sz w:val="24"/>
              </w:rPr>
              <w:t>磅字，使用</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Windows</w:t>
            </w:r>
            <w:r>
              <w:rPr>
                <w:rFonts w:hint="eastAsia" w:ascii="宋体" w:hAnsi="宋体" w:eastAsia="宋体" w:cs="宋体"/>
                <w:color w:val="000000"/>
                <w:sz w:val="24"/>
              </w:rPr>
              <w:t>系统默认字体，不要使用仿宋、细圆等过细字体，不使用特殊字体如有特殊字体，应转化为图形文件</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350"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文字要醒目，避免使用与背景色相近的字体颜色</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667"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页面行距建议为</w:t>
            </w:r>
            <w:r>
              <w:rPr>
                <w:rFonts w:ascii="宋体" w:hAnsi="宋体" w:eastAsia="宋体" w:cs="宋体"/>
                <w:color w:val="000000"/>
                <w:sz w:val="24"/>
              </w:rPr>
              <w:t xml:space="preserve"> 1.2 </w:t>
            </w:r>
            <w:r>
              <w:rPr>
                <w:rFonts w:hint="eastAsia" w:ascii="宋体" w:hAnsi="宋体" w:eastAsia="宋体" w:cs="宋体"/>
                <w:color w:val="000000"/>
                <w:sz w:val="24"/>
              </w:rPr>
              <w:t>倍，可适当增大，左右边距均匀、适当</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346"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页面设计的原则是版面内容的分布美观大方</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698"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恰当使用组合：某些插图中位置相对固定的文本框、数学公式以及图片等应采用组合方式，避免产生相对位移</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660"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尽量避免不必要的组合，不同对象、文本的动作需要同时出现时，可确定彼此之间的时间间隔为</w:t>
            </w:r>
            <w:r>
              <w:rPr>
                <w:rFonts w:ascii="宋体" w:hAnsi="宋体" w:eastAsia="宋体" w:cs="宋体"/>
                <w:color w:val="000000"/>
                <w:sz w:val="24"/>
              </w:rPr>
              <w:t xml:space="preserve"> 0 </w:t>
            </w:r>
            <w:r>
              <w:rPr>
                <w:rFonts w:hint="eastAsia" w:ascii="宋体" w:hAnsi="宋体" w:eastAsia="宋体" w:cs="宋体"/>
                <w:color w:val="000000"/>
                <w:sz w:val="24"/>
              </w:rPr>
              <w:t>秒</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643" w:hRule="atLeast"/>
        </w:trPr>
        <w:tc>
          <w:tcPr>
            <w:tcW w:w="0" w:type="auto"/>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各级标题采用不同的字体和颜色，一张幻灯片上文字颜色限定在</w:t>
            </w:r>
            <w:r>
              <w:rPr>
                <w:rFonts w:ascii="宋体" w:hAnsi="宋体" w:eastAsia="宋体" w:cs="宋体"/>
                <w:color w:val="000000"/>
                <w:sz w:val="24"/>
              </w:rPr>
              <w:t xml:space="preserve"> 4</w:t>
            </w:r>
            <w:r>
              <w:rPr>
                <w:rFonts w:hint="eastAsia" w:ascii="宋体" w:hAnsi="宋体" w:eastAsia="宋体" w:cs="宋体"/>
                <w:color w:val="000000"/>
                <w:sz w:val="24"/>
              </w:rPr>
              <w:t>种以内，注意文字与背景色的反差</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346" w:hRule="atLeast"/>
        </w:trPr>
        <w:tc>
          <w:tcPr>
            <w:tcW w:w="857" w:type="dxa"/>
            <w:vMerge w:val="restart"/>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jc w:val="left"/>
              <w:outlineLvl w:val="9"/>
              <w:rPr>
                <w:rFonts w:ascii="宋体" w:hAnsi="宋体" w:eastAsia="宋体" w:cs="宋体"/>
                <w:color w:val="000000"/>
                <w:sz w:val="24"/>
              </w:rPr>
            </w:pPr>
            <w:r>
              <w:rPr>
                <w:rFonts w:hint="eastAsia" w:ascii="宋体" w:hAnsi="宋体" w:eastAsia="宋体" w:cs="宋体"/>
                <w:color w:val="000000"/>
                <w:sz w:val="24"/>
              </w:rPr>
              <w:t>动画</w:t>
            </w:r>
          </w:p>
          <w:p>
            <w:pPr>
              <w:pageBreakBefore w:val="0"/>
              <w:widowControl/>
              <w:topLinePunct w:val="0"/>
              <w:bidi w:val="0"/>
              <w:spacing w:after="4" w:line="334" w:lineRule="auto"/>
              <w:ind w:left="-15"/>
              <w:jc w:val="left"/>
              <w:outlineLvl w:val="9"/>
              <w:rPr>
                <w:rFonts w:ascii="宋体" w:hAnsi="宋体" w:eastAsia="宋体" w:cs="宋体"/>
                <w:color w:val="000000"/>
                <w:sz w:val="24"/>
              </w:rPr>
            </w:pPr>
            <w:r>
              <w:rPr>
                <w:rFonts w:hint="eastAsia" w:ascii="宋体" w:hAnsi="宋体" w:eastAsia="宋体" w:cs="宋体"/>
                <w:color w:val="000000"/>
                <w:sz w:val="24"/>
              </w:rPr>
              <w:t>方案</w:t>
            </w:r>
            <w:r>
              <w:rPr>
                <w:rFonts w:ascii="宋体" w:hAnsi="宋体" w:eastAsia="宋体" w:cs="宋体"/>
                <w:color w:val="000000"/>
                <w:sz w:val="24"/>
              </w:rPr>
              <w:t xml:space="preserve"> </w:t>
            </w: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不宜出现不必要的动画效果，不使用随机效果</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346" w:hRule="atLeast"/>
        </w:trPr>
        <w:tc>
          <w:tcPr>
            <w:tcW w:w="0" w:type="auto"/>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动画连续，节奏合适</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350" w:hRule="atLeast"/>
        </w:trPr>
        <w:tc>
          <w:tcPr>
            <w:tcW w:w="857" w:type="dxa"/>
            <w:vMerge w:val="restart"/>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jc w:val="left"/>
              <w:outlineLvl w:val="9"/>
              <w:rPr>
                <w:rFonts w:ascii="宋体" w:hAnsi="宋体" w:eastAsia="宋体" w:cs="宋体"/>
                <w:color w:val="000000"/>
                <w:sz w:val="24"/>
              </w:rPr>
            </w:pPr>
            <w:r>
              <w:rPr>
                <w:rFonts w:hint="eastAsia" w:ascii="宋体" w:hAnsi="宋体" w:eastAsia="宋体" w:cs="宋体"/>
                <w:color w:val="000000"/>
                <w:sz w:val="24"/>
              </w:rPr>
              <w:t>导航</w:t>
            </w:r>
          </w:p>
          <w:p>
            <w:pPr>
              <w:pageBreakBefore w:val="0"/>
              <w:widowControl/>
              <w:topLinePunct w:val="0"/>
              <w:bidi w:val="0"/>
              <w:spacing w:after="4" w:line="334" w:lineRule="auto"/>
              <w:ind w:left="-15"/>
              <w:jc w:val="left"/>
              <w:outlineLvl w:val="9"/>
              <w:rPr>
                <w:rFonts w:ascii="宋体" w:hAnsi="宋体" w:eastAsia="宋体" w:cs="宋体"/>
                <w:color w:val="000000"/>
                <w:sz w:val="24"/>
              </w:rPr>
            </w:pPr>
            <w:r>
              <w:rPr>
                <w:rFonts w:hint="eastAsia" w:ascii="宋体" w:hAnsi="宋体" w:eastAsia="宋体" w:cs="宋体"/>
                <w:color w:val="000000"/>
                <w:sz w:val="24"/>
              </w:rPr>
              <w:t>设计</w:t>
            </w:r>
            <w:r>
              <w:rPr>
                <w:rFonts w:ascii="宋体" w:hAnsi="宋体" w:eastAsia="宋体" w:cs="宋体"/>
                <w:color w:val="000000"/>
                <w:sz w:val="24"/>
              </w:rPr>
              <w:t xml:space="preserve"> </w:t>
            </w: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文件内链接都采用相对链接，并能够正常打开</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658"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文件中链接或插入的其他素材满足本要求中关于媒体素材的技术要求</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346"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使用超级链接时，要在目标页面有</w:t>
            </w:r>
            <w:r>
              <w:rPr>
                <w:rFonts w:ascii="宋体" w:hAnsi="宋体" w:eastAsia="宋体" w:cs="宋体"/>
                <w:color w:val="000000"/>
                <w:sz w:val="24"/>
              </w:rPr>
              <w:t>“</w:t>
            </w:r>
            <w:r>
              <w:rPr>
                <w:rFonts w:hint="eastAsia" w:ascii="宋体" w:hAnsi="宋体" w:eastAsia="宋体" w:cs="宋体"/>
                <w:color w:val="000000"/>
                <w:sz w:val="24"/>
              </w:rPr>
              <w:t>返回</w:t>
            </w:r>
            <w:r>
              <w:rPr>
                <w:rFonts w:ascii="宋体" w:hAnsi="宋体" w:eastAsia="宋体" w:cs="宋体"/>
                <w:color w:val="000000"/>
                <w:sz w:val="24"/>
              </w:rPr>
              <w:t>”</w:t>
            </w:r>
            <w:r>
              <w:rPr>
                <w:rFonts w:hint="eastAsia" w:ascii="宋体" w:hAnsi="宋体" w:eastAsia="宋体" w:cs="宋体"/>
                <w:color w:val="000000"/>
                <w:sz w:val="24"/>
              </w:rPr>
              <w:t>按钮</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346"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鼠标移至按钮上时要求显示出该按钮的操作提示</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418" w:hRule="atLeast"/>
        </w:trPr>
        <w:tc>
          <w:tcPr>
            <w:tcW w:w="0" w:type="auto"/>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不同位置使用的导航按钮保持风格一致或使用相同的按钮</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346" w:hRule="atLeast"/>
        </w:trPr>
        <w:tc>
          <w:tcPr>
            <w:tcW w:w="857"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宏</w:t>
            </w:r>
            <w:r>
              <w:rPr>
                <w:rFonts w:ascii="宋体" w:hAnsi="宋体" w:eastAsia="宋体" w:cs="宋体"/>
                <w:color w:val="000000"/>
                <w:sz w:val="24"/>
              </w:rPr>
              <w:t xml:space="preserve"> </w:t>
            </w: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尽可能少用宏，播放时不要出现宏脚本提示</w:t>
            </w:r>
            <w:r>
              <w:rPr>
                <w:rFonts w:ascii="宋体" w:hAnsi="宋体" w:eastAsia="宋体" w:cs="宋体"/>
                <w:color w:val="000000"/>
                <w:sz w:val="24"/>
              </w:rPr>
              <w:t xml:space="preserve"> </w:t>
            </w:r>
          </w:p>
        </w:tc>
      </w:tr>
      <w:tr>
        <w:tblPrEx>
          <w:tblCellMar>
            <w:top w:w="0" w:type="dxa"/>
            <w:left w:w="0" w:type="dxa"/>
            <w:bottom w:w="0" w:type="dxa"/>
            <w:right w:w="0" w:type="dxa"/>
          </w:tblCellMar>
        </w:tblPrEx>
        <w:trPr>
          <w:trHeight w:val="893" w:hRule="atLeast"/>
        </w:trPr>
        <w:tc>
          <w:tcPr>
            <w:tcW w:w="857"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其</w:t>
            </w: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他</w:t>
            </w:r>
            <w:r>
              <w:rPr>
                <w:rFonts w:ascii="宋体" w:hAnsi="宋体" w:eastAsia="宋体" w:cs="宋体"/>
                <w:color w:val="000000"/>
                <w:sz w:val="24"/>
              </w:rPr>
              <w:t xml:space="preserve"> </w:t>
            </w:r>
          </w:p>
        </w:tc>
        <w:tc>
          <w:tcPr>
            <w:tcW w:w="7380"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演示文稿中所采用的媒体素材符合本标准中媒体素材资源的技术规范</w:t>
            </w: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3</w:t>
      </w:r>
      <w:r>
        <w:rPr>
          <w:rFonts w:hint="eastAsia" w:ascii="宋体" w:hAnsi="宋体" w:eastAsia="宋体" w:cs="宋体"/>
          <w:color w:val="000000"/>
          <w:sz w:val="24"/>
        </w:rPr>
        <w:t>．提交要求</w:t>
      </w:r>
      <w:r>
        <w:rPr>
          <w:rFonts w:ascii="宋体" w:hAnsi="宋体" w:eastAsia="宋体" w:cs="宋体"/>
          <w:color w:val="000000"/>
          <w:sz w:val="24"/>
        </w:rPr>
        <w:t xml:space="preserve"> </w:t>
      </w:r>
    </w:p>
    <w:tbl>
      <w:tblPr>
        <w:tblStyle w:val="137"/>
        <w:tblW w:w="8242" w:type="dxa"/>
        <w:tblInd w:w="-10" w:type="dxa"/>
        <w:tblLayout w:type="autofit"/>
        <w:tblCellMar>
          <w:top w:w="43" w:type="dxa"/>
          <w:left w:w="10" w:type="dxa"/>
          <w:bottom w:w="0" w:type="dxa"/>
          <w:right w:w="113" w:type="dxa"/>
        </w:tblCellMar>
      </w:tblPr>
      <w:tblGrid>
        <w:gridCol w:w="1555"/>
        <w:gridCol w:w="6687"/>
      </w:tblGrid>
      <w:tr>
        <w:tblPrEx>
          <w:tblCellMar>
            <w:top w:w="43" w:type="dxa"/>
            <w:left w:w="10" w:type="dxa"/>
            <w:bottom w:w="0" w:type="dxa"/>
            <w:right w:w="113" w:type="dxa"/>
          </w:tblCellMar>
        </w:tblPrEx>
        <w:trPr>
          <w:trHeight w:val="348" w:hRule="atLeast"/>
        </w:trPr>
        <w:tc>
          <w:tcPr>
            <w:tcW w:w="1555"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ascii="宋体" w:hAnsi="宋体" w:eastAsia="宋体" w:cs="宋体"/>
                <w:color w:val="000000"/>
                <w:sz w:val="24"/>
              </w:rPr>
              <w:t xml:space="preserve"> </w:t>
            </w:r>
          </w:p>
        </w:tc>
        <w:tc>
          <w:tcPr>
            <w:tcW w:w="6687"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提交要求</w:t>
            </w:r>
            <w:r>
              <w:rPr>
                <w:rFonts w:ascii="宋体" w:hAnsi="宋体" w:eastAsia="宋体" w:cs="宋体"/>
                <w:color w:val="000000"/>
                <w:sz w:val="24"/>
              </w:rPr>
              <w:t xml:space="preserve"> </w:t>
            </w:r>
          </w:p>
        </w:tc>
      </w:tr>
      <w:tr>
        <w:tblPrEx>
          <w:tblCellMar>
            <w:top w:w="43" w:type="dxa"/>
            <w:left w:w="10" w:type="dxa"/>
            <w:bottom w:w="0" w:type="dxa"/>
            <w:right w:w="113" w:type="dxa"/>
          </w:tblCellMar>
        </w:tblPrEx>
        <w:trPr>
          <w:trHeight w:val="687" w:hRule="atLeast"/>
        </w:trPr>
        <w:tc>
          <w:tcPr>
            <w:tcW w:w="1555" w:type="dxa"/>
            <w:vMerge w:val="restart"/>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jc w:val="left"/>
              <w:outlineLvl w:val="9"/>
              <w:rPr>
                <w:rFonts w:ascii="宋体" w:hAnsi="宋体" w:eastAsia="宋体" w:cs="宋体"/>
                <w:color w:val="000000"/>
                <w:sz w:val="24"/>
              </w:rPr>
            </w:pPr>
            <w:r>
              <w:rPr>
                <w:rFonts w:ascii="宋体" w:hAnsi="宋体" w:eastAsia="宋体" w:cs="宋体"/>
                <w:color w:val="000000"/>
                <w:sz w:val="24"/>
              </w:rPr>
              <w:t xml:space="preserve">PPT </w:t>
            </w:r>
            <w:r>
              <w:rPr>
                <w:rFonts w:hint="eastAsia" w:ascii="宋体" w:hAnsi="宋体" w:eastAsia="宋体" w:cs="宋体"/>
                <w:color w:val="000000"/>
                <w:sz w:val="24"/>
              </w:rPr>
              <w:t>演示文稿</w:t>
            </w:r>
            <w:r>
              <w:rPr>
                <w:rFonts w:ascii="宋体" w:hAnsi="宋体" w:eastAsia="宋体" w:cs="宋体"/>
                <w:color w:val="000000"/>
                <w:sz w:val="24"/>
              </w:rPr>
              <w:t xml:space="preserve"> </w:t>
            </w:r>
          </w:p>
        </w:tc>
        <w:tc>
          <w:tcPr>
            <w:tcW w:w="6687"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演示文稿的颗粒度大小要适应教学需要，一门课程的演示文稿不宜过多或过少</w:t>
            </w:r>
            <w:r>
              <w:rPr>
                <w:rFonts w:ascii="宋体" w:hAnsi="宋体" w:eastAsia="宋体" w:cs="宋体"/>
                <w:color w:val="000000"/>
                <w:sz w:val="24"/>
              </w:rPr>
              <w:t xml:space="preserve"> </w:t>
            </w:r>
          </w:p>
        </w:tc>
      </w:tr>
      <w:tr>
        <w:tblPrEx>
          <w:tblCellMar>
            <w:top w:w="43" w:type="dxa"/>
            <w:left w:w="10" w:type="dxa"/>
            <w:bottom w:w="0" w:type="dxa"/>
            <w:right w:w="113" w:type="dxa"/>
          </w:tblCellMar>
        </w:tblPrEx>
        <w:trPr>
          <w:trHeight w:val="348" w:hRule="atLeast"/>
        </w:trPr>
        <w:tc>
          <w:tcPr>
            <w:tcW w:w="0" w:type="auto"/>
            <w:vMerge w:val="continue"/>
            <w:tcBorders>
              <w:top w:val="nil"/>
              <w:left w:val="single" w:color="000000" w:sz="8" w:space="0"/>
              <w:bottom w:val="nil"/>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6687"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提交的文件后缀名为</w:t>
            </w:r>
            <w:r>
              <w:rPr>
                <w:rFonts w:ascii="宋体" w:hAnsi="宋体" w:eastAsia="宋体" w:cs="宋体"/>
                <w:color w:val="000000"/>
                <w:sz w:val="24"/>
              </w:rPr>
              <w:t xml:space="preserve"> PPT </w:t>
            </w:r>
            <w:r>
              <w:rPr>
                <w:rFonts w:hint="eastAsia" w:ascii="宋体" w:hAnsi="宋体" w:eastAsia="宋体" w:cs="宋体"/>
                <w:color w:val="000000"/>
                <w:sz w:val="24"/>
              </w:rPr>
              <w:t>或</w:t>
            </w:r>
            <w:r>
              <w:rPr>
                <w:rFonts w:ascii="宋体" w:hAnsi="宋体" w:eastAsia="宋体" w:cs="宋体"/>
                <w:color w:val="000000"/>
                <w:sz w:val="24"/>
              </w:rPr>
              <w:t xml:space="preserve"> PPTX </w:t>
            </w:r>
          </w:p>
        </w:tc>
      </w:tr>
      <w:tr>
        <w:tblPrEx>
          <w:tblCellMar>
            <w:top w:w="43" w:type="dxa"/>
            <w:left w:w="10" w:type="dxa"/>
            <w:bottom w:w="0" w:type="dxa"/>
            <w:right w:w="113" w:type="dxa"/>
          </w:tblCellMar>
        </w:tblPrEx>
        <w:trPr>
          <w:trHeight w:val="391" w:hRule="atLeast"/>
        </w:trPr>
        <w:tc>
          <w:tcPr>
            <w:tcW w:w="0" w:type="auto"/>
            <w:vMerge w:val="continue"/>
            <w:tcBorders>
              <w:top w:val="nil"/>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tc>
        <w:tc>
          <w:tcPr>
            <w:tcW w:w="6687" w:type="dxa"/>
            <w:tcBorders>
              <w:top w:val="single" w:color="000000" w:sz="8" w:space="0"/>
              <w:left w:val="single" w:color="000000" w:sz="8" w:space="0"/>
              <w:bottom w:val="single" w:color="000000" w:sz="8" w:space="0"/>
              <w:right w:val="single" w:color="000000" w:sz="8" w:space="0"/>
            </w:tcBorders>
            <w:noWrap w:val="0"/>
            <w:vAlign w:val="top"/>
          </w:tcPr>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r>
              <w:rPr>
                <w:rFonts w:hint="eastAsia" w:ascii="宋体" w:hAnsi="宋体" w:eastAsia="宋体" w:cs="宋体"/>
                <w:color w:val="000000"/>
                <w:sz w:val="24"/>
              </w:rPr>
              <w:t>不可在</w:t>
            </w:r>
            <w:r>
              <w:rPr>
                <w:rFonts w:ascii="宋体" w:hAnsi="宋体" w:eastAsia="宋体" w:cs="宋体"/>
                <w:color w:val="000000"/>
                <w:sz w:val="24"/>
              </w:rPr>
              <w:t xml:space="preserve"> PPT </w:t>
            </w:r>
            <w:r>
              <w:rPr>
                <w:rFonts w:hint="eastAsia" w:ascii="宋体" w:hAnsi="宋体" w:eastAsia="宋体" w:cs="宋体"/>
                <w:color w:val="000000"/>
                <w:sz w:val="24"/>
              </w:rPr>
              <w:t>中内嵌音频、视频或动画</w:t>
            </w:r>
            <w:r>
              <w:rPr>
                <w:rFonts w:ascii="宋体" w:hAnsi="宋体" w:eastAsia="宋体" w:cs="宋体"/>
                <w:color w:val="000000"/>
                <w:sz w:val="24"/>
              </w:rPr>
              <w:t xml:space="preserve"> </w:t>
            </w:r>
          </w:p>
        </w:tc>
      </w:tr>
    </w:tbl>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widowControl/>
        <w:topLinePunct w:val="0"/>
        <w:bidi w:val="0"/>
        <w:spacing w:after="4" w:line="334" w:lineRule="auto"/>
        <w:ind w:left="-15" w:firstLine="465"/>
        <w:jc w:val="left"/>
        <w:outlineLvl w:val="9"/>
        <w:rPr>
          <w:rFonts w:ascii="宋体" w:hAnsi="宋体" w:eastAsia="宋体" w:cs="宋体"/>
          <w:color w:val="000000"/>
          <w:sz w:val="24"/>
        </w:rPr>
      </w:pPr>
    </w:p>
    <w:p>
      <w:pPr>
        <w:pageBreakBefore w:val="0"/>
        <w:topLinePunct w:val="0"/>
        <w:bidi w:val="0"/>
        <w:spacing w:line="580" w:lineRule="exact"/>
        <w:jc w:val="left"/>
        <w:outlineLvl w:val="9"/>
        <w:rPr>
          <w:rFonts w:ascii="仿宋_GB2312" w:eastAsia="仿宋_GB2312"/>
          <w:sz w:val="28"/>
          <w:szCs w:val="28"/>
        </w:rPr>
      </w:pPr>
    </w:p>
    <w:p>
      <w:pPr>
        <w:pageBreakBefore w:val="0"/>
        <w:topLinePunct w:val="0"/>
        <w:bidi w:val="0"/>
        <w:spacing w:line="580" w:lineRule="exact"/>
        <w:jc w:val="left"/>
        <w:outlineLvl w:val="9"/>
        <w:rPr>
          <w:rFonts w:ascii="仿宋_GB2312" w:eastAsia="仿宋_GB2312"/>
          <w:sz w:val="28"/>
          <w:szCs w:val="28"/>
        </w:rPr>
      </w:pPr>
    </w:p>
    <w:p>
      <w:pPr>
        <w:pageBreakBefore w:val="0"/>
        <w:topLinePunct w:val="0"/>
        <w:bidi w:val="0"/>
        <w:spacing w:line="580" w:lineRule="exact"/>
        <w:jc w:val="left"/>
        <w:outlineLvl w:val="9"/>
        <w:rPr>
          <w:rFonts w:ascii="仿宋_GB2312" w:eastAsia="仿宋_GB2312"/>
          <w:sz w:val="28"/>
          <w:szCs w:val="28"/>
        </w:rPr>
      </w:pPr>
    </w:p>
    <w:p>
      <w:pPr>
        <w:pageBreakBefore w:val="0"/>
        <w:topLinePunct w:val="0"/>
        <w:bidi w:val="0"/>
        <w:spacing w:line="580" w:lineRule="exact"/>
        <w:jc w:val="left"/>
        <w:outlineLvl w:val="9"/>
        <w:rPr>
          <w:rFonts w:ascii="仿宋_GB2312" w:eastAsia="仿宋_GB2312"/>
          <w:sz w:val="28"/>
          <w:szCs w:val="28"/>
        </w:rPr>
      </w:pPr>
    </w:p>
    <w:p>
      <w:pPr>
        <w:pageBreakBefore w:val="0"/>
        <w:topLinePunct w:val="0"/>
        <w:bidi w:val="0"/>
        <w:spacing w:line="580" w:lineRule="exact"/>
        <w:jc w:val="left"/>
        <w:outlineLvl w:val="9"/>
        <w:rPr>
          <w:rFonts w:ascii="仿宋_GB2312" w:eastAsia="仿宋_GB2312"/>
          <w:sz w:val="28"/>
          <w:szCs w:val="28"/>
        </w:rPr>
      </w:pPr>
      <w:r>
        <w:rPr>
          <w:rFonts w:hint="eastAsia" w:ascii="仿宋_GB2312" w:eastAsia="仿宋_GB2312"/>
          <w:sz w:val="28"/>
          <w:szCs w:val="28"/>
        </w:rPr>
        <w:t>附件2课程资源建设方案                      项目编号：</w:t>
      </w:r>
    </w:p>
    <w:p>
      <w:pPr>
        <w:pageBreakBefore w:val="0"/>
        <w:topLinePunct w:val="0"/>
        <w:bidi w:val="0"/>
        <w:spacing w:line="580" w:lineRule="exact"/>
        <w:jc w:val="center"/>
        <w:outlineLvl w:val="9"/>
        <w:rPr>
          <w:rFonts w:ascii="仿宋_GB2312" w:eastAsia="仿宋_GB2312"/>
          <w:sz w:val="28"/>
          <w:szCs w:val="28"/>
        </w:rPr>
      </w:pPr>
    </w:p>
    <w:p>
      <w:pPr>
        <w:pageBreakBefore w:val="0"/>
        <w:topLinePunct w:val="0"/>
        <w:bidi w:val="0"/>
        <w:spacing w:line="580" w:lineRule="exact"/>
        <w:outlineLvl w:val="9"/>
        <w:rPr>
          <w:rFonts w:ascii="黑体" w:eastAsia="黑体"/>
          <w:b/>
          <w:color w:val="000000"/>
          <w:sz w:val="32"/>
          <w:szCs w:val="32"/>
          <w:u w:val="single"/>
        </w:rPr>
      </w:pPr>
    </w:p>
    <w:p>
      <w:pPr>
        <w:pageBreakBefore w:val="0"/>
        <w:topLinePunct w:val="0"/>
        <w:bidi w:val="0"/>
        <w:spacing w:line="480" w:lineRule="auto"/>
        <w:jc w:val="center"/>
        <w:outlineLvl w:val="9"/>
        <w:rPr>
          <w:rFonts w:ascii="黑体" w:eastAsia="黑体"/>
          <w:color w:val="000000"/>
          <w:sz w:val="48"/>
          <w:szCs w:val="48"/>
        </w:rPr>
      </w:pPr>
      <w:r>
        <w:rPr>
          <w:rFonts w:hint="eastAsia" w:ascii="黑体" w:eastAsia="黑体"/>
          <w:color w:val="000000"/>
          <w:sz w:val="48"/>
          <w:szCs w:val="48"/>
        </w:rPr>
        <w:t>上海电子信息职业技术学院</w:t>
      </w:r>
    </w:p>
    <w:p>
      <w:pPr>
        <w:pageBreakBefore w:val="0"/>
        <w:topLinePunct w:val="0"/>
        <w:bidi w:val="0"/>
        <w:jc w:val="center"/>
        <w:outlineLvl w:val="9"/>
        <w:rPr>
          <w:rFonts w:ascii="黑体" w:hAnsi="宋体" w:eastAsia="黑体"/>
          <w:b/>
          <w:bCs/>
          <w:sz w:val="48"/>
          <w:szCs w:val="48"/>
        </w:rPr>
      </w:pPr>
    </w:p>
    <w:p>
      <w:pPr>
        <w:pageBreakBefore w:val="0"/>
        <w:topLinePunct w:val="0"/>
        <w:bidi w:val="0"/>
        <w:jc w:val="center"/>
        <w:outlineLvl w:val="9"/>
        <w:rPr>
          <w:rFonts w:ascii="华文中宋" w:hAnsi="华文中宋" w:eastAsia="华文中宋"/>
          <w:b/>
          <w:bCs/>
          <w:sz w:val="44"/>
          <w:szCs w:val="48"/>
        </w:rPr>
      </w:pPr>
      <w:r>
        <w:rPr>
          <w:rFonts w:hint="eastAsia" w:ascii="华文中宋" w:hAnsi="华文中宋" w:eastAsia="华文中宋" w:cs="华文中宋"/>
          <w:b/>
          <w:bCs/>
          <w:sz w:val="44"/>
          <w:szCs w:val="48"/>
        </w:rPr>
        <w:t>课程资源建设方案</w:t>
      </w:r>
    </w:p>
    <w:p>
      <w:pPr>
        <w:pageBreakBefore w:val="0"/>
        <w:topLinePunct w:val="0"/>
        <w:bidi w:val="0"/>
        <w:jc w:val="center"/>
        <w:outlineLvl w:val="9"/>
        <w:rPr>
          <w:rFonts w:ascii="隶书" w:hAnsi="宋体" w:eastAsia="仿宋_GB2312"/>
          <w:sz w:val="28"/>
          <w:szCs w:val="28"/>
        </w:rPr>
      </w:pPr>
    </w:p>
    <w:p>
      <w:pPr>
        <w:pageBreakBefore w:val="0"/>
        <w:topLinePunct w:val="0"/>
        <w:bidi w:val="0"/>
        <w:jc w:val="center"/>
        <w:outlineLvl w:val="9"/>
        <w:rPr>
          <w:rFonts w:ascii="隶书" w:hAnsi="宋体" w:eastAsia="仿宋_GB2312"/>
          <w:sz w:val="28"/>
          <w:szCs w:val="28"/>
        </w:rPr>
      </w:pPr>
    </w:p>
    <w:p>
      <w:pPr>
        <w:pageBreakBefore w:val="0"/>
        <w:topLinePunct w:val="0"/>
        <w:bidi w:val="0"/>
        <w:jc w:val="center"/>
        <w:outlineLvl w:val="9"/>
        <w:rPr>
          <w:rFonts w:ascii="隶书" w:hAnsi="宋体" w:eastAsia="仿宋_GB2312"/>
          <w:sz w:val="28"/>
          <w:szCs w:val="28"/>
        </w:rPr>
      </w:pPr>
    </w:p>
    <w:p>
      <w:pPr>
        <w:pageBreakBefore w:val="0"/>
        <w:topLinePunct w:val="0"/>
        <w:bidi w:val="0"/>
        <w:ind w:firstLine="1456" w:firstLineChars="455"/>
        <w:jc w:val="left"/>
        <w:outlineLvl w:val="9"/>
        <w:rPr>
          <w:rFonts w:ascii="华文中宋" w:hAnsi="华文中宋" w:eastAsia="华文中宋" w:cs="宋体"/>
          <w:color w:val="000000"/>
          <w:kern w:val="0"/>
          <w:sz w:val="32"/>
          <w:szCs w:val="32"/>
        </w:rPr>
      </w:pPr>
      <w:r>
        <w:rPr>
          <w:rFonts w:hint="eastAsia" w:ascii="华文中宋" w:hAnsi="华文中宋" w:eastAsia="华文中宋" w:cs="宋体"/>
          <w:color w:val="000000"/>
          <w:kern w:val="0"/>
          <w:sz w:val="32"/>
          <w:szCs w:val="32"/>
        </w:rPr>
        <w:t>部门名称（盖章）：</w:t>
      </w:r>
      <w:r>
        <w:rPr>
          <w:rFonts w:hint="eastAsia" w:ascii="华文中宋" w:hAnsi="华文中宋" w:eastAsia="华文中宋" w:cs="宋体"/>
          <w:color w:val="000000"/>
          <w:kern w:val="0"/>
          <w:sz w:val="32"/>
          <w:szCs w:val="32"/>
          <w:u w:val="single"/>
        </w:rPr>
        <w:t xml:space="preserve">                   </w:t>
      </w:r>
    </w:p>
    <w:p>
      <w:pPr>
        <w:pageBreakBefore w:val="0"/>
        <w:topLinePunct w:val="0"/>
        <w:bidi w:val="0"/>
        <w:ind w:firstLine="1456" w:firstLineChars="455"/>
        <w:jc w:val="left"/>
        <w:outlineLvl w:val="9"/>
        <w:rPr>
          <w:rFonts w:ascii="华文中宋" w:hAnsi="华文中宋" w:eastAsia="华文中宋" w:cs="宋体"/>
          <w:color w:val="000000"/>
          <w:kern w:val="0"/>
          <w:sz w:val="32"/>
          <w:szCs w:val="32"/>
          <w:u w:val="single"/>
        </w:rPr>
      </w:pPr>
      <w:r>
        <w:rPr>
          <w:rFonts w:hint="eastAsia" w:ascii="华文中宋" w:hAnsi="华文中宋" w:eastAsia="华文中宋" w:cs="宋体"/>
          <w:color w:val="000000"/>
          <w:kern w:val="0"/>
          <w:sz w:val="32"/>
          <w:szCs w:val="32"/>
        </w:rPr>
        <w:t>课程名称：</w:t>
      </w:r>
      <w:r>
        <w:rPr>
          <w:rFonts w:hint="eastAsia" w:ascii="华文中宋" w:hAnsi="华文中宋" w:eastAsia="华文中宋" w:cs="宋体"/>
          <w:color w:val="000000"/>
          <w:kern w:val="0"/>
          <w:sz w:val="32"/>
          <w:szCs w:val="32"/>
          <w:u w:val="single"/>
        </w:rPr>
        <w:t xml:space="preserve">                           </w:t>
      </w:r>
    </w:p>
    <w:p>
      <w:pPr>
        <w:pageBreakBefore w:val="0"/>
        <w:topLinePunct w:val="0"/>
        <w:bidi w:val="0"/>
        <w:ind w:firstLine="1456" w:firstLineChars="455"/>
        <w:jc w:val="left"/>
        <w:outlineLvl w:val="9"/>
        <w:rPr>
          <w:rFonts w:ascii="华文中宋" w:hAnsi="华文中宋" w:eastAsia="华文中宋" w:cs="宋体"/>
          <w:color w:val="000000"/>
          <w:kern w:val="0"/>
          <w:sz w:val="32"/>
          <w:szCs w:val="32"/>
          <w:u w:val="single"/>
        </w:rPr>
      </w:pPr>
      <w:r>
        <w:rPr>
          <w:rFonts w:hint="eastAsia" w:ascii="华文中宋" w:hAnsi="华文中宋" w:eastAsia="华文中宋" w:cs="宋体"/>
          <w:color w:val="000000"/>
          <w:kern w:val="0"/>
          <w:sz w:val="32"/>
          <w:szCs w:val="32"/>
        </w:rPr>
        <w:t>课程负责人：</w:t>
      </w:r>
      <w:r>
        <w:rPr>
          <w:rFonts w:hint="eastAsia" w:ascii="华文中宋" w:hAnsi="华文中宋" w:eastAsia="华文中宋" w:cs="宋体"/>
          <w:color w:val="000000"/>
          <w:kern w:val="0"/>
          <w:sz w:val="32"/>
          <w:szCs w:val="32"/>
          <w:u w:val="single"/>
        </w:rPr>
        <w:t xml:space="preserve">                         </w:t>
      </w:r>
    </w:p>
    <w:p>
      <w:pPr>
        <w:pageBreakBefore w:val="0"/>
        <w:topLinePunct w:val="0"/>
        <w:bidi w:val="0"/>
        <w:ind w:firstLine="1456" w:firstLineChars="455"/>
        <w:jc w:val="left"/>
        <w:outlineLvl w:val="9"/>
        <w:rPr>
          <w:rFonts w:ascii="华文中宋" w:hAnsi="华文中宋" w:eastAsia="华文中宋"/>
          <w:sz w:val="32"/>
          <w:szCs w:val="32"/>
        </w:rPr>
      </w:pPr>
      <w:r>
        <w:rPr>
          <w:rFonts w:hint="eastAsia" w:ascii="华文中宋" w:hAnsi="华文中宋" w:eastAsia="华文中宋" w:cs="宋体"/>
          <w:color w:val="000000"/>
          <w:kern w:val="0"/>
          <w:sz w:val="32"/>
          <w:szCs w:val="32"/>
        </w:rPr>
        <w:t>项目负责人：</w:t>
      </w:r>
      <w:r>
        <w:rPr>
          <w:rFonts w:hint="eastAsia" w:ascii="华文中宋" w:hAnsi="华文中宋" w:eastAsia="华文中宋" w:cs="宋体"/>
          <w:color w:val="000000"/>
          <w:kern w:val="0"/>
          <w:sz w:val="32"/>
          <w:szCs w:val="32"/>
          <w:u w:val="single"/>
        </w:rPr>
        <w:t xml:space="preserve">                         </w:t>
      </w:r>
    </w:p>
    <w:p>
      <w:pPr>
        <w:pageBreakBefore w:val="0"/>
        <w:topLinePunct w:val="0"/>
        <w:bidi w:val="0"/>
        <w:jc w:val="left"/>
        <w:outlineLvl w:val="9"/>
        <w:rPr>
          <w:rFonts w:eastAsia="华文楷体"/>
          <w:sz w:val="28"/>
          <w:szCs w:val="28"/>
        </w:rPr>
      </w:pPr>
    </w:p>
    <w:p>
      <w:pPr>
        <w:pageBreakBefore w:val="0"/>
        <w:topLinePunct w:val="0"/>
        <w:bidi w:val="0"/>
        <w:outlineLvl w:val="9"/>
        <w:rPr>
          <w:rFonts w:eastAsia="华文楷体"/>
          <w:sz w:val="28"/>
          <w:szCs w:val="28"/>
        </w:rPr>
      </w:pPr>
    </w:p>
    <w:p>
      <w:pPr>
        <w:pageBreakBefore w:val="0"/>
        <w:topLinePunct w:val="0"/>
        <w:bidi w:val="0"/>
        <w:outlineLvl w:val="9"/>
        <w:rPr>
          <w:rFonts w:eastAsia="华文楷体"/>
          <w:sz w:val="28"/>
          <w:szCs w:val="28"/>
        </w:rPr>
      </w:pPr>
    </w:p>
    <w:p>
      <w:pPr>
        <w:pStyle w:val="21"/>
        <w:pageBreakBefore w:val="0"/>
        <w:topLinePunct w:val="0"/>
        <w:bidi w:val="0"/>
        <w:ind w:left="99" w:leftChars="47"/>
        <w:jc w:val="center"/>
        <w:outlineLvl w:val="9"/>
        <w:rPr>
          <w:rFonts w:ascii="宋体" w:hAnsi="宋体" w:cs="宋体"/>
          <w:b/>
          <w:bCs/>
          <w:sz w:val="32"/>
          <w:szCs w:val="32"/>
        </w:rPr>
      </w:pPr>
      <w:r>
        <w:rPr>
          <w:rFonts w:hint="eastAsia" w:ascii="宋体" w:hAnsi="宋体" w:cs="宋体"/>
          <w:b/>
          <w:bCs/>
          <w:sz w:val="32"/>
          <w:szCs w:val="32"/>
        </w:rPr>
        <w:t xml:space="preserve">上海电子信息职业技术学院教务处  </w:t>
      </w:r>
    </w:p>
    <w:p>
      <w:pPr>
        <w:pStyle w:val="21"/>
        <w:pageBreakBefore w:val="0"/>
        <w:topLinePunct w:val="0"/>
        <w:bidi w:val="0"/>
        <w:ind w:left="99" w:leftChars="47"/>
        <w:jc w:val="center"/>
        <w:outlineLvl w:val="9"/>
        <w:rPr>
          <w:rFonts w:ascii="宋体"/>
          <w:b/>
          <w:bCs/>
          <w:sz w:val="32"/>
          <w:szCs w:val="32"/>
        </w:rPr>
      </w:pPr>
      <w:r>
        <w:rPr>
          <w:rFonts w:ascii="宋体" w:hAnsi="宋体" w:cs="宋体"/>
          <w:b/>
          <w:bCs/>
          <w:sz w:val="32"/>
          <w:szCs w:val="32"/>
        </w:rPr>
        <w:t>20</w:t>
      </w:r>
      <w:r>
        <w:rPr>
          <w:rFonts w:hint="eastAsia" w:ascii="宋体" w:hAnsi="宋体" w:cs="宋体"/>
          <w:b/>
          <w:bCs/>
          <w:sz w:val="32"/>
          <w:szCs w:val="32"/>
        </w:rPr>
        <w:t>2</w:t>
      </w:r>
      <w:r>
        <w:rPr>
          <w:rFonts w:hint="eastAsia" w:ascii="宋体" w:hAnsi="宋体" w:cs="宋体"/>
          <w:b/>
          <w:bCs/>
          <w:sz w:val="32"/>
          <w:szCs w:val="32"/>
          <w:lang w:val="en-US" w:eastAsia="zh-CN"/>
        </w:rPr>
        <w:t>1</w:t>
      </w:r>
      <w:r>
        <w:rPr>
          <w:rFonts w:hint="eastAsia" w:ascii="宋体" w:hAnsi="宋体" w:cs="宋体"/>
          <w:b/>
          <w:bCs/>
          <w:sz w:val="32"/>
          <w:szCs w:val="32"/>
        </w:rPr>
        <w:t>年</w:t>
      </w:r>
      <w:r>
        <w:rPr>
          <w:rFonts w:hint="eastAsia" w:ascii="宋体" w:hAnsi="宋体" w:cs="宋体"/>
          <w:b/>
          <w:bCs/>
          <w:sz w:val="32"/>
          <w:szCs w:val="32"/>
          <w:lang w:val="en-US" w:eastAsia="zh-CN"/>
        </w:rPr>
        <w:t>6</w:t>
      </w:r>
      <w:r>
        <w:rPr>
          <w:rFonts w:hint="eastAsia" w:ascii="宋体" w:hAnsi="宋体" w:cs="宋体"/>
          <w:b/>
          <w:bCs/>
          <w:sz w:val="32"/>
          <w:szCs w:val="32"/>
        </w:rPr>
        <w:t>月</w:t>
      </w:r>
      <w:r>
        <w:rPr>
          <w:rFonts w:ascii="宋体" w:hAnsi="宋体" w:cs="宋体"/>
          <w:b/>
          <w:bCs/>
          <w:sz w:val="32"/>
          <w:szCs w:val="32"/>
        </w:rPr>
        <w:t xml:space="preserve"> </w:t>
      </w:r>
      <w:r>
        <w:rPr>
          <w:rFonts w:hint="eastAsia" w:ascii="宋体" w:hAnsi="宋体" w:cs="宋体"/>
          <w:b/>
          <w:bCs/>
          <w:sz w:val="32"/>
          <w:szCs w:val="32"/>
        </w:rPr>
        <w:t>制</w:t>
      </w:r>
    </w:p>
    <w:p>
      <w:pPr>
        <w:pageBreakBefore w:val="0"/>
        <w:topLinePunct w:val="0"/>
        <w:bidi w:val="0"/>
        <w:spacing w:line="460" w:lineRule="exact"/>
        <w:jc w:val="center"/>
        <w:outlineLvl w:val="9"/>
        <w:rPr>
          <w:rFonts w:ascii="黑体" w:hAnsi="黑体" w:eastAsia="黑体"/>
          <w:b/>
          <w:bCs/>
          <w:color w:val="000000"/>
          <w:sz w:val="44"/>
          <w:szCs w:val="44"/>
        </w:rPr>
      </w:pPr>
      <w:r>
        <w:rPr>
          <w:rFonts w:ascii="宋体" w:hAnsi="宋体" w:cs="宋体"/>
          <w:b/>
          <w:bCs/>
          <w:color w:val="000000"/>
          <w:sz w:val="44"/>
          <w:szCs w:val="44"/>
        </w:rPr>
        <w:br w:type="page"/>
      </w:r>
      <w:r>
        <w:rPr>
          <w:rFonts w:hint="eastAsia" w:ascii="黑体" w:hAnsi="黑体" w:eastAsia="黑体" w:cs="宋体"/>
          <w:b/>
          <w:bCs/>
          <w:color w:val="000000"/>
          <w:sz w:val="44"/>
          <w:szCs w:val="44"/>
        </w:rPr>
        <w:t>填</w:t>
      </w:r>
      <w:r>
        <w:rPr>
          <w:rFonts w:ascii="黑体" w:hAnsi="黑体" w:eastAsia="黑体" w:cs="宋体"/>
          <w:b/>
          <w:bCs/>
          <w:color w:val="000000"/>
          <w:sz w:val="44"/>
          <w:szCs w:val="44"/>
        </w:rPr>
        <w:t xml:space="preserve"> </w:t>
      </w:r>
      <w:r>
        <w:rPr>
          <w:rFonts w:hint="eastAsia" w:ascii="黑体" w:hAnsi="黑体" w:eastAsia="黑体" w:cs="宋体"/>
          <w:b/>
          <w:bCs/>
          <w:color w:val="000000"/>
          <w:sz w:val="44"/>
          <w:szCs w:val="44"/>
        </w:rPr>
        <w:t>写</w:t>
      </w:r>
      <w:r>
        <w:rPr>
          <w:rFonts w:ascii="黑体" w:hAnsi="黑体" w:eastAsia="黑体" w:cs="宋体"/>
          <w:b/>
          <w:bCs/>
          <w:color w:val="000000"/>
          <w:sz w:val="44"/>
          <w:szCs w:val="44"/>
        </w:rPr>
        <w:t xml:space="preserve"> </w:t>
      </w:r>
      <w:r>
        <w:rPr>
          <w:rFonts w:hint="eastAsia" w:ascii="黑体" w:hAnsi="黑体" w:eastAsia="黑体" w:cs="宋体"/>
          <w:b/>
          <w:bCs/>
          <w:color w:val="000000"/>
          <w:sz w:val="44"/>
          <w:szCs w:val="44"/>
        </w:rPr>
        <w:t>说</w:t>
      </w:r>
      <w:r>
        <w:rPr>
          <w:rFonts w:ascii="黑体" w:hAnsi="黑体" w:eastAsia="黑体" w:cs="宋体"/>
          <w:b/>
          <w:bCs/>
          <w:color w:val="000000"/>
          <w:sz w:val="44"/>
          <w:szCs w:val="44"/>
        </w:rPr>
        <w:t xml:space="preserve"> </w:t>
      </w:r>
      <w:r>
        <w:rPr>
          <w:rFonts w:hint="eastAsia" w:ascii="黑体" w:hAnsi="黑体" w:eastAsia="黑体" w:cs="宋体"/>
          <w:b/>
          <w:bCs/>
          <w:color w:val="000000"/>
          <w:sz w:val="44"/>
          <w:szCs w:val="44"/>
        </w:rPr>
        <w:t>明</w:t>
      </w:r>
    </w:p>
    <w:p>
      <w:pPr>
        <w:pageBreakBefore w:val="0"/>
        <w:topLinePunct w:val="0"/>
        <w:bidi w:val="0"/>
        <w:spacing w:line="460" w:lineRule="exact"/>
        <w:outlineLvl w:val="9"/>
        <w:rPr>
          <w:rFonts w:ascii="宋体"/>
          <w:color w:val="000000"/>
          <w:sz w:val="30"/>
          <w:szCs w:val="30"/>
        </w:rPr>
      </w:pPr>
    </w:p>
    <w:p>
      <w:pPr>
        <w:pageBreakBefore w:val="0"/>
        <w:topLinePunct w:val="0"/>
        <w:bidi w:val="0"/>
        <w:spacing w:line="460" w:lineRule="exact"/>
        <w:outlineLvl w:val="9"/>
        <w:rPr>
          <w:rFonts w:ascii="宋体"/>
          <w:color w:val="000000"/>
          <w:sz w:val="30"/>
          <w:szCs w:val="30"/>
        </w:rPr>
      </w:pPr>
    </w:p>
    <w:p>
      <w:pPr>
        <w:pageBreakBefore w:val="0"/>
        <w:topLinePunct w:val="0"/>
        <w:bidi w:val="0"/>
        <w:spacing w:line="600" w:lineRule="exact"/>
        <w:ind w:firstLine="560" w:firstLineChars="200"/>
        <w:outlineLvl w:val="9"/>
        <w:rPr>
          <w:rFonts w:ascii="黑体" w:hAnsi="黑体" w:eastAsia="黑体"/>
        </w:rPr>
      </w:pPr>
      <w:r>
        <w:rPr>
          <w:rFonts w:ascii="黑体" w:hAnsi="黑体" w:eastAsia="黑体"/>
          <w:sz w:val="28"/>
          <w:szCs w:val="28"/>
        </w:rPr>
        <w:t>1.</w:t>
      </w:r>
      <w:r>
        <w:rPr>
          <w:rFonts w:ascii="黑体" w:hAnsi="黑体" w:eastAsia="黑体"/>
        </w:rPr>
        <w:t xml:space="preserve"> </w:t>
      </w:r>
      <w:r>
        <w:rPr>
          <w:rFonts w:hint="eastAsia" w:ascii="黑体" w:hAnsi="黑体" w:eastAsia="黑体" w:cs="宋体"/>
          <w:color w:val="000000"/>
          <w:sz w:val="28"/>
          <w:szCs w:val="28"/>
        </w:rPr>
        <w:t>每个课程资源建设项目填写一份建设方案。</w:t>
      </w:r>
    </w:p>
    <w:p>
      <w:pPr>
        <w:pageBreakBefore w:val="0"/>
        <w:topLinePunct w:val="0"/>
        <w:bidi w:val="0"/>
        <w:spacing w:line="600" w:lineRule="exact"/>
        <w:ind w:firstLine="560" w:firstLineChars="200"/>
        <w:outlineLvl w:val="9"/>
        <w:rPr>
          <w:rFonts w:ascii="黑体" w:hAnsi="黑体" w:eastAsia="黑体"/>
          <w:sz w:val="28"/>
          <w:szCs w:val="28"/>
        </w:rPr>
      </w:pPr>
      <w:r>
        <w:rPr>
          <w:rFonts w:ascii="黑体" w:hAnsi="黑体" w:eastAsia="黑体"/>
          <w:sz w:val="28"/>
          <w:szCs w:val="28"/>
        </w:rPr>
        <w:t xml:space="preserve">2. </w:t>
      </w:r>
      <w:r>
        <w:rPr>
          <w:rFonts w:hint="eastAsia" w:ascii="黑体" w:hAnsi="黑体" w:eastAsia="黑体"/>
          <w:sz w:val="28"/>
          <w:szCs w:val="28"/>
        </w:rPr>
        <w:t>建设方案各项内容要实事求是，真实可靠。学校应严格审核，对所填内容的真实性负责。</w:t>
      </w:r>
    </w:p>
    <w:p>
      <w:pPr>
        <w:pageBreakBefore w:val="0"/>
        <w:topLinePunct w:val="0"/>
        <w:bidi w:val="0"/>
        <w:spacing w:line="600" w:lineRule="exact"/>
        <w:ind w:firstLine="560" w:firstLineChars="200"/>
        <w:outlineLvl w:val="9"/>
        <w:rPr>
          <w:rFonts w:ascii="黑体" w:hAnsi="黑体" w:eastAsia="黑体"/>
          <w:sz w:val="28"/>
          <w:szCs w:val="28"/>
        </w:rPr>
      </w:pPr>
      <w:r>
        <w:rPr>
          <w:rFonts w:ascii="黑体" w:hAnsi="黑体" w:eastAsia="黑体"/>
          <w:sz w:val="28"/>
          <w:szCs w:val="28"/>
        </w:rPr>
        <w:t>3.</w:t>
      </w:r>
      <w:r>
        <w:rPr>
          <w:rFonts w:ascii="黑体" w:hAnsi="黑体" w:eastAsia="黑体"/>
        </w:rPr>
        <w:t xml:space="preserve"> </w:t>
      </w:r>
      <w:r>
        <w:rPr>
          <w:rFonts w:hint="eastAsia" w:ascii="黑体" w:hAnsi="黑体" w:eastAsia="黑体"/>
          <w:sz w:val="28"/>
          <w:szCs w:val="28"/>
        </w:rPr>
        <w:t>请按格式填写，文字表达要明确、简洁，表中空格不够时，可另附页。</w:t>
      </w:r>
    </w:p>
    <w:p>
      <w:pPr>
        <w:pageBreakBefore w:val="0"/>
        <w:topLinePunct w:val="0"/>
        <w:bidi w:val="0"/>
        <w:spacing w:line="600" w:lineRule="exact"/>
        <w:ind w:firstLine="560" w:firstLineChars="200"/>
        <w:outlineLvl w:val="9"/>
        <w:rPr>
          <w:rFonts w:ascii="黑体" w:hAnsi="黑体" w:eastAsia="黑体"/>
          <w:sz w:val="28"/>
          <w:szCs w:val="28"/>
        </w:rPr>
      </w:pPr>
      <w:r>
        <w:rPr>
          <w:rFonts w:ascii="黑体" w:hAnsi="黑体" w:eastAsia="黑体"/>
          <w:sz w:val="28"/>
          <w:szCs w:val="28"/>
        </w:rPr>
        <w:t>4.</w:t>
      </w:r>
      <w:r>
        <w:rPr>
          <w:rFonts w:ascii="黑体" w:hAnsi="黑体" w:eastAsia="黑体"/>
        </w:rPr>
        <w:t xml:space="preserve"> </w:t>
      </w:r>
      <w:r>
        <w:rPr>
          <w:rFonts w:hint="eastAsia" w:ascii="黑体" w:hAnsi="黑体" w:eastAsia="黑体"/>
          <w:sz w:val="28"/>
          <w:szCs w:val="28"/>
        </w:rPr>
        <w:t>有关外文缩写，须注明完整词序和中文含义。</w:t>
      </w:r>
    </w:p>
    <w:p>
      <w:pPr>
        <w:pageBreakBefore w:val="0"/>
        <w:topLinePunct w:val="0"/>
        <w:bidi w:val="0"/>
        <w:spacing w:line="600" w:lineRule="exact"/>
        <w:ind w:firstLine="560" w:firstLineChars="200"/>
        <w:outlineLvl w:val="9"/>
        <w:rPr>
          <w:rFonts w:ascii="黑体" w:hAnsi="黑体" w:eastAsia="黑体"/>
          <w:sz w:val="28"/>
          <w:szCs w:val="28"/>
        </w:rPr>
      </w:pPr>
      <w:r>
        <w:rPr>
          <w:rFonts w:ascii="黑体" w:hAnsi="黑体" w:eastAsia="黑体"/>
          <w:sz w:val="28"/>
          <w:szCs w:val="28"/>
        </w:rPr>
        <w:t xml:space="preserve">5. </w:t>
      </w:r>
      <w:r>
        <w:rPr>
          <w:rFonts w:hint="eastAsia" w:ascii="黑体" w:hAnsi="黑体" w:eastAsia="黑体"/>
          <w:sz w:val="28"/>
          <w:szCs w:val="28"/>
        </w:rPr>
        <w:t>建设方案须由负责人签名，经部门领导审核、签署意见后，加盖公章提交。</w:t>
      </w:r>
    </w:p>
    <w:p>
      <w:pPr>
        <w:pageBreakBefore w:val="0"/>
        <w:topLinePunct w:val="0"/>
        <w:bidi w:val="0"/>
        <w:spacing w:line="600" w:lineRule="exact"/>
        <w:ind w:firstLine="560" w:firstLineChars="200"/>
        <w:outlineLvl w:val="9"/>
        <w:rPr>
          <w:rFonts w:ascii="黑体" w:hAnsi="黑体" w:eastAsia="黑体"/>
          <w:sz w:val="28"/>
          <w:szCs w:val="28"/>
        </w:rPr>
      </w:pPr>
      <w:r>
        <w:rPr>
          <w:rFonts w:ascii="黑体" w:hAnsi="黑体" w:eastAsia="黑体"/>
          <w:sz w:val="28"/>
          <w:szCs w:val="28"/>
        </w:rPr>
        <w:t>6.</w:t>
      </w:r>
      <w:r>
        <w:rPr>
          <w:rFonts w:hint="eastAsia" w:ascii="黑体" w:hAnsi="黑体" w:eastAsia="黑体"/>
          <w:sz w:val="28"/>
          <w:szCs w:val="28"/>
        </w:rPr>
        <w:t>建设方案需用</w:t>
      </w:r>
      <w:r>
        <w:rPr>
          <w:rFonts w:ascii="黑体" w:hAnsi="黑体" w:eastAsia="黑体"/>
          <w:sz w:val="28"/>
          <w:szCs w:val="28"/>
        </w:rPr>
        <w:t>A4纸，小四号字，双面打印，左侧装订成册。</w:t>
      </w:r>
    </w:p>
    <w:p>
      <w:pPr>
        <w:pageBreakBefore w:val="0"/>
        <w:topLinePunct w:val="0"/>
        <w:bidi w:val="0"/>
        <w:spacing w:line="560" w:lineRule="exact"/>
        <w:ind w:firstLine="560" w:firstLineChars="200"/>
        <w:outlineLvl w:val="9"/>
        <w:rPr>
          <w:rFonts w:ascii="黑体" w:eastAsia="黑体"/>
          <w:sz w:val="28"/>
          <w:szCs w:val="28"/>
        </w:rPr>
      </w:pPr>
    </w:p>
    <w:tbl>
      <w:tblPr>
        <w:tblStyle w:val="3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0" w:hRule="atLeast"/>
        </w:trPr>
        <w:tc>
          <w:tcPr>
            <w:tcW w:w="9039" w:type="dxa"/>
            <w:noWrap w:val="0"/>
            <w:vAlign w:val="top"/>
          </w:tcPr>
          <w:p>
            <w:pPr>
              <w:pageBreakBefore w:val="0"/>
              <w:topLinePunct w:val="0"/>
              <w:bidi w:val="0"/>
              <w:outlineLvl w:val="9"/>
              <w:rPr>
                <w:rFonts w:ascii="仿宋_GB2312" w:hAnsi="仿宋" w:eastAsia="仿宋_GB2312"/>
                <w:color w:val="000000"/>
                <w:sz w:val="28"/>
                <w:szCs w:val="28"/>
              </w:rPr>
            </w:pPr>
            <w:bookmarkStart w:id="348" w:name="_Hlk3192720"/>
            <w:r>
              <w:rPr>
                <w:rFonts w:hint="eastAsia" w:ascii="仿宋_GB2312" w:hAnsi="仿宋" w:eastAsia="仿宋_GB2312"/>
                <w:b/>
                <w:color w:val="000000"/>
                <w:sz w:val="28"/>
                <w:szCs w:val="28"/>
              </w:rPr>
              <w:t>一、建设基础</w:t>
            </w:r>
            <w:r>
              <w:rPr>
                <w:rFonts w:hint="eastAsia" w:ascii="仿宋_GB2312" w:hAnsi="仿宋" w:eastAsia="仿宋_GB2312"/>
                <w:color w:val="000000"/>
                <w:sz w:val="28"/>
                <w:szCs w:val="28"/>
              </w:rPr>
              <w:t>（5</w:t>
            </w:r>
            <w:r>
              <w:rPr>
                <w:rFonts w:ascii="仿宋_GB2312" w:hAnsi="仿宋" w:eastAsia="仿宋_GB2312"/>
                <w:color w:val="000000"/>
                <w:sz w:val="28"/>
                <w:szCs w:val="28"/>
              </w:rPr>
              <w:t>00</w:t>
            </w:r>
            <w:r>
              <w:rPr>
                <w:rFonts w:hint="eastAsia" w:ascii="仿宋_GB2312" w:hAnsi="仿宋" w:eastAsia="仿宋_GB2312"/>
                <w:color w:val="000000"/>
                <w:sz w:val="28"/>
                <w:szCs w:val="28"/>
              </w:rPr>
              <w:t>字以内）</w:t>
            </w:r>
          </w:p>
          <w:bookmarkEnd w:id="348"/>
          <w:p>
            <w:pPr>
              <w:pageBreakBefore w:val="0"/>
              <w:topLinePunct w:val="0"/>
              <w:bidi w:val="0"/>
              <w:outlineLvl w:val="9"/>
              <w:rPr>
                <w:rFonts w:ascii="仿宋_GB2312" w:hAnsi="仿宋" w:eastAsia="仿宋_GB2312"/>
                <w:color w:val="000000"/>
                <w:sz w:val="28"/>
                <w:szCs w:val="28"/>
              </w:rPr>
            </w:pPr>
            <w:bookmarkStart w:id="349" w:name="_Hlk3203131"/>
            <w:r>
              <w:rPr>
                <w:rFonts w:hint="eastAsia" w:ascii="仿宋_GB2312" w:hAnsi="仿宋" w:eastAsia="仿宋_GB2312"/>
                <w:color w:val="000000"/>
                <w:sz w:val="28"/>
                <w:szCs w:val="28"/>
              </w:rPr>
              <w:t>——从已有教学文件、教学实施方案、纸质及数字教材、案例收集情况等基础性课程资源建设方面阐述。</w:t>
            </w:r>
            <w:bookmarkEnd w:id="349"/>
          </w:p>
          <w:p>
            <w:pPr>
              <w:pageBreakBefore w:val="0"/>
              <w:topLinePunct w:val="0"/>
              <w:bidi w:val="0"/>
              <w:outlineLvl w:val="9"/>
              <w:rPr>
                <w:rFonts w:ascii="仿宋_GB2312" w:hAnsi="仿宋" w:eastAsia="仿宋_GB2312"/>
                <w:color w:val="000000"/>
                <w:sz w:val="28"/>
                <w:szCs w:val="28"/>
              </w:rPr>
            </w:pPr>
            <w:r>
              <w:rPr>
                <w:rFonts w:hint="eastAsia" w:ascii="仿宋_GB2312" w:hAnsi="仿宋" w:eastAsia="仿宋_GB2312"/>
                <w:color w:val="000000"/>
                <w:sz w:val="28"/>
                <w:szCs w:val="28"/>
              </w:rPr>
              <w:t>——从课程已建资源情况、建设年份、建设经费、建设项目、项目负责人及详细建设内容等方面阐述。</w:t>
            </w: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tc>
      </w:tr>
    </w:tbl>
    <w:p>
      <w:pPr>
        <w:pageBreakBefore w:val="0"/>
        <w:topLinePunct w:val="0"/>
        <w:bidi w:val="0"/>
        <w:outlineLvl w:val="9"/>
      </w:pPr>
      <w:r>
        <w:br w:type="page"/>
      </w:r>
    </w:p>
    <w:tbl>
      <w:tblPr>
        <w:tblStyle w:val="37"/>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trPr>
        <w:tc>
          <w:tcPr>
            <w:tcW w:w="9039" w:type="dxa"/>
            <w:noWrap w:val="0"/>
            <w:vAlign w:val="top"/>
          </w:tcPr>
          <w:p>
            <w:pPr>
              <w:pageBreakBefore w:val="0"/>
              <w:topLinePunct w:val="0"/>
              <w:bidi w:val="0"/>
              <w:outlineLvl w:val="9"/>
              <w:rPr>
                <w:rFonts w:ascii="仿宋_GB2312" w:hAnsi="仿宋" w:eastAsia="仿宋_GB2312"/>
                <w:color w:val="000000"/>
                <w:sz w:val="28"/>
                <w:szCs w:val="28"/>
              </w:rPr>
            </w:pPr>
            <w:bookmarkStart w:id="350" w:name="_Hlk3192734"/>
            <w:r>
              <w:rPr>
                <w:rFonts w:hint="eastAsia" w:ascii="仿宋_GB2312" w:hAnsi="仿宋" w:eastAsia="仿宋_GB2312"/>
                <w:b/>
                <w:color w:val="000000"/>
                <w:sz w:val="28"/>
                <w:szCs w:val="28"/>
              </w:rPr>
              <w:t>二、建设规划</w:t>
            </w:r>
            <w:r>
              <w:rPr>
                <w:rFonts w:hint="eastAsia" w:ascii="仿宋_GB2312" w:hAnsi="仿宋" w:eastAsia="仿宋_GB2312"/>
                <w:color w:val="000000"/>
                <w:sz w:val="28"/>
                <w:szCs w:val="28"/>
              </w:rPr>
              <w:t>（5</w:t>
            </w:r>
            <w:r>
              <w:rPr>
                <w:rFonts w:ascii="仿宋_GB2312" w:hAnsi="仿宋" w:eastAsia="仿宋_GB2312"/>
                <w:color w:val="000000"/>
                <w:sz w:val="28"/>
                <w:szCs w:val="28"/>
              </w:rPr>
              <w:t>00</w:t>
            </w:r>
            <w:r>
              <w:rPr>
                <w:rFonts w:hint="eastAsia" w:ascii="仿宋_GB2312" w:hAnsi="仿宋" w:eastAsia="仿宋_GB2312"/>
                <w:color w:val="000000"/>
                <w:sz w:val="28"/>
                <w:szCs w:val="28"/>
              </w:rPr>
              <w:t>字以内）</w:t>
            </w:r>
          </w:p>
          <w:p>
            <w:pPr>
              <w:pageBreakBefore w:val="0"/>
              <w:topLinePunct w:val="0"/>
              <w:bidi w:val="0"/>
              <w:outlineLvl w:val="9"/>
              <w:rPr>
                <w:rFonts w:ascii="仿宋_GB2312" w:hAnsi="仿宋" w:eastAsia="仿宋_GB2312"/>
                <w:color w:val="000000"/>
                <w:sz w:val="28"/>
                <w:szCs w:val="28"/>
              </w:rPr>
            </w:pPr>
            <w:bookmarkStart w:id="351" w:name="_Hlk3203150"/>
            <w:r>
              <w:rPr>
                <w:rFonts w:hint="eastAsia" w:ascii="仿宋_GB2312" w:hAnsi="仿宋" w:eastAsia="仿宋_GB2312"/>
                <w:color w:val="000000"/>
                <w:sz w:val="28"/>
                <w:szCs w:val="28"/>
              </w:rPr>
              <w:t>（一）本年度主要设想</w:t>
            </w:r>
          </w:p>
          <w:p>
            <w:pPr>
              <w:pageBreakBefore w:val="0"/>
              <w:topLinePunct w:val="0"/>
              <w:bidi w:val="0"/>
              <w:outlineLvl w:val="9"/>
              <w:rPr>
                <w:rFonts w:ascii="仿宋_GB2312" w:hAnsi="仿宋" w:eastAsia="仿宋_GB2312"/>
                <w:color w:val="000000"/>
                <w:sz w:val="28"/>
                <w:szCs w:val="28"/>
              </w:rPr>
            </w:pPr>
            <w:r>
              <w:rPr>
                <w:rFonts w:hint="eastAsia" w:ascii="仿宋_GB2312" w:hAnsi="仿宋" w:eastAsia="仿宋_GB2312"/>
                <w:color w:val="000000"/>
                <w:sz w:val="28"/>
                <w:szCs w:val="28"/>
              </w:rPr>
              <w:t>可从主要建设的内容，哪些自建，哪些需要经费支持方面阐述。</w:t>
            </w: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r>
              <w:rPr>
                <w:rFonts w:hint="eastAsia" w:ascii="仿宋_GB2312" w:hAnsi="仿宋" w:eastAsia="仿宋_GB2312"/>
                <w:color w:val="000000"/>
                <w:sz w:val="28"/>
                <w:szCs w:val="28"/>
              </w:rPr>
              <w:t>（二）后续进一步建设计划</w:t>
            </w:r>
          </w:p>
          <w:p>
            <w:pPr>
              <w:pageBreakBefore w:val="0"/>
              <w:topLinePunct w:val="0"/>
              <w:bidi w:val="0"/>
              <w:outlineLvl w:val="9"/>
              <w:rPr>
                <w:rFonts w:ascii="仿宋_GB2312" w:hAnsi="仿宋" w:eastAsia="仿宋_GB2312"/>
                <w:color w:val="000000"/>
                <w:sz w:val="28"/>
                <w:szCs w:val="28"/>
              </w:rPr>
            </w:pPr>
          </w:p>
          <w:bookmarkEnd w:id="350"/>
          <w:bookmarkEnd w:id="351"/>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9039" w:type="dxa"/>
            <w:noWrap w:val="0"/>
            <w:vAlign w:val="top"/>
          </w:tcPr>
          <w:p>
            <w:pPr>
              <w:pageBreakBefore w:val="0"/>
              <w:topLinePunct w:val="0"/>
              <w:bidi w:val="0"/>
              <w:outlineLvl w:val="9"/>
              <w:rPr>
                <w:rFonts w:ascii="仿宋_GB2312" w:hAnsi="仿宋" w:eastAsia="仿宋_GB2312"/>
                <w:b/>
                <w:color w:val="000000"/>
                <w:sz w:val="28"/>
                <w:szCs w:val="28"/>
              </w:rPr>
            </w:pPr>
            <w:bookmarkStart w:id="352" w:name="_Hlk3192740"/>
            <w:r>
              <w:rPr>
                <w:rFonts w:hint="eastAsia" w:ascii="仿宋_GB2312" w:hAnsi="仿宋" w:eastAsia="仿宋_GB2312"/>
                <w:b/>
                <w:color w:val="000000"/>
                <w:sz w:val="28"/>
                <w:szCs w:val="28"/>
              </w:rPr>
              <w:t>三、课程资源建设内容</w:t>
            </w:r>
          </w:p>
          <w:p>
            <w:pPr>
              <w:pageBreakBefore w:val="0"/>
              <w:topLinePunct w:val="0"/>
              <w:bidi w:val="0"/>
              <w:outlineLvl w:val="9"/>
              <w:rPr>
                <w:rFonts w:ascii="仿宋_GB2312" w:hAnsi="仿宋" w:eastAsia="仿宋_GB2312"/>
                <w:color w:val="000000"/>
                <w:sz w:val="28"/>
                <w:szCs w:val="28"/>
              </w:rPr>
            </w:pPr>
            <w:r>
              <w:rPr>
                <w:rFonts w:hint="eastAsia" w:ascii="仿宋_GB2312" w:hAnsi="仿宋" w:eastAsia="仿宋_GB2312"/>
                <w:color w:val="000000"/>
                <w:sz w:val="28"/>
                <w:szCs w:val="28"/>
              </w:rPr>
              <w:t>（一）课程（模块）资源</w:t>
            </w:r>
          </w:p>
          <w:p>
            <w:pPr>
              <w:pageBreakBefore w:val="0"/>
              <w:topLinePunct w:val="0"/>
              <w:bidi w:val="0"/>
              <w:ind w:firstLine="445"/>
              <w:outlineLvl w:val="9"/>
              <w:rPr>
                <w:rFonts w:ascii="仿宋_GB2312" w:hAnsi="仿宋" w:eastAsia="仿宋_GB2312"/>
                <w:color w:val="000000"/>
                <w:sz w:val="28"/>
                <w:szCs w:val="28"/>
              </w:rPr>
            </w:pPr>
            <w:r>
              <w:rPr>
                <w:rFonts w:hint="eastAsia" w:ascii="仿宋_GB2312" w:hAnsi="仿宋" w:eastAsia="仿宋_GB2312"/>
                <w:color w:val="000000"/>
                <w:sz w:val="28"/>
                <w:szCs w:val="28"/>
              </w:rPr>
              <w:t>教案、教材、课件等等。</w:t>
            </w:r>
          </w:p>
          <w:p>
            <w:pPr>
              <w:pageBreakBefore w:val="0"/>
              <w:topLinePunct w:val="0"/>
              <w:bidi w:val="0"/>
              <w:ind w:firstLine="445"/>
              <w:outlineLvl w:val="9"/>
              <w:rPr>
                <w:rFonts w:ascii="仿宋_GB2312" w:hAnsi="仿宋" w:eastAsia="仿宋_GB2312"/>
                <w:color w:val="000000"/>
                <w:sz w:val="28"/>
                <w:szCs w:val="28"/>
              </w:rPr>
            </w:pPr>
          </w:p>
          <w:p>
            <w:pPr>
              <w:pageBreakBefore w:val="0"/>
              <w:topLinePunct w:val="0"/>
              <w:bidi w:val="0"/>
              <w:ind w:firstLine="445"/>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r>
              <w:rPr>
                <w:rFonts w:hint="eastAsia" w:ascii="仿宋_GB2312" w:hAnsi="仿宋" w:eastAsia="仿宋_GB2312"/>
                <w:color w:val="000000"/>
                <w:sz w:val="28"/>
                <w:szCs w:val="28"/>
              </w:rPr>
              <w:t>（二）素材（积件）资源</w:t>
            </w:r>
          </w:p>
          <w:p>
            <w:pPr>
              <w:pageBreakBefore w:val="0"/>
              <w:topLinePunct w:val="0"/>
              <w:bidi w:val="0"/>
              <w:outlineLvl w:val="9"/>
              <w:rPr>
                <w:rFonts w:ascii="仿宋_GB2312" w:hAnsi="仿宋" w:eastAsia="仿宋_GB2312"/>
                <w:color w:val="000000"/>
                <w:sz w:val="28"/>
                <w:szCs w:val="28"/>
              </w:rPr>
            </w:pPr>
            <w:r>
              <w:rPr>
                <w:rFonts w:hint="eastAsia" w:ascii="仿宋_GB2312" w:hAnsi="仿宋" w:eastAsia="仿宋_GB2312"/>
                <w:color w:val="000000"/>
                <w:sz w:val="28"/>
                <w:szCs w:val="28"/>
              </w:rPr>
              <w:t>可从图片、声音、动画、录像、微课、虚拟操作、其他文本材料及媒体素材等方面分别详细阐述。</w:t>
            </w:r>
          </w:p>
          <w:bookmarkEnd w:id="352"/>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3" w:hRule="atLeast"/>
        </w:trPr>
        <w:tc>
          <w:tcPr>
            <w:tcW w:w="9039" w:type="dxa"/>
            <w:noWrap w:val="0"/>
            <w:vAlign w:val="top"/>
          </w:tcPr>
          <w:p>
            <w:pPr>
              <w:pageBreakBefore w:val="0"/>
              <w:topLinePunct w:val="0"/>
              <w:bidi w:val="0"/>
              <w:outlineLvl w:val="9"/>
              <w:rPr>
                <w:rFonts w:ascii="仿宋_GB2312" w:hAnsi="仿宋" w:eastAsia="仿宋_GB2312"/>
                <w:b/>
                <w:color w:val="000000"/>
                <w:sz w:val="28"/>
                <w:szCs w:val="28"/>
              </w:rPr>
            </w:pPr>
            <w:bookmarkStart w:id="353" w:name="_Hlk3192746"/>
            <w:r>
              <w:rPr>
                <w:rFonts w:hint="eastAsia" w:ascii="仿宋_GB2312" w:hAnsi="仿宋" w:eastAsia="仿宋_GB2312"/>
                <w:b/>
                <w:color w:val="000000"/>
                <w:sz w:val="28"/>
                <w:szCs w:val="28"/>
              </w:rPr>
              <w:t>四、经费预算</w:t>
            </w:r>
          </w:p>
          <w:bookmarkEnd w:id="353"/>
          <w:tbl>
            <w:tblPr>
              <w:tblStyle w:val="37"/>
              <w:tblW w:w="8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262"/>
              <w:gridCol w:w="1628"/>
              <w:gridCol w:w="1322"/>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559" w:type="dxa"/>
                  <w:noWrap w:val="0"/>
                  <w:vAlign w:val="center"/>
                </w:tcPr>
                <w:p>
                  <w:pPr>
                    <w:pageBreakBefore w:val="0"/>
                    <w:widowControl/>
                    <w:topLinePunct w:val="0"/>
                    <w:bidi w:val="0"/>
                    <w:jc w:val="center"/>
                    <w:textAlignment w:val="center"/>
                    <w:outlineLvl w:val="9"/>
                    <w:rPr>
                      <w:rFonts w:ascii="宋体" w:hAnsi="宋体"/>
                      <w:b/>
                      <w:bCs/>
                      <w:color w:val="808080"/>
                      <w:sz w:val="28"/>
                      <w:szCs w:val="28"/>
                    </w:rPr>
                  </w:pPr>
                  <w:r>
                    <w:rPr>
                      <w:rFonts w:hint="eastAsia" w:ascii="宋体" w:hAnsi="宋体" w:cs="宋体"/>
                      <w:b/>
                      <w:bCs/>
                      <w:color w:val="000000"/>
                      <w:kern w:val="0"/>
                      <w:sz w:val="24"/>
                      <w:szCs w:val="24"/>
                      <w:lang w:bidi="ar"/>
                    </w:rPr>
                    <w:t>预算内容</w:t>
                  </w:r>
                </w:p>
              </w:tc>
              <w:tc>
                <w:tcPr>
                  <w:tcW w:w="2262" w:type="dxa"/>
                  <w:noWrap w:val="0"/>
                  <w:vAlign w:val="center"/>
                </w:tcPr>
                <w:p>
                  <w:pPr>
                    <w:pageBreakBefore w:val="0"/>
                    <w:widowControl/>
                    <w:topLinePunct w:val="0"/>
                    <w:bidi w:val="0"/>
                    <w:jc w:val="center"/>
                    <w:textAlignment w:val="center"/>
                    <w:outlineLvl w:val="9"/>
                    <w:rPr>
                      <w:rFonts w:ascii="宋体" w:hAnsi="宋体"/>
                      <w:b/>
                      <w:bCs/>
                      <w:color w:val="808080"/>
                      <w:sz w:val="28"/>
                      <w:szCs w:val="28"/>
                    </w:rPr>
                  </w:pPr>
                  <w:r>
                    <w:rPr>
                      <w:rFonts w:hint="eastAsia" w:ascii="宋体" w:hAnsi="宋体" w:cs="宋体"/>
                      <w:b/>
                      <w:bCs/>
                      <w:color w:val="000000"/>
                      <w:kern w:val="0"/>
                      <w:sz w:val="24"/>
                      <w:szCs w:val="24"/>
                      <w:lang w:bidi="ar"/>
                    </w:rPr>
                    <w:t>内容描述</w:t>
                  </w:r>
                </w:p>
              </w:tc>
              <w:tc>
                <w:tcPr>
                  <w:tcW w:w="1628" w:type="dxa"/>
                  <w:noWrap w:val="0"/>
                  <w:vAlign w:val="center"/>
                </w:tcPr>
                <w:p>
                  <w:pPr>
                    <w:pageBreakBefore w:val="0"/>
                    <w:widowControl/>
                    <w:topLinePunct w:val="0"/>
                    <w:bidi w:val="0"/>
                    <w:jc w:val="center"/>
                    <w:textAlignment w:val="center"/>
                    <w:outlineLvl w:val="9"/>
                    <w:rPr>
                      <w:rFonts w:ascii="宋体" w:hAnsi="宋体"/>
                      <w:b/>
                      <w:bCs/>
                      <w:color w:val="808080"/>
                      <w:sz w:val="28"/>
                      <w:szCs w:val="28"/>
                    </w:rPr>
                  </w:pPr>
                  <w:r>
                    <w:rPr>
                      <w:rFonts w:hint="eastAsia" w:ascii="宋体" w:hAnsi="宋体" w:cs="宋体"/>
                      <w:b/>
                      <w:bCs/>
                      <w:sz w:val="24"/>
                      <w:szCs w:val="24"/>
                    </w:rPr>
                    <w:t>计价数量（时长、个数）</w:t>
                  </w:r>
                </w:p>
              </w:tc>
              <w:tc>
                <w:tcPr>
                  <w:tcW w:w="1322" w:type="dxa"/>
                  <w:noWrap w:val="0"/>
                  <w:vAlign w:val="center"/>
                </w:tcPr>
                <w:p>
                  <w:pPr>
                    <w:pageBreakBefore w:val="0"/>
                    <w:widowControl/>
                    <w:topLinePunct w:val="0"/>
                    <w:bidi w:val="0"/>
                    <w:jc w:val="center"/>
                    <w:textAlignment w:val="center"/>
                    <w:outlineLvl w:val="9"/>
                    <w:rPr>
                      <w:rFonts w:ascii="宋体" w:hAnsi="宋体" w:cs="宋体"/>
                      <w:b/>
                      <w:bCs/>
                      <w:sz w:val="24"/>
                      <w:szCs w:val="24"/>
                    </w:rPr>
                  </w:pPr>
                  <w:r>
                    <w:rPr>
                      <w:rFonts w:hint="eastAsia" w:ascii="宋体" w:hAnsi="宋体" w:cs="宋体"/>
                      <w:b/>
                      <w:bCs/>
                      <w:sz w:val="24"/>
                      <w:szCs w:val="24"/>
                    </w:rPr>
                    <w:t>单价</w:t>
                  </w:r>
                </w:p>
                <w:p>
                  <w:pPr>
                    <w:pageBreakBefore w:val="0"/>
                    <w:widowControl/>
                    <w:topLinePunct w:val="0"/>
                    <w:bidi w:val="0"/>
                    <w:jc w:val="center"/>
                    <w:textAlignment w:val="center"/>
                    <w:outlineLvl w:val="9"/>
                    <w:rPr>
                      <w:rFonts w:ascii="宋体" w:hAnsi="宋体" w:cs="宋体"/>
                      <w:b/>
                      <w:bCs/>
                      <w:sz w:val="24"/>
                      <w:szCs w:val="24"/>
                    </w:rPr>
                  </w:pPr>
                  <w:r>
                    <w:rPr>
                      <w:rFonts w:hint="eastAsia" w:ascii="宋体" w:hAnsi="宋体" w:cs="宋体"/>
                      <w:b/>
                      <w:bCs/>
                      <w:color w:val="000000"/>
                      <w:kern w:val="0"/>
                      <w:sz w:val="24"/>
                      <w:szCs w:val="24"/>
                      <w:lang w:bidi="ar"/>
                    </w:rPr>
                    <w:t>（万元）</w:t>
                  </w:r>
                </w:p>
              </w:tc>
              <w:tc>
                <w:tcPr>
                  <w:tcW w:w="1867" w:type="dxa"/>
                  <w:noWrap w:val="0"/>
                  <w:vAlign w:val="center"/>
                </w:tcPr>
                <w:p>
                  <w:pPr>
                    <w:pageBreakBefore w:val="0"/>
                    <w:widowControl/>
                    <w:topLinePunct w:val="0"/>
                    <w:bidi w:val="0"/>
                    <w:jc w:val="center"/>
                    <w:textAlignment w:val="center"/>
                    <w:outlineLvl w:val="9"/>
                    <w:rPr>
                      <w:rFonts w:ascii="宋体" w:hAnsi="宋体" w:cs="宋体"/>
                      <w:b/>
                      <w:bCs/>
                      <w:color w:val="000000"/>
                      <w:kern w:val="0"/>
                      <w:sz w:val="24"/>
                      <w:szCs w:val="24"/>
                      <w:lang w:bidi="ar"/>
                    </w:rPr>
                  </w:pPr>
                  <w:r>
                    <w:rPr>
                      <w:rFonts w:hint="eastAsia" w:ascii="宋体" w:hAnsi="宋体" w:cs="宋体"/>
                      <w:b/>
                      <w:bCs/>
                      <w:color w:val="000000"/>
                      <w:kern w:val="0"/>
                      <w:sz w:val="24"/>
                      <w:szCs w:val="24"/>
                      <w:lang w:bidi="ar"/>
                    </w:rPr>
                    <w:t>合计（万元）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1559" w:type="dxa"/>
                  <w:vMerge w:val="restart"/>
                  <w:noWrap w:val="0"/>
                  <w:vAlign w:val="center"/>
                </w:tcPr>
                <w:p>
                  <w:pPr>
                    <w:pageBreakBefore w:val="0"/>
                    <w:topLinePunct w:val="0"/>
                    <w:bidi w:val="0"/>
                    <w:jc w:val="center"/>
                    <w:outlineLvl w:val="9"/>
                    <w:rPr>
                      <w:rFonts w:ascii="宋体" w:hAnsi="宋体" w:cs="宋体"/>
                      <w:sz w:val="24"/>
                      <w:szCs w:val="24"/>
                    </w:rPr>
                  </w:pPr>
                  <w:r>
                    <w:rPr>
                      <w:rFonts w:hint="eastAsia"/>
                      <w:sz w:val="24"/>
                      <w:szCs w:val="24"/>
                    </w:rPr>
                    <w:t>录像</w:t>
                  </w:r>
                </w:p>
              </w:tc>
              <w:tc>
                <w:tcPr>
                  <w:tcW w:w="2262" w:type="dxa"/>
                  <w:noWrap w:val="0"/>
                  <w:vAlign w:val="center"/>
                </w:tcPr>
                <w:p>
                  <w:pPr>
                    <w:pageBreakBefore w:val="0"/>
                    <w:topLinePunct w:val="0"/>
                    <w:bidi w:val="0"/>
                    <w:jc w:val="left"/>
                    <w:outlineLvl w:val="9"/>
                    <w:rPr>
                      <w:rFonts w:ascii="宋体" w:hAnsi="宋体" w:cs="宋体"/>
                      <w:color w:val="000000"/>
                      <w:sz w:val="24"/>
                      <w:szCs w:val="24"/>
                    </w:rPr>
                  </w:pPr>
                  <w:r>
                    <w:rPr>
                      <w:rFonts w:hint="eastAsia" w:ascii="宋体" w:hAnsi="宋体" w:cs="宋体"/>
                      <w:color w:val="000000"/>
                      <w:sz w:val="24"/>
                      <w:szCs w:val="24"/>
                    </w:rPr>
                    <w:t>录像1：</w:t>
                  </w:r>
                </w:p>
              </w:tc>
              <w:tc>
                <w:tcPr>
                  <w:tcW w:w="1628" w:type="dxa"/>
                  <w:noWrap w:val="0"/>
                  <w:vAlign w:val="center"/>
                </w:tcPr>
                <w:p>
                  <w:pPr>
                    <w:pageBreakBefore w:val="0"/>
                    <w:topLinePunct w:val="0"/>
                    <w:bidi w:val="0"/>
                    <w:jc w:val="center"/>
                    <w:outlineLvl w:val="9"/>
                    <w:rPr>
                      <w:rFonts w:ascii="宋体" w:hAnsi="宋体" w:cs="宋体"/>
                      <w:sz w:val="24"/>
                      <w:szCs w:val="24"/>
                    </w:rPr>
                  </w:pPr>
                </w:p>
              </w:tc>
              <w:tc>
                <w:tcPr>
                  <w:tcW w:w="1322" w:type="dxa"/>
                  <w:noWrap w:val="0"/>
                  <w:vAlign w:val="center"/>
                </w:tcPr>
                <w:p>
                  <w:pPr>
                    <w:pageBreakBefore w:val="0"/>
                    <w:topLinePunct w:val="0"/>
                    <w:bidi w:val="0"/>
                    <w:jc w:val="center"/>
                    <w:outlineLvl w:val="9"/>
                    <w:rPr>
                      <w:rFonts w:ascii="宋体" w:hAnsi="宋体" w:cs="宋体"/>
                      <w:sz w:val="24"/>
                      <w:szCs w:val="24"/>
                    </w:rPr>
                  </w:pPr>
                </w:p>
              </w:tc>
              <w:tc>
                <w:tcPr>
                  <w:tcW w:w="1867" w:type="dxa"/>
                  <w:noWrap w:val="0"/>
                  <w:vAlign w:val="center"/>
                </w:tcPr>
                <w:p>
                  <w:pPr>
                    <w:pageBreakBefore w:val="0"/>
                    <w:topLinePunct w:val="0"/>
                    <w:bidi w:val="0"/>
                    <w:jc w:val="center"/>
                    <w:outlineLvl w:val="9"/>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559" w:type="dxa"/>
                  <w:vMerge w:val="continue"/>
                  <w:noWrap w:val="0"/>
                  <w:vAlign w:val="center"/>
                </w:tcPr>
                <w:p>
                  <w:pPr>
                    <w:pageBreakBefore w:val="0"/>
                    <w:topLinePunct w:val="0"/>
                    <w:bidi w:val="0"/>
                    <w:jc w:val="center"/>
                    <w:outlineLvl w:val="9"/>
                    <w:rPr>
                      <w:sz w:val="24"/>
                      <w:szCs w:val="24"/>
                    </w:rPr>
                  </w:pPr>
                </w:p>
              </w:tc>
              <w:tc>
                <w:tcPr>
                  <w:tcW w:w="2262" w:type="dxa"/>
                  <w:noWrap w:val="0"/>
                  <w:vAlign w:val="center"/>
                </w:tcPr>
                <w:p>
                  <w:pPr>
                    <w:pageBreakBefore w:val="0"/>
                    <w:topLinePunct w:val="0"/>
                    <w:bidi w:val="0"/>
                    <w:jc w:val="left"/>
                    <w:outlineLvl w:val="9"/>
                    <w:rPr>
                      <w:rFonts w:ascii="宋体" w:hAnsi="宋体" w:cs="宋体"/>
                      <w:color w:val="000000"/>
                      <w:sz w:val="24"/>
                      <w:szCs w:val="24"/>
                    </w:rPr>
                  </w:pPr>
                  <w:r>
                    <w:rPr>
                      <w:rFonts w:hint="eastAsia" w:ascii="宋体" w:hAnsi="宋体" w:cs="宋体"/>
                      <w:color w:val="000000"/>
                      <w:sz w:val="24"/>
                      <w:szCs w:val="24"/>
                    </w:rPr>
                    <w:t>录像2：</w:t>
                  </w:r>
                </w:p>
              </w:tc>
              <w:tc>
                <w:tcPr>
                  <w:tcW w:w="1628" w:type="dxa"/>
                  <w:noWrap w:val="0"/>
                  <w:vAlign w:val="center"/>
                </w:tcPr>
                <w:p>
                  <w:pPr>
                    <w:pageBreakBefore w:val="0"/>
                    <w:topLinePunct w:val="0"/>
                    <w:bidi w:val="0"/>
                    <w:jc w:val="center"/>
                    <w:outlineLvl w:val="9"/>
                    <w:rPr>
                      <w:rFonts w:ascii="宋体" w:hAnsi="宋体" w:cs="宋体"/>
                      <w:sz w:val="24"/>
                      <w:szCs w:val="24"/>
                    </w:rPr>
                  </w:pPr>
                </w:p>
              </w:tc>
              <w:tc>
                <w:tcPr>
                  <w:tcW w:w="1322" w:type="dxa"/>
                  <w:noWrap w:val="0"/>
                  <w:vAlign w:val="center"/>
                </w:tcPr>
                <w:p>
                  <w:pPr>
                    <w:pageBreakBefore w:val="0"/>
                    <w:topLinePunct w:val="0"/>
                    <w:bidi w:val="0"/>
                    <w:jc w:val="center"/>
                    <w:outlineLvl w:val="9"/>
                    <w:rPr>
                      <w:rFonts w:ascii="宋体" w:hAnsi="宋体" w:cs="宋体"/>
                      <w:sz w:val="24"/>
                      <w:szCs w:val="24"/>
                    </w:rPr>
                  </w:pPr>
                </w:p>
              </w:tc>
              <w:tc>
                <w:tcPr>
                  <w:tcW w:w="1867" w:type="dxa"/>
                  <w:noWrap w:val="0"/>
                  <w:vAlign w:val="center"/>
                </w:tcPr>
                <w:p>
                  <w:pPr>
                    <w:pageBreakBefore w:val="0"/>
                    <w:topLinePunct w:val="0"/>
                    <w:bidi w:val="0"/>
                    <w:jc w:val="center"/>
                    <w:outlineLvl w:val="9"/>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559" w:type="dxa"/>
                  <w:vMerge w:val="continue"/>
                  <w:noWrap w:val="0"/>
                  <w:vAlign w:val="center"/>
                </w:tcPr>
                <w:p>
                  <w:pPr>
                    <w:pageBreakBefore w:val="0"/>
                    <w:topLinePunct w:val="0"/>
                    <w:bidi w:val="0"/>
                    <w:jc w:val="center"/>
                    <w:outlineLvl w:val="9"/>
                    <w:rPr>
                      <w:sz w:val="24"/>
                      <w:szCs w:val="24"/>
                    </w:rPr>
                  </w:pPr>
                </w:p>
              </w:tc>
              <w:tc>
                <w:tcPr>
                  <w:tcW w:w="2262" w:type="dxa"/>
                  <w:noWrap w:val="0"/>
                  <w:vAlign w:val="center"/>
                </w:tcPr>
                <w:p>
                  <w:pPr>
                    <w:pageBreakBefore w:val="0"/>
                    <w:topLinePunct w:val="0"/>
                    <w:bidi w:val="0"/>
                    <w:jc w:val="left"/>
                    <w:outlineLvl w:val="9"/>
                    <w:rPr>
                      <w:rFonts w:ascii="宋体" w:hAnsi="宋体" w:cs="宋体"/>
                      <w:color w:val="000000"/>
                      <w:sz w:val="24"/>
                      <w:szCs w:val="24"/>
                    </w:rPr>
                  </w:pPr>
                  <w:r>
                    <w:rPr>
                      <w:rFonts w:hint="eastAsia" w:ascii="宋体" w:hAnsi="宋体" w:cs="宋体"/>
                      <w:color w:val="000000"/>
                      <w:sz w:val="24"/>
                      <w:szCs w:val="24"/>
                    </w:rPr>
                    <w:t>录像3：</w:t>
                  </w:r>
                </w:p>
              </w:tc>
              <w:tc>
                <w:tcPr>
                  <w:tcW w:w="1628" w:type="dxa"/>
                  <w:noWrap w:val="0"/>
                  <w:vAlign w:val="center"/>
                </w:tcPr>
                <w:p>
                  <w:pPr>
                    <w:pageBreakBefore w:val="0"/>
                    <w:topLinePunct w:val="0"/>
                    <w:bidi w:val="0"/>
                    <w:jc w:val="center"/>
                    <w:outlineLvl w:val="9"/>
                    <w:rPr>
                      <w:rFonts w:ascii="宋体" w:hAnsi="宋体" w:cs="宋体"/>
                      <w:sz w:val="24"/>
                      <w:szCs w:val="24"/>
                    </w:rPr>
                  </w:pPr>
                </w:p>
              </w:tc>
              <w:tc>
                <w:tcPr>
                  <w:tcW w:w="1322" w:type="dxa"/>
                  <w:noWrap w:val="0"/>
                  <w:vAlign w:val="center"/>
                </w:tcPr>
                <w:p>
                  <w:pPr>
                    <w:pageBreakBefore w:val="0"/>
                    <w:topLinePunct w:val="0"/>
                    <w:bidi w:val="0"/>
                    <w:jc w:val="center"/>
                    <w:outlineLvl w:val="9"/>
                    <w:rPr>
                      <w:rFonts w:ascii="宋体" w:hAnsi="宋体" w:cs="宋体"/>
                      <w:sz w:val="24"/>
                      <w:szCs w:val="24"/>
                    </w:rPr>
                  </w:pPr>
                </w:p>
              </w:tc>
              <w:tc>
                <w:tcPr>
                  <w:tcW w:w="1867" w:type="dxa"/>
                  <w:noWrap w:val="0"/>
                  <w:vAlign w:val="center"/>
                </w:tcPr>
                <w:p>
                  <w:pPr>
                    <w:pageBreakBefore w:val="0"/>
                    <w:topLinePunct w:val="0"/>
                    <w:bidi w:val="0"/>
                    <w:jc w:val="center"/>
                    <w:outlineLvl w:val="9"/>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559" w:type="dxa"/>
                  <w:vMerge w:val="continue"/>
                  <w:noWrap w:val="0"/>
                  <w:vAlign w:val="center"/>
                </w:tcPr>
                <w:p>
                  <w:pPr>
                    <w:pageBreakBefore w:val="0"/>
                    <w:topLinePunct w:val="0"/>
                    <w:bidi w:val="0"/>
                    <w:spacing w:line="360" w:lineRule="auto"/>
                    <w:jc w:val="center"/>
                    <w:outlineLvl w:val="9"/>
                    <w:rPr>
                      <w:rFonts w:ascii="宋体" w:hAnsi="宋体"/>
                      <w:b/>
                      <w:bCs/>
                      <w:color w:val="808080"/>
                      <w:sz w:val="24"/>
                      <w:szCs w:val="24"/>
                    </w:rPr>
                  </w:pPr>
                </w:p>
              </w:tc>
              <w:tc>
                <w:tcPr>
                  <w:tcW w:w="2262" w:type="dxa"/>
                  <w:noWrap w:val="0"/>
                  <w:vAlign w:val="center"/>
                </w:tcPr>
                <w:p>
                  <w:pPr>
                    <w:pageBreakBefore w:val="0"/>
                    <w:topLinePunct w:val="0"/>
                    <w:bidi w:val="0"/>
                    <w:jc w:val="left"/>
                    <w:outlineLvl w:val="9"/>
                    <w:rPr>
                      <w:rFonts w:ascii="宋体" w:hAnsi="宋体" w:cs="宋体"/>
                      <w:color w:val="000000"/>
                      <w:sz w:val="24"/>
                      <w:szCs w:val="24"/>
                    </w:rPr>
                  </w:pPr>
                </w:p>
              </w:tc>
              <w:tc>
                <w:tcPr>
                  <w:tcW w:w="1628" w:type="dxa"/>
                  <w:noWrap w:val="0"/>
                  <w:vAlign w:val="center"/>
                </w:tcPr>
                <w:p>
                  <w:pPr>
                    <w:pageBreakBefore w:val="0"/>
                    <w:topLinePunct w:val="0"/>
                    <w:bidi w:val="0"/>
                    <w:jc w:val="center"/>
                    <w:outlineLvl w:val="9"/>
                    <w:rPr>
                      <w:rFonts w:ascii="宋体" w:hAnsi="宋体" w:cs="宋体"/>
                      <w:sz w:val="24"/>
                      <w:szCs w:val="24"/>
                    </w:rPr>
                  </w:pPr>
                </w:p>
              </w:tc>
              <w:tc>
                <w:tcPr>
                  <w:tcW w:w="1322" w:type="dxa"/>
                  <w:noWrap w:val="0"/>
                  <w:vAlign w:val="center"/>
                </w:tcPr>
                <w:p>
                  <w:pPr>
                    <w:pageBreakBefore w:val="0"/>
                    <w:topLinePunct w:val="0"/>
                    <w:bidi w:val="0"/>
                    <w:jc w:val="center"/>
                    <w:outlineLvl w:val="9"/>
                    <w:rPr>
                      <w:rFonts w:ascii="宋体" w:hAnsi="宋体" w:cs="宋体"/>
                      <w:sz w:val="24"/>
                      <w:szCs w:val="24"/>
                    </w:rPr>
                  </w:pPr>
                </w:p>
              </w:tc>
              <w:tc>
                <w:tcPr>
                  <w:tcW w:w="1867" w:type="dxa"/>
                  <w:noWrap w:val="0"/>
                  <w:vAlign w:val="center"/>
                </w:tcPr>
                <w:p>
                  <w:pPr>
                    <w:pageBreakBefore w:val="0"/>
                    <w:topLinePunct w:val="0"/>
                    <w:bidi w:val="0"/>
                    <w:jc w:val="center"/>
                    <w:outlineLvl w:val="9"/>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559" w:type="dxa"/>
                  <w:vMerge w:val="restart"/>
                  <w:noWrap w:val="0"/>
                  <w:vAlign w:val="center"/>
                </w:tcPr>
                <w:p>
                  <w:pPr>
                    <w:pageBreakBefore w:val="0"/>
                    <w:topLinePunct w:val="0"/>
                    <w:bidi w:val="0"/>
                    <w:jc w:val="center"/>
                    <w:outlineLvl w:val="9"/>
                    <w:rPr>
                      <w:rFonts w:ascii="宋体" w:hAnsi="宋体" w:cs="宋体"/>
                      <w:sz w:val="24"/>
                      <w:szCs w:val="24"/>
                    </w:rPr>
                  </w:pPr>
                  <w:r>
                    <w:rPr>
                      <w:rFonts w:hint="eastAsia" w:ascii="宋体" w:hAnsi="宋体" w:cs="宋体"/>
                      <w:sz w:val="24"/>
                      <w:szCs w:val="24"/>
                    </w:rPr>
                    <w:t>动画</w:t>
                  </w:r>
                </w:p>
              </w:tc>
              <w:tc>
                <w:tcPr>
                  <w:tcW w:w="2262" w:type="dxa"/>
                  <w:noWrap w:val="0"/>
                  <w:vAlign w:val="center"/>
                </w:tcPr>
                <w:p>
                  <w:pPr>
                    <w:pageBreakBefore w:val="0"/>
                    <w:topLinePunct w:val="0"/>
                    <w:bidi w:val="0"/>
                    <w:jc w:val="left"/>
                    <w:outlineLvl w:val="9"/>
                    <w:rPr>
                      <w:rFonts w:ascii="宋体" w:hAnsi="宋体" w:cs="宋体"/>
                      <w:color w:val="000000"/>
                      <w:sz w:val="24"/>
                      <w:szCs w:val="24"/>
                    </w:rPr>
                  </w:pPr>
                  <w:r>
                    <w:rPr>
                      <w:rFonts w:hint="eastAsia" w:ascii="宋体" w:hAnsi="宋体" w:cs="宋体"/>
                      <w:color w:val="000000"/>
                      <w:sz w:val="24"/>
                      <w:szCs w:val="24"/>
                    </w:rPr>
                    <w:t>动画1：</w:t>
                  </w:r>
                </w:p>
              </w:tc>
              <w:tc>
                <w:tcPr>
                  <w:tcW w:w="1628" w:type="dxa"/>
                  <w:noWrap w:val="0"/>
                  <w:vAlign w:val="center"/>
                </w:tcPr>
                <w:p>
                  <w:pPr>
                    <w:pageBreakBefore w:val="0"/>
                    <w:topLinePunct w:val="0"/>
                    <w:bidi w:val="0"/>
                    <w:jc w:val="center"/>
                    <w:outlineLvl w:val="9"/>
                    <w:rPr>
                      <w:rFonts w:ascii="宋体" w:hAnsi="宋体" w:cs="宋体"/>
                      <w:sz w:val="24"/>
                      <w:szCs w:val="24"/>
                    </w:rPr>
                  </w:pPr>
                </w:p>
              </w:tc>
              <w:tc>
                <w:tcPr>
                  <w:tcW w:w="1322" w:type="dxa"/>
                  <w:noWrap w:val="0"/>
                  <w:vAlign w:val="center"/>
                </w:tcPr>
                <w:p>
                  <w:pPr>
                    <w:pageBreakBefore w:val="0"/>
                    <w:topLinePunct w:val="0"/>
                    <w:bidi w:val="0"/>
                    <w:jc w:val="center"/>
                    <w:outlineLvl w:val="9"/>
                  </w:pPr>
                </w:p>
              </w:tc>
              <w:tc>
                <w:tcPr>
                  <w:tcW w:w="1867" w:type="dxa"/>
                  <w:noWrap w:val="0"/>
                  <w:vAlign w:val="center"/>
                </w:tcPr>
                <w:p>
                  <w:pPr>
                    <w:pageBreakBefore w:val="0"/>
                    <w:topLinePunct w:val="0"/>
                    <w:bidi w:val="0"/>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559" w:type="dxa"/>
                  <w:vMerge w:val="continue"/>
                  <w:noWrap w:val="0"/>
                  <w:vAlign w:val="center"/>
                </w:tcPr>
                <w:p>
                  <w:pPr>
                    <w:pageBreakBefore w:val="0"/>
                    <w:topLinePunct w:val="0"/>
                    <w:bidi w:val="0"/>
                    <w:jc w:val="center"/>
                    <w:outlineLvl w:val="9"/>
                    <w:rPr>
                      <w:rFonts w:ascii="宋体" w:hAnsi="宋体" w:cs="宋体"/>
                      <w:sz w:val="24"/>
                      <w:szCs w:val="24"/>
                    </w:rPr>
                  </w:pPr>
                </w:p>
              </w:tc>
              <w:tc>
                <w:tcPr>
                  <w:tcW w:w="2262" w:type="dxa"/>
                  <w:noWrap w:val="0"/>
                  <w:vAlign w:val="center"/>
                </w:tcPr>
                <w:p>
                  <w:pPr>
                    <w:pageBreakBefore w:val="0"/>
                    <w:topLinePunct w:val="0"/>
                    <w:bidi w:val="0"/>
                    <w:jc w:val="left"/>
                    <w:outlineLvl w:val="9"/>
                    <w:rPr>
                      <w:rFonts w:ascii="宋体" w:hAnsi="宋体" w:cs="宋体"/>
                      <w:color w:val="000000"/>
                      <w:sz w:val="24"/>
                      <w:szCs w:val="24"/>
                    </w:rPr>
                  </w:pPr>
                  <w:r>
                    <w:rPr>
                      <w:rFonts w:hint="eastAsia" w:ascii="宋体" w:hAnsi="宋体" w:cs="宋体"/>
                      <w:color w:val="000000"/>
                      <w:sz w:val="24"/>
                      <w:szCs w:val="24"/>
                    </w:rPr>
                    <w:t>动画2：</w:t>
                  </w:r>
                </w:p>
              </w:tc>
              <w:tc>
                <w:tcPr>
                  <w:tcW w:w="1628" w:type="dxa"/>
                  <w:noWrap w:val="0"/>
                  <w:vAlign w:val="center"/>
                </w:tcPr>
                <w:p>
                  <w:pPr>
                    <w:pageBreakBefore w:val="0"/>
                    <w:topLinePunct w:val="0"/>
                    <w:bidi w:val="0"/>
                    <w:jc w:val="center"/>
                    <w:outlineLvl w:val="9"/>
                    <w:rPr>
                      <w:rFonts w:ascii="宋体" w:hAnsi="宋体" w:cs="宋体"/>
                      <w:color w:val="000000"/>
                      <w:sz w:val="24"/>
                      <w:szCs w:val="24"/>
                    </w:rPr>
                  </w:pPr>
                </w:p>
              </w:tc>
              <w:tc>
                <w:tcPr>
                  <w:tcW w:w="1322" w:type="dxa"/>
                  <w:noWrap w:val="0"/>
                  <w:vAlign w:val="center"/>
                </w:tcPr>
                <w:p>
                  <w:pPr>
                    <w:pageBreakBefore w:val="0"/>
                    <w:topLinePunct w:val="0"/>
                    <w:bidi w:val="0"/>
                    <w:jc w:val="center"/>
                    <w:outlineLvl w:val="9"/>
                    <w:rPr>
                      <w:color w:val="000000"/>
                    </w:rPr>
                  </w:pPr>
                </w:p>
              </w:tc>
              <w:tc>
                <w:tcPr>
                  <w:tcW w:w="1867" w:type="dxa"/>
                  <w:noWrap w:val="0"/>
                  <w:vAlign w:val="center"/>
                </w:tcPr>
                <w:p>
                  <w:pPr>
                    <w:pageBreakBefore w:val="0"/>
                    <w:topLinePunct w:val="0"/>
                    <w:bidi w:val="0"/>
                    <w:jc w:val="center"/>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559" w:type="dxa"/>
                  <w:vMerge w:val="continue"/>
                  <w:noWrap w:val="0"/>
                  <w:vAlign w:val="center"/>
                </w:tcPr>
                <w:p>
                  <w:pPr>
                    <w:pageBreakBefore w:val="0"/>
                    <w:topLinePunct w:val="0"/>
                    <w:bidi w:val="0"/>
                    <w:jc w:val="center"/>
                    <w:outlineLvl w:val="9"/>
                    <w:rPr>
                      <w:rFonts w:ascii="宋体" w:hAnsi="宋体" w:cs="宋体"/>
                      <w:sz w:val="24"/>
                      <w:szCs w:val="24"/>
                    </w:rPr>
                  </w:pPr>
                </w:p>
              </w:tc>
              <w:tc>
                <w:tcPr>
                  <w:tcW w:w="2262" w:type="dxa"/>
                  <w:noWrap w:val="0"/>
                  <w:vAlign w:val="center"/>
                </w:tcPr>
                <w:p>
                  <w:pPr>
                    <w:pageBreakBefore w:val="0"/>
                    <w:topLinePunct w:val="0"/>
                    <w:bidi w:val="0"/>
                    <w:jc w:val="left"/>
                    <w:outlineLvl w:val="9"/>
                    <w:rPr>
                      <w:rFonts w:ascii="宋体" w:hAnsi="宋体" w:cs="宋体"/>
                      <w:color w:val="000000"/>
                      <w:sz w:val="24"/>
                      <w:szCs w:val="24"/>
                    </w:rPr>
                  </w:pPr>
                  <w:r>
                    <w:rPr>
                      <w:rFonts w:hint="eastAsia" w:ascii="宋体" w:hAnsi="宋体" w:cs="宋体"/>
                      <w:color w:val="000000"/>
                      <w:sz w:val="24"/>
                      <w:szCs w:val="24"/>
                    </w:rPr>
                    <w:t>动画3：</w:t>
                  </w:r>
                </w:p>
              </w:tc>
              <w:tc>
                <w:tcPr>
                  <w:tcW w:w="1628" w:type="dxa"/>
                  <w:noWrap w:val="0"/>
                  <w:vAlign w:val="center"/>
                </w:tcPr>
                <w:p>
                  <w:pPr>
                    <w:pageBreakBefore w:val="0"/>
                    <w:topLinePunct w:val="0"/>
                    <w:bidi w:val="0"/>
                    <w:jc w:val="center"/>
                    <w:outlineLvl w:val="9"/>
                    <w:rPr>
                      <w:rFonts w:ascii="宋体" w:hAnsi="宋体" w:cs="宋体"/>
                      <w:color w:val="000000"/>
                      <w:sz w:val="24"/>
                      <w:szCs w:val="24"/>
                    </w:rPr>
                  </w:pPr>
                </w:p>
              </w:tc>
              <w:tc>
                <w:tcPr>
                  <w:tcW w:w="1322" w:type="dxa"/>
                  <w:noWrap w:val="0"/>
                  <w:vAlign w:val="center"/>
                </w:tcPr>
                <w:p>
                  <w:pPr>
                    <w:pageBreakBefore w:val="0"/>
                    <w:topLinePunct w:val="0"/>
                    <w:bidi w:val="0"/>
                    <w:jc w:val="center"/>
                    <w:outlineLvl w:val="9"/>
                    <w:rPr>
                      <w:color w:val="000000"/>
                    </w:rPr>
                  </w:pPr>
                </w:p>
              </w:tc>
              <w:tc>
                <w:tcPr>
                  <w:tcW w:w="1867" w:type="dxa"/>
                  <w:noWrap w:val="0"/>
                  <w:vAlign w:val="center"/>
                </w:tcPr>
                <w:p>
                  <w:pPr>
                    <w:pageBreakBefore w:val="0"/>
                    <w:topLinePunct w:val="0"/>
                    <w:bidi w:val="0"/>
                    <w:jc w:val="center"/>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559" w:type="dxa"/>
                  <w:vMerge w:val="continue"/>
                  <w:noWrap w:val="0"/>
                  <w:vAlign w:val="center"/>
                </w:tcPr>
                <w:p>
                  <w:pPr>
                    <w:pageBreakBefore w:val="0"/>
                    <w:topLinePunct w:val="0"/>
                    <w:bidi w:val="0"/>
                    <w:spacing w:line="360" w:lineRule="auto"/>
                    <w:jc w:val="center"/>
                    <w:outlineLvl w:val="9"/>
                    <w:rPr>
                      <w:rFonts w:ascii="宋体" w:hAnsi="宋体"/>
                      <w:b/>
                      <w:bCs/>
                      <w:color w:val="808080"/>
                      <w:sz w:val="24"/>
                      <w:szCs w:val="24"/>
                    </w:rPr>
                  </w:pPr>
                </w:p>
              </w:tc>
              <w:tc>
                <w:tcPr>
                  <w:tcW w:w="2262" w:type="dxa"/>
                  <w:noWrap w:val="0"/>
                  <w:vAlign w:val="center"/>
                </w:tcPr>
                <w:p>
                  <w:pPr>
                    <w:pageBreakBefore w:val="0"/>
                    <w:topLinePunct w:val="0"/>
                    <w:bidi w:val="0"/>
                    <w:jc w:val="left"/>
                    <w:outlineLvl w:val="9"/>
                    <w:rPr>
                      <w:rFonts w:ascii="宋体" w:hAnsi="宋体" w:cs="宋体"/>
                      <w:color w:val="000000"/>
                      <w:sz w:val="24"/>
                      <w:szCs w:val="24"/>
                    </w:rPr>
                  </w:pPr>
                </w:p>
              </w:tc>
              <w:tc>
                <w:tcPr>
                  <w:tcW w:w="1628" w:type="dxa"/>
                  <w:noWrap w:val="0"/>
                  <w:vAlign w:val="center"/>
                </w:tcPr>
                <w:p>
                  <w:pPr>
                    <w:pageBreakBefore w:val="0"/>
                    <w:topLinePunct w:val="0"/>
                    <w:bidi w:val="0"/>
                    <w:jc w:val="center"/>
                    <w:outlineLvl w:val="9"/>
                    <w:rPr>
                      <w:rFonts w:ascii="宋体" w:hAnsi="宋体" w:cs="宋体"/>
                      <w:color w:val="000000"/>
                      <w:sz w:val="24"/>
                      <w:szCs w:val="24"/>
                    </w:rPr>
                  </w:pPr>
                </w:p>
              </w:tc>
              <w:tc>
                <w:tcPr>
                  <w:tcW w:w="1322" w:type="dxa"/>
                  <w:noWrap w:val="0"/>
                  <w:vAlign w:val="center"/>
                </w:tcPr>
                <w:p>
                  <w:pPr>
                    <w:pageBreakBefore w:val="0"/>
                    <w:topLinePunct w:val="0"/>
                    <w:bidi w:val="0"/>
                    <w:jc w:val="center"/>
                    <w:outlineLvl w:val="9"/>
                    <w:rPr>
                      <w:color w:val="000000"/>
                    </w:rPr>
                  </w:pPr>
                </w:p>
              </w:tc>
              <w:tc>
                <w:tcPr>
                  <w:tcW w:w="1867" w:type="dxa"/>
                  <w:noWrap w:val="0"/>
                  <w:vAlign w:val="center"/>
                </w:tcPr>
                <w:p>
                  <w:pPr>
                    <w:pageBreakBefore w:val="0"/>
                    <w:topLinePunct w:val="0"/>
                    <w:bidi w:val="0"/>
                    <w:jc w:val="center"/>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559" w:type="dxa"/>
                  <w:vMerge w:val="restart"/>
                  <w:noWrap w:val="0"/>
                  <w:vAlign w:val="center"/>
                </w:tcPr>
                <w:p>
                  <w:pPr>
                    <w:pageBreakBefore w:val="0"/>
                    <w:topLinePunct w:val="0"/>
                    <w:bidi w:val="0"/>
                    <w:jc w:val="center"/>
                    <w:outlineLvl w:val="9"/>
                    <w:rPr>
                      <w:rFonts w:ascii="宋体" w:hAnsi="宋体" w:cs="宋体"/>
                      <w:sz w:val="24"/>
                      <w:szCs w:val="24"/>
                    </w:rPr>
                  </w:pPr>
                  <w:r>
                    <w:rPr>
                      <w:rFonts w:hint="eastAsia" w:ascii="宋体" w:hAnsi="宋体" w:cs="宋体"/>
                      <w:sz w:val="24"/>
                      <w:szCs w:val="24"/>
                    </w:rPr>
                    <w:t>图片</w:t>
                  </w:r>
                </w:p>
              </w:tc>
              <w:tc>
                <w:tcPr>
                  <w:tcW w:w="2262" w:type="dxa"/>
                  <w:noWrap w:val="0"/>
                  <w:vAlign w:val="center"/>
                </w:tcPr>
                <w:p>
                  <w:pPr>
                    <w:pageBreakBefore w:val="0"/>
                    <w:topLinePunct w:val="0"/>
                    <w:bidi w:val="0"/>
                    <w:jc w:val="left"/>
                    <w:outlineLvl w:val="9"/>
                    <w:rPr>
                      <w:rFonts w:ascii="宋体" w:hAnsi="宋体" w:cs="宋体"/>
                      <w:sz w:val="24"/>
                      <w:szCs w:val="24"/>
                    </w:rPr>
                  </w:pPr>
                  <w:r>
                    <w:rPr>
                      <w:rFonts w:hint="eastAsia" w:ascii="宋体" w:hAnsi="宋体" w:cs="宋体"/>
                      <w:sz w:val="24"/>
                      <w:szCs w:val="24"/>
                    </w:rPr>
                    <w:t>图片1</w:t>
                  </w:r>
                </w:p>
              </w:tc>
              <w:tc>
                <w:tcPr>
                  <w:tcW w:w="1628" w:type="dxa"/>
                  <w:noWrap w:val="0"/>
                  <w:vAlign w:val="center"/>
                </w:tcPr>
                <w:p>
                  <w:pPr>
                    <w:pageBreakBefore w:val="0"/>
                    <w:topLinePunct w:val="0"/>
                    <w:bidi w:val="0"/>
                    <w:jc w:val="center"/>
                    <w:outlineLvl w:val="9"/>
                    <w:rPr>
                      <w:rFonts w:ascii="宋体" w:hAnsi="宋体" w:cs="宋体"/>
                      <w:color w:val="000000"/>
                      <w:sz w:val="24"/>
                      <w:szCs w:val="24"/>
                    </w:rPr>
                  </w:pPr>
                </w:p>
              </w:tc>
              <w:tc>
                <w:tcPr>
                  <w:tcW w:w="1322" w:type="dxa"/>
                  <w:noWrap w:val="0"/>
                  <w:vAlign w:val="center"/>
                </w:tcPr>
                <w:p>
                  <w:pPr>
                    <w:pageBreakBefore w:val="0"/>
                    <w:topLinePunct w:val="0"/>
                    <w:bidi w:val="0"/>
                    <w:jc w:val="center"/>
                    <w:outlineLvl w:val="9"/>
                    <w:rPr>
                      <w:color w:val="000000"/>
                    </w:rPr>
                  </w:pPr>
                </w:p>
              </w:tc>
              <w:tc>
                <w:tcPr>
                  <w:tcW w:w="1867" w:type="dxa"/>
                  <w:noWrap w:val="0"/>
                  <w:vAlign w:val="center"/>
                </w:tcPr>
                <w:p>
                  <w:pPr>
                    <w:pageBreakBefore w:val="0"/>
                    <w:topLinePunct w:val="0"/>
                    <w:bidi w:val="0"/>
                    <w:jc w:val="center"/>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559" w:type="dxa"/>
                  <w:vMerge w:val="continue"/>
                  <w:noWrap w:val="0"/>
                  <w:vAlign w:val="center"/>
                </w:tcPr>
                <w:p>
                  <w:pPr>
                    <w:pageBreakBefore w:val="0"/>
                    <w:topLinePunct w:val="0"/>
                    <w:bidi w:val="0"/>
                    <w:jc w:val="center"/>
                    <w:outlineLvl w:val="9"/>
                    <w:rPr>
                      <w:rFonts w:ascii="宋体" w:hAnsi="宋体" w:cs="宋体"/>
                      <w:sz w:val="24"/>
                      <w:szCs w:val="24"/>
                    </w:rPr>
                  </w:pPr>
                </w:p>
              </w:tc>
              <w:tc>
                <w:tcPr>
                  <w:tcW w:w="2262" w:type="dxa"/>
                  <w:noWrap w:val="0"/>
                  <w:vAlign w:val="center"/>
                </w:tcPr>
                <w:p>
                  <w:pPr>
                    <w:pageBreakBefore w:val="0"/>
                    <w:topLinePunct w:val="0"/>
                    <w:bidi w:val="0"/>
                    <w:jc w:val="left"/>
                    <w:outlineLvl w:val="9"/>
                    <w:rPr>
                      <w:rFonts w:ascii="宋体" w:hAnsi="宋体" w:cs="宋体"/>
                      <w:sz w:val="24"/>
                      <w:szCs w:val="24"/>
                    </w:rPr>
                  </w:pPr>
                  <w:r>
                    <w:rPr>
                      <w:rFonts w:hint="eastAsia" w:ascii="宋体" w:hAnsi="宋体" w:cs="宋体"/>
                      <w:sz w:val="24"/>
                      <w:szCs w:val="24"/>
                    </w:rPr>
                    <w:t>图片2</w:t>
                  </w:r>
                </w:p>
              </w:tc>
              <w:tc>
                <w:tcPr>
                  <w:tcW w:w="1628" w:type="dxa"/>
                  <w:noWrap w:val="0"/>
                  <w:vAlign w:val="center"/>
                </w:tcPr>
                <w:p>
                  <w:pPr>
                    <w:pageBreakBefore w:val="0"/>
                    <w:topLinePunct w:val="0"/>
                    <w:bidi w:val="0"/>
                    <w:jc w:val="center"/>
                    <w:outlineLvl w:val="9"/>
                    <w:rPr>
                      <w:rFonts w:ascii="宋体" w:hAnsi="宋体" w:cs="宋体"/>
                      <w:color w:val="000000"/>
                      <w:sz w:val="24"/>
                      <w:szCs w:val="24"/>
                    </w:rPr>
                  </w:pPr>
                </w:p>
              </w:tc>
              <w:tc>
                <w:tcPr>
                  <w:tcW w:w="1322" w:type="dxa"/>
                  <w:noWrap w:val="0"/>
                  <w:vAlign w:val="center"/>
                </w:tcPr>
                <w:p>
                  <w:pPr>
                    <w:pageBreakBefore w:val="0"/>
                    <w:topLinePunct w:val="0"/>
                    <w:bidi w:val="0"/>
                    <w:jc w:val="center"/>
                    <w:outlineLvl w:val="9"/>
                    <w:rPr>
                      <w:color w:val="000000"/>
                    </w:rPr>
                  </w:pPr>
                </w:p>
              </w:tc>
              <w:tc>
                <w:tcPr>
                  <w:tcW w:w="1867" w:type="dxa"/>
                  <w:noWrap w:val="0"/>
                  <w:vAlign w:val="center"/>
                </w:tcPr>
                <w:p>
                  <w:pPr>
                    <w:pageBreakBefore w:val="0"/>
                    <w:topLinePunct w:val="0"/>
                    <w:bidi w:val="0"/>
                    <w:jc w:val="center"/>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559" w:type="dxa"/>
                  <w:vMerge w:val="continue"/>
                  <w:noWrap w:val="0"/>
                  <w:vAlign w:val="center"/>
                </w:tcPr>
                <w:p>
                  <w:pPr>
                    <w:pageBreakBefore w:val="0"/>
                    <w:topLinePunct w:val="0"/>
                    <w:bidi w:val="0"/>
                    <w:jc w:val="center"/>
                    <w:outlineLvl w:val="9"/>
                    <w:rPr>
                      <w:rFonts w:ascii="宋体" w:hAnsi="宋体" w:cs="宋体"/>
                      <w:sz w:val="24"/>
                      <w:szCs w:val="24"/>
                    </w:rPr>
                  </w:pPr>
                </w:p>
              </w:tc>
              <w:tc>
                <w:tcPr>
                  <w:tcW w:w="2262" w:type="dxa"/>
                  <w:noWrap w:val="0"/>
                  <w:vAlign w:val="center"/>
                </w:tcPr>
                <w:p>
                  <w:pPr>
                    <w:pageBreakBefore w:val="0"/>
                    <w:topLinePunct w:val="0"/>
                    <w:bidi w:val="0"/>
                    <w:jc w:val="left"/>
                    <w:outlineLvl w:val="9"/>
                    <w:rPr>
                      <w:rFonts w:ascii="宋体" w:hAnsi="宋体" w:cs="宋体"/>
                      <w:sz w:val="24"/>
                      <w:szCs w:val="24"/>
                    </w:rPr>
                  </w:pPr>
                  <w:r>
                    <w:rPr>
                      <w:rFonts w:hint="eastAsia" w:ascii="宋体" w:hAnsi="宋体" w:cs="宋体"/>
                      <w:sz w:val="24"/>
                      <w:szCs w:val="24"/>
                    </w:rPr>
                    <w:t>图片3</w:t>
                  </w:r>
                </w:p>
              </w:tc>
              <w:tc>
                <w:tcPr>
                  <w:tcW w:w="1628" w:type="dxa"/>
                  <w:noWrap w:val="0"/>
                  <w:vAlign w:val="center"/>
                </w:tcPr>
                <w:p>
                  <w:pPr>
                    <w:pageBreakBefore w:val="0"/>
                    <w:topLinePunct w:val="0"/>
                    <w:bidi w:val="0"/>
                    <w:jc w:val="center"/>
                    <w:outlineLvl w:val="9"/>
                    <w:rPr>
                      <w:rFonts w:ascii="宋体" w:hAnsi="宋体" w:cs="宋体"/>
                      <w:color w:val="000000"/>
                      <w:sz w:val="24"/>
                      <w:szCs w:val="24"/>
                    </w:rPr>
                  </w:pPr>
                </w:p>
              </w:tc>
              <w:tc>
                <w:tcPr>
                  <w:tcW w:w="1322" w:type="dxa"/>
                  <w:noWrap w:val="0"/>
                  <w:vAlign w:val="center"/>
                </w:tcPr>
                <w:p>
                  <w:pPr>
                    <w:pageBreakBefore w:val="0"/>
                    <w:topLinePunct w:val="0"/>
                    <w:bidi w:val="0"/>
                    <w:jc w:val="center"/>
                    <w:outlineLvl w:val="9"/>
                    <w:rPr>
                      <w:color w:val="000000"/>
                    </w:rPr>
                  </w:pPr>
                </w:p>
              </w:tc>
              <w:tc>
                <w:tcPr>
                  <w:tcW w:w="1867" w:type="dxa"/>
                  <w:noWrap w:val="0"/>
                  <w:vAlign w:val="center"/>
                </w:tcPr>
                <w:p>
                  <w:pPr>
                    <w:pageBreakBefore w:val="0"/>
                    <w:topLinePunct w:val="0"/>
                    <w:bidi w:val="0"/>
                    <w:jc w:val="center"/>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559" w:type="dxa"/>
                  <w:vMerge w:val="restart"/>
                  <w:noWrap w:val="0"/>
                  <w:vAlign w:val="center"/>
                </w:tcPr>
                <w:p>
                  <w:pPr>
                    <w:pageBreakBefore w:val="0"/>
                    <w:topLinePunct w:val="0"/>
                    <w:bidi w:val="0"/>
                    <w:jc w:val="center"/>
                    <w:outlineLvl w:val="9"/>
                    <w:rPr>
                      <w:rFonts w:ascii="宋体" w:hAnsi="宋体" w:cs="宋体"/>
                      <w:sz w:val="24"/>
                      <w:szCs w:val="24"/>
                    </w:rPr>
                  </w:pPr>
                </w:p>
              </w:tc>
              <w:tc>
                <w:tcPr>
                  <w:tcW w:w="2262" w:type="dxa"/>
                  <w:noWrap w:val="0"/>
                  <w:vAlign w:val="center"/>
                </w:tcPr>
                <w:p>
                  <w:pPr>
                    <w:pageBreakBefore w:val="0"/>
                    <w:topLinePunct w:val="0"/>
                    <w:bidi w:val="0"/>
                    <w:jc w:val="left"/>
                    <w:outlineLvl w:val="9"/>
                    <w:rPr>
                      <w:rFonts w:ascii="宋体" w:hAnsi="宋体" w:cs="宋体"/>
                      <w:sz w:val="24"/>
                      <w:szCs w:val="24"/>
                    </w:rPr>
                  </w:pPr>
                </w:p>
              </w:tc>
              <w:tc>
                <w:tcPr>
                  <w:tcW w:w="1628" w:type="dxa"/>
                  <w:noWrap w:val="0"/>
                  <w:vAlign w:val="center"/>
                </w:tcPr>
                <w:p>
                  <w:pPr>
                    <w:pageBreakBefore w:val="0"/>
                    <w:topLinePunct w:val="0"/>
                    <w:bidi w:val="0"/>
                    <w:jc w:val="center"/>
                    <w:outlineLvl w:val="9"/>
                    <w:rPr>
                      <w:rFonts w:ascii="宋体" w:hAnsi="宋体" w:cs="宋体"/>
                      <w:color w:val="000000"/>
                      <w:sz w:val="24"/>
                      <w:szCs w:val="24"/>
                    </w:rPr>
                  </w:pPr>
                </w:p>
              </w:tc>
              <w:tc>
                <w:tcPr>
                  <w:tcW w:w="1322" w:type="dxa"/>
                  <w:noWrap w:val="0"/>
                  <w:vAlign w:val="center"/>
                </w:tcPr>
                <w:p>
                  <w:pPr>
                    <w:pageBreakBefore w:val="0"/>
                    <w:topLinePunct w:val="0"/>
                    <w:bidi w:val="0"/>
                    <w:jc w:val="center"/>
                    <w:outlineLvl w:val="9"/>
                    <w:rPr>
                      <w:color w:val="000000"/>
                    </w:rPr>
                  </w:pPr>
                </w:p>
              </w:tc>
              <w:tc>
                <w:tcPr>
                  <w:tcW w:w="1867" w:type="dxa"/>
                  <w:noWrap w:val="0"/>
                  <w:vAlign w:val="center"/>
                </w:tcPr>
                <w:p>
                  <w:pPr>
                    <w:pageBreakBefore w:val="0"/>
                    <w:topLinePunct w:val="0"/>
                    <w:bidi w:val="0"/>
                    <w:jc w:val="center"/>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559" w:type="dxa"/>
                  <w:vMerge w:val="continue"/>
                  <w:noWrap w:val="0"/>
                  <w:vAlign w:val="center"/>
                </w:tcPr>
                <w:p>
                  <w:pPr>
                    <w:pageBreakBefore w:val="0"/>
                    <w:topLinePunct w:val="0"/>
                    <w:bidi w:val="0"/>
                    <w:jc w:val="center"/>
                    <w:outlineLvl w:val="9"/>
                    <w:rPr>
                      <w:rFonts w:ascii="宋体" w:hAnsi="宋体" w:cs="宋体"/>
                      <w:sz w:val="24"/>
                      <w:szCs w:val="24"/>
                    </w:rPr>
                  </w:pPr>
                </w:p>
              </w:tc>
              <w:tc>
                <w:tcPr>
                  <w:tcW w:w="2262" w:type="dxa"/>
                  <w:noWrap w:val="0"/>
                  <w:vAlign w:val="center"/>
                </w:tcPr>
                <w:p>
                  <w:pPr>
                    <w:pageBreakBefore w:val="0"/>
                    <w:topLinePunct w:val="0"/>
                    <w:bidi w:val="0"/>
                    <w:jc w:val="left"/>
                    <w:outlineLvl w:val="9"/>
                    <w:rPr>
                      <w:rFonts w:ascii="宋体" w:hAnsi="宋体" w:cs="宋体"/>
                      <w:sz w:val="24"/>
                      <w:szCs w:val="24"/>
                    </w:rPr>
                  </w:pPr>
                </w:p>
              </w:tc>
              <w:tc>
                <w:tcPr>
                  <w:tcW w:w="1628" w:type="dxa"/>
                  <w:noWrap w:val="0"/>
                  <w:vAlign w:val="center"/>
                </w:tcPr>
                <w:p>
                  <w:pPr>
                    <w:pageBreakBefore w:val="0"/>
                    <w:topLinePunct w:val="0"/>
                    <w:bidi w:val="0"/>
                    <w:jc w:val="center"/>
                    <w:outlineLvl w:val="9"/>
                    <w:rPr>
                      <w:rFonts w:ascii="宋体" w:hAnsi="宋体" w:cs="宋体"/>
                      <w:color w:val="000000"/>
                      <w:sz w:val="24"/>
                      <w:szCs w:val="24"/>
                    </w:rPr>
                  </w:pPr>
                </w:p>
              </w:tc>
              <w:tc>
                <w:tcPr>
                  <w:tcW w:w="1322" w:type="dxa"/>
                  <w:noWrap w:val="0"/>
                  <w:vAlign w:val="center"/>
                </w:tcPr>
                <w:p>
                  <w:pPr>
                    <w:pageBreakBefore w:val="0"/>
                    <w:topLinePunct w:val="0"/>
                    <w:bidi w:val="0"/>
                    <w:jc w:val="center"/>
                    <w:outlineLvl w:val="9"/>
                    <w:rPr>
                      <w:color w:val="000000"/>
                    </w:rPr>
                  </w:pPr>
                </w:p>
              </w:tc>
              <w:tc>
                <w:tcPr>
                  <w:tcW w:w="1867" w:type="dxa"/>
                  <w:noWrap w:val="0"/>
                  <w:vAlign w:val="center"/>
                </w:tcPr>
                <w:p>
                  <w:pPr>
                    <w:pageBreakBefore w:val="0"/>
                    <w:topLinePunct w:val="0"/>
                    <w:bidi w:val="0"/>
                    <w:jc w:val="center"/>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1559" w:type="dxa"/>
                  <w:vMerge w:val="continue"/>
                  <w:noWrap w:val="0"/>
                  <w:vAlign w:val="center"/>
                </w:tcPr>
                <w:p>
                  <w:pPr>
                    <w:pageBreakBefore w:val="0"/>
                    <w:topLinePunct w:val="0"/>
                    <w:bidi w:val="0"/>
                    <w:jc w:val="center"/>
                    <w:outlineLvl w:val="9"/>
                    <w:rPr>
                      <w:rFonts w:ascii="宋体" w:hAnsi="宋体" w:cs="宋体"/>
                      <w:sz w:val="24"/>
                      <w:szCs w:val="24"/>
                    </w:rPr>
                  </w:pPr>
                </w:p>
              </w:tc>
              <w:tc>
                <w:tcPr>
                  <w:tcW w:w="2262" w:type="dxa"/>
                  <w:noWrap w:val="0"/>
                  <w:vAlign w:val="center"/>
                </w:tcPr>
                <w:p>
                  <w:pPr>
                    <w:pageBreakBefore w:val="0"/>
                    <w:topLinePunct w:val="0"/>
                    <w:bidi w:val="0"/>
                    <w:jc w:val="left"/>
                    <w:outlineLvl w:val="9"/>
                    <w:rPr>
                      <w:rFonts w:ascii="宋体" w:hAnsi="宋体" w:cs="宋体"/>
                      <w:sz w:val="24"/>
                      <w:szCs w:val="24"/>
                    </w:rPr>
                  </w:pPr>
                </w:p>
              </w:tc>
              <w:tc>
                <w:tcPr>
                  <w:tcW w:w="1628" w:type="dxa"/>
                  <w:noWrap w:val="0"/>
                  <w:vAlign w:val="center"/>
                </w:tcPr>
                <w:p>
                  <w:pPr>
                    <w:pageBreakBefore w:val="0"/>
                    <w:topLinePunct w:val="0"/>
                    <w:bidi w:val="0"/>
                    <w:jc w:val="center"/>
                    <w:outlineLvl w:val="9"/>
                    <w:rPr>
                      <w:rFonts w:ascii="宋体" w:hAnsi="宋体" w:cs="宋体"/>
                      <w:color w:val="000000"/>
                      <w:sz w:val="24"/>
                      <w:szCs w:val="24"/>
                    </w:rPr>
                  </w:pPr>
                </w:p>
              </w:tc>
              <w:tc>
                <w:tcPr>
                  <w:tcW w:w="1322" w:type="dxa"/>
                  <w:noWrap w:val="0"/>
                  <w:vAlign w:val="center"/>
                </w:tcPr>
                <w:p>
                  <w:pPr>
                    <w:pageBreakBefore w:val="0"/>
                    <w:topLinePunct w:val="0"/>
                    <w:bidi w:val="0"/>
                    <w:jc w:val="center"/>
                    <w:outlineLvl w:val="9"/>
                    <w:rPr>
                      <w:color w:val="000000"/>
                    </w:rPr>
                  </w:pPr>
                </w:p>
              </w:tc>
              <w:tc>
                <w:tcPr>
                  <w:tcW w:w="1867" w:type="dxa"/>
                  <w:noWrap w:val="0"/>
                  <w:vAlign w:val="center"/>
                </w:tcPr>
                <w:p>
                  <w:pPr>
                    <w:pageBreakBefore w:val="0"/>
                    <w:topLinePunct w:val="0"/>
                    <w:bidi w:val="0"/>
                    <w:jc w:val="center"/>
                    <w:outlineLvl w:val="9"/>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771" w:type="dxa"/>
                  <w:gridSpan w:val="4"/>
                  <w:noWrap w:val="0"/>
                  <w:vAlign w:val="center"/>
                </w:tcPr>
                <w:p>
                  <w:pPr>
                    <w:pageBreakBefore w:val="0"/>
                    <w:topLinePunct w:val="0"/>
                    <w:bidi w:val="0"/>
                    <w:spacing w:line="360" w:lineRule="auto"/>
                    <w:jc w:val="center"/>
                    <w:outlineLvl w:val="9"/>
                    <w:rPr>
                      <w:rFonts w:ascii="宋体" w:hAnsi="宋体"/>
                      <w:bCs/>
                      <w:sz w:val="24"/>
                      <w:szCs w:val="24"/>
                    </w:rPr>
                  </w:pPr>
                  <w:r>
                    <w:rPr>
                      <w:rFonts w:hint="eastAsia" w:ascii="宋体" w:hAnsi="宋体" w:cs="宋体"/>
                      <w:color w:val="000000"/>
                      <w:kern w:val="0"/>
                      <w:sz w:val="24"/>
                      <w:szCs w:val="24"/>
                      <w:lang w:bidi="ar"/>
                    </w:rPr>
                    <w:t>合计：</w:t>
                  </w:r>
                </w:p>
              </w:tc>
              <w:tc>
                <w:tcPr>
                  <w:tcW w:w="1867" w:type="dxa"/>
                  <w:noWrap w:val="0"/>
                  <w:vAlign w:val="top"/>
                </w:tcPr>
                <w:p>
                  <w:pPr>
                    <w:pageBreakBefore w:val="0"/>
                    <w:topLinePunct w:val="0"/>
                    <w:bidi w:val="0"/>
                    <w:spacing w:line="360" w:lineRule="auto"/>
                    <w:outlineLvl w:val="9"/>
                    <w:rPr>
                      <w:rFonts w:ascii="宋体" w:hAnsi="宋体"/>
                      <w:bCs/>
                      <w:sz w:val="24"/>
                      <w:szCs w:val="24"/>
                    </w:rPr>
                  </w:pPr>
                </w:p>
              </w:tc>
            </w:tr>
          </w:tbl>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r>
              <w:rPr>
                <w:rFonts w:hint="eastAsia" w:ascii="仿宋_GB2312" w:hAnsi="仿宋" w:eastAsia="仿宋_GB2312"/>
                <w:b/>
                <w:color w:val="000000"/>
                <w:sz w:val="28"/>
                <w:szCs w:val="28"/>
              </w:rPr>
              <w:t>五、预期成效</w:t>
            </w:r>
          </w:p>
          <w:p>
            <w:pPr>
              <w:pageBreakBefore w:val="0"/>
              <w:topLinePunct w:val="0"/>
              <w:bidi w:val="0"/>
              <w:outlineLvl w:val="9"/>
              <w:rPr>
                <w:rFonts w:ascii="仿宋_GB2312" w:hAnsi="仿宋" w:eastAsia="仿宋_GB2312"/>
                <w:color w:val="000000"/>
                <w:sz w:val="28"/>
                <w:szCs w:val="28"/>
              </w:rPr>
            </w:pPr>
            <w:r>
              <w:rPr>
                <w:rFonts w:hint="eastAsia" w:ascii="仿宋_GB2312" w:hAnsi="仿宋" w:eastAsia="仿宋_GB2312"/>
                <w:color w:val="000000"/>
                <w:sz w:val="28"/>
                <w:szCs w:val="28"/>
              </w:rPr>
              <w:t>——可对标建设内容、资源形式、资源投放方式等预期成效方面简述。</w:t>
            </w: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outlineLvl w:val="9"/>
              <w:rPr>
                <w:rFonts w:ascii="仿宋_GB2312" w:hAnsi="仿宋" w:eastAsia="仿宋_GB2312"/>
                <w:color w:val="000000"/>
                <w:sz w:val="28"/>
                <w:szCs w:val="28"/>
              </w:rPr>
            </w:pPr>
          </w:p>
        </w:tc>
      </w:tr>
    </w:tbl>
    <w:p>
      <w:pPr>
        <w:pageBreakBefore w:val="0"/>
        <w:topLinePunct w:val="0"/>
        <w:bidi w:val="0"/>
        <w:outlineLvl w:val="9"/>
        <w:rPr>
          <w:rFonts w:ascii="黑体" w:hAnsi="黑体" w:eastAsia="黑体" w:cs="宋体"/>
          <w:b/>
          <w:bCs/>
          <w:sz w:val="28"/>
          <w:szCs w:val="28"/>
        </w:rPr>
      </w:pPr>
      <w:r>
        <w:rPr>
          <w:rFonts w:ascii="宋体" w:hAnsi="宋体" w:cs="宋体"/>
          <w:b/>
          <w:bCs/>
          <w:sz w:val="28"/>
          <w:szCs w:val="28"/>
        </w:rPr>
        <w:br w:type="page"/>
      </w:r>
      <w:r>
        <w:rPr>
          <w:rFonts w:hint="eastAsia" w:ascii="黑体" w:hAnsi="黑体" w:eastAsia="黑体" w:cs="宋体"/>
          <w:b/>
          <w:bCs/>
          <w:sz w:val="28"/>
          <w:szCs w:val="28"/>
        </w:rPr>
        <w:t>六、建设评审意见</w:t>
      </w:r>
    </w:p>
    <w:tbl>
      <w:tblPr>
        <w:tblStyle w:val="37"/>
        <w:tblW w:w="8460"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7" w:hRule="atLeast"/>
        </w:trPr>
        <w:tc>
          <w:tcPr>
            <w:tcW w:w="8460" w:type="dxa"/>
            <w:noWrap w:val="0"/>
            <w:vAlign w:val="top"/>
          </w:tcPr>
          <w:p>
            <w:pPr>
              <w:pageBreakBefore w:val="0"/>
              <w:topLinePunct w:val="0"/>
              <w:bidi w:val="0"/>
              <w:jc w:val="left"/>
              <w:outlineLvl w:val="9"/>
              <w:rPr>
                <w:rFonts w:eastAsia="仿宋_GB2312" w:cs="仿宋_GB2312"/>
                <w:sz w:val="28"/>
                <w:szCs w:val="28"/>
              </w:rPr>
            </w:pPr>
            <w:r>
              <w:rPr>
                <w:rFonts w:hint="eastAsia" w:eastAsia="仿宋_GB2312" w:cs="仿宋_GB2312"/>
                <w:sz w:val="28"/>
                <w:szCs w:val="28"/>
              </w:rPr>
              <w:t>二级学院意见</w:t>
            </w:r>
          </w:p>
          <w:p>
            <w:pPr>
              <w:pageBreakBefore w:val="0"/>
              <w:topLinePunct w:val="0"/>
              <w:bidi w:val="0"/>
              <w:jc w:val="center"/>
              <w:outlineLvl w:val="9"/>
              <w:rPr>
                <w:rFonts w:ascii="Arial" w:hAnsi="Arial" w:cs="Arial"/>
                <w:b/>
                <w:bCs/>
                <w:sz w:val="24"/>
                <w:szCs w:val="24"/>
              </w:rPr>
            </w:pPr>
          </w:p>
          <w:p>
            <w:pPr>
              <w:pageBreakBefore w:val="0"/>
              <w:topLinePunct w:val="0"/>
              <w:bidi w:val="0"/>
              <w:jc w:val="center"/>
              <w:outlineLvl w:val="9"/>
              <w:rPr>
                <w:rFonts w:ascii="Arial" w:hAnsi="Arial" w:cs="Arial"/>
                <w:b/>
                <w:bCs/>
                <w:sz w:val="24"/>
                <w:szCs w:val="24"/>
              </w:rPr>
            </w:pPr>
          </w:p>
          <w:p>
            <w:pPr>
              <w:pageBreakBefore w:val="0"/>
              <w:topLinePunct w:val="0"/>
              <w:bidi w:val="0"/>
              <w:jc w:val="center"/>
              <w:outlineLvl w:val="9"/>
              <w:rPr>
                <w:rFonts w:ascii="Arial" w:hAnsi="Arial" w:cs="Arial"/>
                <w:b/>
                <w:bCs/>
                <w:sz w:val="24"/>
                <w:szCs w:val="24"/>
              </w:rPr>
            </w:pPr>
          </w:p>
          <w:p>
            <w:pPr>
              <w:pageBreakBefore w:val="0"/>
              <w:topLinePunct w:val="0"/>
              <w:bidi w:val="0"/>
              <w:jc w:val="center"/>
              <w:outlineLvl w:val="9"/>
              <w:rPr>
                <w:rFonts w:ascii="Arial" w:hAnsi="Arial" w:cs="Arial"/>
                <w:b/>
                <w:bCs/>
                <w:sz w:val="24"/>
                <w:szCs w:val="24"/>
              </w:rPr>
            </w:pPr>
          </w:p>
          <w:p>
            <w:pPr>
              <w:pageBreakBefore w:val="0"/>
              <w:topLinePunct w:val="0"/>
              <w:bidi w:val="0"/>
              <w:jc w:val="center"/>
              <w:outlineLvl w:val="9"/>
              <w:rPr>
                <w:rFonts w:ascii="Arial" w:hAnsi="Arial" w:cs="Arial"/>
                <w:b/>
                <w:bCs/>
                <w:sz w:val="24"/>
                <w:szCs w:val="24"/>
              </w:rPr>
            </w:pPr>
          </w:p>
          <w:p>
            <w:pPr>
              <w:pageBreakBefore w:val="0"/>
              <w:topLinePunct w:val="0"/>
              <w:bidi w:val="0"/>
              <w:ind w:firstLine="3920" w:firstLineChars="1400"/>
              <w:outlineLvl w:val="9"/>
              <w:rPr>
                <w:rFonts w:eastAsia="仿宋_GB2312"/>
                <w:sz w:val="28"/>
                <w:szCs w:val="28"/>
              </w:rPr>
            </w:pPr>
            <w:r>
              <w:rPr>
                <w:rFonts w:hint="eastAsia" w:eastAsia="仿宋_GB2312" w:cs="仿宋_GB2312"/>
                <w:sz w:val="28"/>
                <w:szCs w:val="28"/>
              </w:rPr>
              <w:t>二级学院（签章）：</w:t>
            </w:r>
            <w:r>
              <w:rPr>
                <w:rFonts w:eastAsia="仿宋_GB2312"/>
                <w:sz w:val="28"/>
                <w:szCs w:val="28"/>
              </w:rPr>
              <w:t xml:space="preserve">   </w:t>
            </w:r>
          </w:p>
          <w:p>
            <w:pPr>
              <w:pageBreakBefore w:val="0"/>
              <w:topLinePunct w:val="0"/>
              <w:bidi w:val="0"/>
              <w:ind w:firstLine="3920" w:firstLineChars="1400"/>
              <w:outlineLvl w:val="9"/>
              <w:rPr>
                <w:rFonts w:eastAsia="仿宋_GB2312"/>
                <w:sz w:val="28"/>
                <w:szCs w:val="28"/>
              </w:rPr>
            </w:pPr>
            <w:r>
              <w:rPr>
                <w:rFonts w:hint="eastAsia" w:eastAsia="仿宋_GB2312" w:cs="仿宋_GB2312"/>
                <w:sz w:val="28"/>
                <w:szCs w:val="28"/>
              </w:rPr>
              <w:t>负责人签字：</w:t>
            </w:r>
          </w:p>
          <w:p>
            <w:pPr>
              <w:pageBreakBefore w:val="0"/>
              <w:topLinePunct w:val="0"/>
              <w:bidi w:val="0"/>
              <w:jc w:val="center"/>
              <w:outlineLvl w:val="9"/>
              <w:rPr>
                <w:rFonts w:ascii="Arial" w:hAnsi="Arial" w:cs="Arial"/>
                <w:sz w:val="32"/>
                <w:szCs w:val="32"/>
              </w:rPr>
            </w:pPr>
            <w:r>
              <w:rPr>
                <w:rFonts w:ascii="Arial" w:hAnsi="Arial" w:eastAsia="仿宋_GB2312" w:cs="Arial"/>
                <w:sz w:val="28"/>
                <w:szCs w:val="28"/>
              </w:rPr>
              <w:t xml:space="preserve">                                </w:t>
            </w:r>
            <w:r>
              <w:rPr>
                <w:rFonts w:hint="eastAsia" w:ascii="Arial" w:hAnsi="Arial" w:eastAsia="仿宋_GB2312" w:cs="仿宋_GB2312"/>
                <w:sz w:val="28"/>
                <w:szCs w:val="28"/>
              </w:rPr>
              <w:t>年</w:t>
            </w:r>
            <w:r>
              <w:rPr>
                <w:rFonts w:ascii="Arial" w:hAnsi="Arial" w:eastAsia="仿宋_GB2312" w:cs="Arial"/>
                <w:sz w:val="28"/>
                <w:szCs w:val="28"/>
              </w:rPr>
              <w:t xml:space="preserve">   </w:t>
            </w:r>
            <w:r>
              <w:rPr>
                <w:rFonts w:hint="eastAsia" w:ascii="Arial" w:hAnsi="Arial" w:eastAsia="仿宋_GB2312" w:cs="仿宋_GB2312"/>
                <w:sz w:val="28"/>
                <w:szCs w:val="28"/>
              </w:rPr>
              <w:t>月</w:t>
            </w:r>
            <w:r>
              <w:rPr>
                <w:rFonts w:ascii="Arial" w:hAnsi="Arial" w:eastAsia="仿宋_GB2312" w:cs="Arial"/>
                <w:sz w:val="28"/>
                <w:szCs w:val="28"/>
              </w:rPr>
              <w:t xml:space="preserve">   </w:t>
            </w:r>
            <w:r>
              <w:rPr>
                <w:rFonts w:hint="eastAsia" w:ascii="Arial" w:hAnsi="Arial" w:eastAsia="仿宋_GB2312" w:cs="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8" w:hRule="atLeast"/>
        </w:trPr>
        <w:tc>
          <w:tcPr>
            <w:tcW w:w="8460" w:type="dxa"/>
            <w:noWrap w:val="0"/>
            <w:vAlign w:val="top"/>
          </w:tcPr>
          <w:p>
            <w:pPr>
              <w:pageBreakBefore w:val="0"/>
              <w:widowControl/>
              <w:topLinePunct w:val="0"/>
              <w:bidi w:val="0"/>
              <w:spacing w:line="360" w:lineRule="auto"/>
              <w:ind w:right="560"/>
              <w:jc w:val="left"/>
              <w:outlineLvl w:val="9"/>
              <w:rPr>
                <w:rFonts w:eastAsia="仿宋_GB2312" w:cs="仿宋_GB2312"/>
                <w:sz w:val="28"/>
                <w:szCs w:val="28"/>
              </w:rPr>
            </w:pPr>
            <w:r>
              <w:rPr>
                <w:rFonts w:hint="eastAsia" w:eastAsia="仿宋_GB2312" w:cs="仿宋_GB2312"/>
                <w:sz w:val="28"/>
                <w:szCs w:val="28"/>
              </w:rPr>
              <w:t>专家组意见</w:t>
            </w:r>
          </w:p>
          <w:p>
            <w:pPr>
              <w:pageBreakBefore w:val="0"/>
              <w:widowControl/>
              <w:topLinePunct w:val="0"/>
              <w:bidi w:val="0"/>
              <w:spacing w:line="360" w:lineRule="auto"/>
              <w:ind w:right="560"/>
              <w:jc w:val="left"/>
              <w:outlineLvl w:val="9"/>
              <w:rPr>
                <w:rFonts w:eastAsia="仿宋_GB2312" w:cs="仿宋_GB2312"/>
                <w:sz w:val="28"/>
                <w:szCs w:val="28"/>
              </w:rPr>
            </w:pPr>
          </w:p>
          <w:p>
            <w:pPr>
              <w:pageBreakBefore w:val="0"/>
              <w:widowControl/>
              <w:topLinePunct w:val="0"/>
              <w:bidi w:val="0"/>
              <w:spacing w:line="360" w:lineRule="auto"/>
              <w:ind w:right="560"/>
              <w:jc w:val="left"/>
              <w:outlineLvl w:val="9"/>
              <w:rPr>
                <w:rFonts w:eastAsia="仿宋_GB2312" w:cs="仿宋_GB2312"/>
                <w:sz w:val="28"/>
                <w:szCs w:val="28"/>
              </w:rPr>
            </w:pPr>
          </w:p>
          <w:p>
            <w:pPr>
              <w:pageBreakBefore w:val="0"/>
              <w:widowControl/>
              <w:topLinePunct w:val="0"/>
              <w:bidi w:val="0"/>
              <w:spacing w:line="360" w:lineRule="auto"/>
              <w:ind w:right="560"/>
              <w:jc w:val="left"/>
              <w:outlineLvl w:val="9"/>
              <w:rPr>
                <w:rFonts w:eastAsia="仿宋_GB2312" w:cs="仿宋_GB2312"/>
                <w:sz w:val="28"/>
                <w:szCs w:val="28"/>
              </w:rPr>
            </w:pPr>
          </w:p>
          <w:p>
            <w:pPr>
              <w:pageBreakBefore w:val="0"/>
              <w:widowControl/>
              <w:topLinePunct w:val="0"/>
              <w:bidi w:val="0"/>
              <w:spacing w:line="360" w:lineRule="auto"/>
              <w:ind w:right="560" w:firstLine="3360" w:firstLineChars="1200"/>
              <w:jc w:val="left"/>
              <w:outlineLvl w:val="9"/>
              <w:rPr>
                <w:rFonts w:eastAsia="仿宋_GB2312"/>
                <w:sz w:val="28"/>
                <w:szCs w:val="28"/>
              </w:rPr>
            </w:pPr>
            <w:r>
              <w:rPr>
                <w:rFonts w:hint="eastAsia" w:eastAsia="仿宋_GB2312" w:cs="仿宋_GB2312"/>
                <w:sz w:val="28"/>
                <w:szCs w:val="28"/>
              </w:rPr>
              <w:t>专家组（签章）：</w:t>
            </w:r>
            <w:r>
              <w:rPr>
                <w:rFonts w:ascii="宋体" w:hAnsi="宋体" w:cs="宋体"/>
                <w:color w:val="000000"/>
                <w:kern w:val="0"/>
                <w:sz w:val="28"/>
                <w:szCs w:val="28"/>
              </w:rPr>
              <w:t xml:space="preserve">                              </w:t>
            </w:r>
          </w:p>
          <w:p>
            <w:pPr>
              <w:pageBreakBefore w:val="0"/>
              <w:topLinePunct w:val="0"/>
              <w:bidi w:val="0"/>
              <w:ind w:firstLine="4480" w:firstLineChars="1600"/>
              <w:jc w:val="center"/>
              <w:outlineLvl w:val="9"/>
              <w:rPr>
                <w:rFonts w:ascii="Arial" w:hAnsi="Arial" w:eastAsia="仿宋_GB2312" w:cs="Arial"/>
                <w:sz w:val="28"/>
                <w:szCs w:val="28"/>
              </w:rPr>
            </w:pPr>
            <w:r>
              <w:rPr>
                <w:rFonts w:hint="eastAsia" w:ascii="Arial" w:hAnsi="Arial" w:eastAsia="仿宋_GB2312" w:cs="仿宋_GB2312"/>
                <w:sz w:val="28"/>
                <w:szCs w:val="28"/>
              </w:rPr>
              <w:t>年</w:t>
            </w:r>
            <w:r>
              <w:rPr>
                <w:rFonts w:ascii="Arial" w:hAnsi="Arial" w:eastAsia="仿宋_GB2312" w:cs="Arial"/>
                <w:sz w:val="28"/>
                <w:szCs w:val="28"/>
              </w:rPr>
              <w:t xml:space="preserve">   </w:t>
            </w:r>
            <w:r>
              <w:rPr>
                <w:rFonts w:hint="eastAsia" w:ascii="Arial" w:hAnsi="Arial" w:eastAsia="仿宋_GB2312" w:cs="仿宋_GB2312"/>
                <w:sz w:val="28"/>
                <w:szCs w:val="28"/>
              </w:rPr>
              <w:t>月</w:t>
            </w:r>
            <w:r>
              <w:rPr>
                <w:rFonts w:ascii="Arial" w:hAnsi="Arial" w:eastAsia="仿宋_GB2312" w:cs="Arial"/>
                <w:sz w:val="28"/>
                <w:szCs w:val="28"/>
              </w:rPr>
              <w:t xml:space="preserve">   </w:t>
            </w:r>
            <w:r>
              <w:rPr>
                <w:rFonts w:hint="eastAsia" w:ascii="Arial" w:hAnsi="Arial" w:eastAsia="仿宋_GB2312" w:cs="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9" w:hRule="atLeast"/>
        </w:trPr>
        <w:tc>
          <w:tcPr>
            <w:tcW w:w="8460" w:type="dxa"/>
            <w:noWrap w:val="0"/>
            <w:vAlign w:val="top"/>
          </w:tcPr>
          <w:p>
            <w:pPr>
              <w:pageBreakBefore w:val="0"/>
              <w:topLinePunct w:val="0"/>
              <w:bidi w:val="0"/>
              <w:jc w:val="left"/>
              <w:outlineLvl w:val="9"/>
              <w:rPr>
                <w:rFonts w:ascii="Arial" w:hAnsi="Arial" w:cs="Arial"/>
                <w:b/>
                <w:bCs/>
                <w:sz w:val="24"/>
                <w:szCs w:val="24"/>
              </w:rPr>
            </w:pPr>
            <w:r>
              <w:rPr>
                <w:rFonts w:hint="eastAsia" w:ascii="黑体" w:hAnsi="黑体" w:eastAsia="黑体" w:cs="宋体"/>
                <w:b/>
                <w:bCs/>
                <w:sz w:val="28"/>
                <w:szCs w:val="28"/>
              </w:rPr>
              <w:t>学校意见</w:t>
            </w:r>
          </w:p>
          <w:p>
            <w:pPr>
              <w:pageBreakBefore w:val="0"/>
              <w:topLinePunct w:val="0"/>
              <w:bidi w:val="0"/>
              <w:jc w:val="center"/>
              <w:outlineLvl w:val="9"/>
              <w:rPr>
                <w:rFonts w:ascii="Arial" w:hAnsi="Arial" w:cs="Arial"/>
                <w:b/>
                <w:bCs/>
                <w:sz w:val="24"/>
                <w:szCs w:val="24"/>
              </w:rPr>
            </w:pPr>
          </w:p>
          <w:p>
            <w:pPr>
              <w:pageBreakBefore w:val="0"/>
              <w:topLinePunct w:val="0"/>
              <w:bidi w:val="0"/>
              <w:jc w:val="center"/>
              <w:outlineLvl w:val="9"/>
              <w:rPr>
                <w:rFonts w:ascii="Arial" w:hAnsi="Arial" w:cs="Arial"/>
                <w:b/>
                <w:bCs/>
                <w:sz w:val="24"/>
                <w:szCs w:val="24"/>
              </w:rPr>
            </w:pPr>
          </w:p>
          <w:p>
            <w:pPr>
              <w:pageBreakBefore w:val="0"/>
              <w:topLinePunct w:val="0"/>
              <w:bidi w:val="0"/>
              <w:jc w:val="center"/>
              <w:outlineLvl w:val="9"/>
              <w:rPr>
                <w:rFonts w:ascii="Arial" w:hAnsi="Arial" w:cs="Arial"/>
                <w:b/>
                <w:bCs/>
                <w:sz w:val="24"/>
                <w:szCs w:val="24"/>
              </w:rPr>
            </w:pPr>
          </w:p>
          <w:p>
            <w:pPr>
              <w:pageBreakBefore w:val="0"/>
              <w:topLinePunct w:val="0"/>
              <w:bidi w:val="0"/>
              <w:jc w:val="center"/>
              <w:outlineLvl w:val="9"/>
              <w:rPr>
                <w:rFonts w:ascii="Arial" w:hAnsi="Arial" w:cs="Arial"/>
                <w:b/>
                <w:bCs/>
                <w:sz w:val="24"/>
                <w:szCs w:val="24"/>
              </w:rPr>
            </w:pPr>
          </w:p>
          <w:p>
            <w:pPr>
              <w:pageBreakBefore w:val="0"/>
              <w:topLinePunct w:val="0"/>
              <w:bidi w:val="0"/>
              <w:jc w:val="center"/>
              <w:outlineLvl w:val="9"/>
              <w:rPr>
                <w:rFonts w:ascii="Arial" w:hAnsi="Arial" w:cs="Arial"/>
                <w:b/>
                <w:bCs/>
                <w:sz w:val="24"/>
                <w:szCs w:val="24"/>
              </w:rPr>
            </w:pPr>
          </w:p>
          <w:p>
            <w:pPr>
              <w:pageBreakBefore w:val="0"/>
              <w:topLinePunct w:val="0"/>
              <w:bidi w:val="0"/>
              <w:jc w:val="center"/>
              <w:outlineLvl w:val="9"/>
              <w:rPr>
                <w:rFonts w:ascii="Arial" w:hAnsi="Arial" w:cs="Arial"/>
                <w:b/>
                <w:bCs/>
                <w:sz w:val="24"/>
                <w:szCs w:val="24"/>
              </w:rPr>
            </w:pPr>
          </w:p>
          <w:p>
            <w:pPr>
              <w:pageBreakBefore w:val="0"/>
              <w:topLinePunct w:val="0"/>
              <w:bidi w:val="0"/>
              <w:jc w:val="center"/>
              <w:outlineLvl w:val="9"/>
              <w:rPr>
                <w:rFonts w:ascii="Arial" w:hAnsi="Arial" w:cs="Arial"/>
                <w:b/>
                <w:bCs/>
                <w:sz w:val="24"/>
                <w:szCs w:val="24"/>
              </w:rPr>
            </w:pPr>
          </w:p>
          <w:p>
            <w:pPr>
              <w:pageBreakBefore w:val="0"/>
              <w:topLinePunct w:val="0"/>
              <w:bidi w:val="0"/>
              <w:outlineLvl w:val="9"/>
              <w:rPr>
                <w:rFonts w:ascii="仿宋_GB2312" w:hAnsi="仿宋" w:eastAsia="仿宋_GB2312"/>
                <w:color w:val="000000"/>
                <w:sz w:val="28"/>
                <w:szCs w:val="28"/>
              </w:rPr>
            </w:pPr>
          </w:p>
          <w:p>
            <w:pPr>
              <w:pageBreakBefore w:val="0"/>
              <w:topLinePunct w:val="0"/>
              <w:bidi w:val="0"/>
              <w:spacing w:line="480" w:lineRule="exact"/>
              <w:ind w:firstLine="3640" w:firstLineChars="1300"/>
              <w:outlineLvl w:val="9"/>
              <w:rPr>
                <w:rFonts w:ascii="仿宋_GB2312" w:hAnsi="仿宋" w:eastAsia="仿宋_GB2312"/>
                <w:color w:val="000000"/>
                <w:sz w:val="28"/>
                <w:szCs w:val="28"/>
              </w:rPr>
            </w:pPr>
            <w:r>
              <w:rPr>
                <w:rFonts w:hint="eastAsia" w:ascii="仿宋_GB2312" w:hAnsi="仿宋" w:eastAsia="仿宋_GB2312"/>
                <w:color w:val="000000"/>
                <w:sz w:val="28"/>
                <w:szCs w:val="28"/>
              </w:rPr>
              <w:t xml:space="preserve">单  位（盖章）                                            </w:t>
            </w:r>
          </w:p>
          <w:p>
            <w:pPr>
              <w:pageBreakBefore w:val="0"/>
              <w:topLinePunct w:val="0"/>
              <w:bidi w:val="0"/>
              <w:spacing w:line="480" w:lineRule="exact"/>
              <w:ind w:firstLine="3640" w:firstLineChars="1300"/>
              <w:outlineLvl w:val="9"/>
              <w:rPr>
                <w:rFonts w:ascii="Arial" w:hAnsi="Arial" w:eastAsia="仿宋_GB2312" w:cs="Arial"/>
                <w:sz w:val="28"/>
                <w:szCs w:val="28"/>
              </w:rPr>
            </w:pPr>
            <w:r>
              <w:rPr>
                <w:rFonts w:hint="eastAsia" w:ascii="仿宋_GB2312" w:hAnsi="仿宋" w:eastAsia="仿宋_GB2312"/>
                <w:color w:val="000000"/>
                <w:sz w:val="28"/>
                <w:szCs w:val="28"/>
              </w:rPr>
              <w:t>年     月    日</w:t>
            </w:r>
          </w:p>
        </w:tc>
      </w:tr>
    </w:tbl>
    <w:p>
      <w:pPr>
        <w:pageBreakBefore w:val="0"/>
        <w:topLinePunct w:val="0"/>
        <w:bidi w:val="0"/>
        <w:outlineLvl w:val="9"/>
        <w:rPr>
          <w:rFonts w:hint="eastAsia" w:ascii="仿宋_GB2312" w:eastAsia="仿宋_GB2312"/>
          <w:sz w:val="30"/>
          <w:szCs w:val="30"/>
        </w:rPr>
      </w:pPr>
      <w:r>
        <w:rPr>
          <w:rFonts w:hint="eastAsia" w:ascii="仿宋_GB2312" w:eastAsia="仿宋_GB2312"/>
          <w:sz w:val="30"/>
          <w:szCs w:val="30"/>
        </w:rPr>
        <w:br w:type="page"/>
      </w:r>
    </w:p>
    <w:p>
      <w:pPr>
        <w:pageBreakBefore w:val="0"/>
        <w:topLinePunct w:val="0"/>
        <w:bidi w:val="0"/>
        <w:jc w:val="center"/>
        <w:outlineLvl w:val="9"/>
        <w:rPr>
          <w:sz w:val="24"/>
        </w:rPr>
      </w:pPr>
      <w:bookmarkStart w:id="354" w:name="_Toc27311"/>
      <w:bookmarkStart w:id="355" w:name="_Toc17620"/>
      <w:bookmarkStart w:id="356" w:name="_Toc17336"/>
      <w:bookmarkStart w:id="357" w:name="_Toc24458"/>
      <w:bookmarkStart w:id="358" w:name="_Toc9262"/>
      <w:bookmarkStart w:id="359" w:name="_Toc13387"/>
      <w:bookmarkStart w:id="360" w:name="_Toc31802"/>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56"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w:t>
      </w:r>
      <w:r>
        <w:rPr>
          <w:rFonts w:hint="eastAsia" w:ascii="仿宋_GB2312" w:eastAsia="仿宋_GB2312"/>
          <w:color w:val="000000"/>
          <w:kern w:val="0"/>
          <w:sz w:val="32"/>
          <w:szCs w:val="28"/>
        </w:rPr>
        <w:t>21〕</w:t>
      </w:r>
      <w:r>
        <w:rPr>
          <w:rFonts w:hint="eastAsia" w:ascii="仿宋_GB2312" w:eastAsia="仿宋_GB2312"/>
          <w:color w:val="000000"/>
          <w:kern w:val="0"/>
          <w:sz w:val="32"/>
          <w:szCs w:val="28"/>
          <w:lang w:val="en-US" w:eastAsia="zh-CN"/>
        </w:rPr>
        <w:t>86</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spacing w:line="480" w:lineRule="exact"/>
        <w:outlineLvl w:val="9"/>
        <w:rPr>
          <w:rFonts w:eastAsia="黑体"/>
          <w:color w:val="000000"/>
          <w:kern w:val="0"/>
          <w:sz w:val="30"/>
          <w:szCs w:val="30"/>
        </w:rPr>
      </w:pPr>
      <w:r>
        <w:rPr>
          <w:rFonts w:hint="eastAsia" w:ascii="黑体"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312" w:beforeLines="100"/>
        <w:ind w:firstLine="420"/>
        <w:jc w:val="center"/>
        <w:textAlignment w:val="auto"/>
        <w:outlineLvl w:val="0"/>
        <w:rPr>
          <w:rFonts w:hint="eastAsia" w:ascii="黑体" w:hAnsi="黑体" w:eastAsia="黑体" w:cs="黑体"/>
          <w:color w:val="000000"/>
          <w:sz w:val="36"/>
          <w:szCs w:val="36"/>
        </w:rPr>
      </w:pPr>
      <w:bookmarkStart w:id="361" w:name="_Toc8123"/>
      <w:r>
        <w:rPr>
          <w:rFonts w:hint="eastAsia" w:ascii="黑体" w:hAnsi="黑体" w:eastAsia="黑体" w:cs="黑体"/>
          <w:b/>
          <w:sz w:val="36"/>
          <w:szCs w:val="36"/>
        </w:rPr>
        <w:t>关于印</w:t>
      </w:r>
      <w:r>
        <w:rPr>
          <w:rFonts w:hint="eastAsia" w:ascii="黑体" w:hAnsi="黑体" w:eastAsia="黑体" w:cs="黑体"/>
          <w:b/>
          <w:kern w:val="0"/>
          <w:sz w:val="36"/>
          <w:szCs w:val="36"/>
        </w:rPr>
        <w:t>发《上海电子信息</w:t>
      </w:r>
      <w:r>
        <w:rPr>
          <w:rFonts w:hint="eastAsia" w:ascii="黑体" w:hAnsi="黑体" w:eastAsia="黑体" w:cs="黑体"/>
          <w:b/>
          <w:sz w:val="36"/>
          <w:szCs w:val="36"/>
        </w:rPr>
        <w:t>职业技术学院学生参加校外职业技能竞赛管理办法》的通知</w:t>
      </w:r>
      <w:bookmarkEnd w:id="361"/>
    </w:p>
    <w:p>
      <w:pPr>
        <w:pageBreakBefore w:val="0"/>
        <w:topLinePunct w:val="0"/>
        <w:bidi w:val="0"/>
        <w:spacing w:before="312" w:beforeLines="100"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现将《上海电子信息职业技术学院学生参加校外职业技 能竞赛管理办法》印发给你们，请结合本部门工作实际，认</w:t>
      </w:r>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真研究执行。</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附件：上海电子信息职业技术学院学生参加校外职业技能竞赛管理办法</w:t>
      </w:r>
    </w:p>
    <w:p>
      <w:pPr>
        <w:pageBreakBefore w:val="0"/>
        <w:topLinePunct w:val="0"/>
        <w:bidi w:val="0"/>
        <w:spacing w:line="560" w:lineRule="exact"/>
        <w:ind w:firstLine="645"/>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20" w:lineRule="exact"/>
        <w:jc w:val="center"/>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20" w:lineRule="exact"/>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p>
    <w:p>
      <w:pPr>
        <w:pageBreakBefore w:val="0"/>
        <w:topLinePunct w:val="0"/>
        <w:bidi w:val="0"/>
        <w:spacing w:line="520" w:lineRule="exact"/>
        <w:ind w:right="480"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2021年8月8日</w:t>
      </w:r>
    </w:p>
    <w:p>
      <w:pPr>
        <w:pageBreakBefore w:val="0"/>
        <w:topLinePunct w:val="0"/>
        <w:bidi w:val="0"/>
        <w:spacing w:line="520" w:lineRule="exact"/>
        <w:ind w:right="480"/>
        <w:outlineLvl w:val="9"/>
        <w:rPr>
          <w:rFonts w:hint="eastAsia" w:ascii="仿宋_GB2312" w:hAnsi="宋体" w:eastAsia="仿宋_GB2312"/>
          <w:sz w:val="32"/>
          <w:szCs w:val="32"/>
        </w:rPr>
      </w:pPr>
    </w:p>
    <w:p>
      <w:pPr>
        <w:pageBreakBefore w:val="0"/>
        <w:topLinePunct w:val="0"/>
        <w:bidi w:val="0"/>
        <w:spacing w:line="520" w:lineRule="exact"/>
        <w:ind w:right="480"/>
        <w:outlineLvl w:val="9"/>
        <w:rPr>
          <w:rFonts w:hint="eastAsia" w:ascii="仿宋_GB2312" w:hAnsi="宋体" w:eastAsia="仿宋_GB2312"/>
          <w:sz w:val="32"/>
          <w:szCs w:val="32"/>
        </w:rPr>
      </w:pPr>
    </w:p>
    <w:p>
      <w:pPr>
        <w:pageBreakBefore w:val="0"/>
        <w:topLinePunct w:val="0"/>
        <w:bidi w:val="0"/>
        <w:jc w:val="both"/>
        <w:outlineLvl w:val="9"/>
        <w:rPr>
          <w:rFonts w:hint="eastAsia" w:ascii="仿宋" w:hAnsi="仿宋" w:eastAsia="仿宋" w:cs="仿宋"/>
          <w:b/>
          <w:bCs/>
          <w:color w:val="000000"/>
          <w:sz w:val="32"/>
          <w:szCs w:val="32"/>
          <w:lang w:val="en-US" w:eastAsia="zh-CN"/>
        </w:rPr>
      </w:pPr>
      <w:r>
        <w:rPr>
          <w:rFonts w:hint="eastAsia" w:ascii="仿宋_GB2312" w:hAnsi="仿宋_GB2312" w:eastAsia="仿宋_GB2312" w:cs="仿宋_GB2312"/>
          <w:kern w:val="2"/>
          <w:sz w:val="28"/>
          <w:szCs w:val="28"/>
          <w:highlight w:val="none"/>
          <w:lang w:val="en-US" w:eastAsia="zh-CN" w:bidi="ar-SA"/>
        </w:rPr>
        <w:t>附件：</w:t>
      </w:r>
      <w:r>
        <w:rPr>
          <w:rFonts w:hint="eastAsia" w:ascii="仿宋" w:hAnsi="仿宋" w:eastAsia="仿宋" w:cs="仿宋"/>
          <w:b/>
          <w:bCs/>
          <w:color w:val="000000"/>
          <w:sz w:val="32"/>
          <w:szCs w:val="32"/>
          <w:lang w:val="en-US" w:eastAsia="zh-CN"/>
        </w:rPr>
        <w:t xml:space="preserve">       </w:t>
      </w:r>
    </w:p>
    <w:p>
      <w:pPr>
        <w:pageBreakBefore w:val="0"/>
        <w:topLinePunct w:val="0"/>
        <w:bidi w:val="0"/>
        <w:jc w:val="center"/>
        <w:outlineLvl w:val="9"/>
        <w:rPr>
          <w:rFonts w:hint="eastAsia" w:ascii="黑体" w:hAnsi="黑体" w:eastAsia="黑体" w:cs="黑体"/>
          <w:b/>
          <w:bCs/>
          <w:color w:val="000000"/>
          <w:sz w:val="36"/>
          <w:szCs w:val="36"/>
        </w:rPr>
      </w:pPr>
      <w:r>
        <w:rPr>
          <w:rFonts w:hint="eastAsia" w:ascii="黑体" w:hAnsi="黑体" w:eastAsia="黑体" w:cs="黑体"/>
          <w:b/>
          <w:bCs/>
          <w:color w:val="000000"/>
          <w:sz w:val="36"/>
          <w:szCs w:val="36"/>
        </w:rPr>
        <w:t>上海电子信息职业技术学院</w:t>
      </w:r>
    </w:p>
    <w:p>
      <w:pPr>
        <w:pageBreakBefore w:val="0"/>
        <w:topLinePunct w:val="0"/>
        <w:bidi w:val="0"/>
        <w:jc w:val="center"/>
        <w:outlineLvl w:val="9"/>
        <w:rPr>
          <w:rFonts w:hint="eastAsia" w:ascii="黑体" w:hAnsi="黑体" w:eastAsia="黑体" w:cs="黑体"/>
          <w:color w:val="000000"/>
          <w:sz w:val="36"/>
          <w:szCs w:val="36"/>
        </w:rPr>
      </w:pPr>
      <w:r>
        <w:rPr>
          <w:rFonts w:hint="eastAsia" w:ascii="黑体" w:hAnsi="黑体" w:eastAsia="黑体" w:cs="黑体"/>
          <w:b/>
          <w:bCs/>
          <w:color w:val="000000"/>
          <w:sz w:val="36"/>
          <w:szCs w:val="36"/>
        </w:rPr>
        <w:t>学生参加校外职业技能竞赛管理办法</w:t>
      </w:r>
      <w:bookmarkEnd w:id="354"/>
      <w:bookmarkEnd w:id="355"/>
      <w:bookmarkEnd w:id="356"/>
      <w:bookmarkEnd w:id="357"/>
      <w:bookmarkEnd w:id="358"/>
      <w:bookmarkEnd w:id="359"/>
      <w:bookmarkEnd w:id="360"/>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深入贯彻落实全国职业教育大会精神，推进我校职业教育综合改革，推动职业教育高质量发展，进一步加强对职业技能竞赛参赛活动的规范管理，鼓励广大教师主动指导学生参加各类职业技能竞赛，提升教学质量和办学水平，特制订本管理办法。</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一、范围界定</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本办法适用于各教学单位组织学生参加的各类校外职业技能竞赛。</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二、参赛条件</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（一）申报的参赛项目应与申报二级学院的专业开设、人才培养相关；</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（二）申报的参赛项目应具备指导教师、实验实训设施等软硬件条件；</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（三）参加由学校组织的校内选拔赛，取得相应的名次，方能代表学校参赛。</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三、参赛报备</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凡我校各教学单位组织在校学生参加各类校外职业技能竞赛活动，必须事先通过网上“学生参加校外职业技能大赛申请”申报及备案，在征得教务处批准后方可进行参赛筹备工作。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（一）报备提交材料</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“学生参加校外职业技能大赛申请”中申报参赛项目、参赛选手、指导教师等信息；同时提交附件2纸质稿一份至教务处。</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参赛通知（或邀赛函）原件电子稿上传至“学生参加校外职业技能大赛申请”，供教务处查验；</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“参赛选手个人信息表”（附件3）纸质稿一份； </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参赛选手及指导教师近期免冠一寸照（电子稿），照片格式为100(宽)*125（高），命名格式为“身份证号+姓名.jpg”。</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（二）报备时间</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申报部门应在比赛前将报备材料1、材料2、材料3递交教务处审核、备案。在参加比赛前递交材料3、材料4。</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四、参赛选拔</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（一）教务处根据教育部或上海市教育委员会公布的竞赛通知，发布学校参赛赛项；</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（二）各教学单位根据教务处发布的参赛赛项，即着手组队，并做好选拔赛工作，选出代表学校参赛的选手。</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（三）教务处组织参赛项目校内选拔赛，选出代表学校参赛的选手。</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五、赛前集训</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参赛项目及参赛选手一经确定，各竞赛项目组即着手组织赛前集训，学校提供相应的软硬件保障。</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六、赛果备案</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竞赛结束后，参赛部门应及时将竞赛获奖证书或获奖文件的原件电子稿上传至“学生参加校外职业技能大赛申请”中进行备案。</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成绩认定</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（一）成绩认定</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学生参加全国一类职业技能竞赛、世界技能大赛，取得三等奖以上成绩，或参与全国一类大赛集训、世界技能大赛集训，均可免修参加竞赛、集训所在学期的所有课程，并取得相应的学分，具体成绩折算方法为：</w:t>
      </w:r>
    </w:p>
    <w:tbl>
      <w:tblPr>
        <w:tblStyle w:val="37"/>
        <w:tblW w:w="8477" w:type="dxa"/>
        <w:tblInd w:w="98" w:type="dxa"/>
        <w:tblLayout w:type="fixed"/>
        <w:tblCellMar>
          <w:top w:w="0" w:type="dxa"/>
          <w:left w:w="108" w:type="dxa"/>
          <w:bottom w:w="0" w:type="dxa"/>
          <w:right w:w="108" w:type="dxa"/>
        </w:tblCellMar>
      </w:tblPr>
      <w:tblGrid>
        <w:gridCol w:w="2549"/>
        <w:gridCol w:w="1836"/>
        <w:gridCol w:w="2046"/>
        <w:gridCol w:w="2046"/>
      </w:tblGrid>
      <w:tr>
        <w:tblPrEx>
          <w:tblCellMar>
            <w:top w:w="0" w:type="dxa"/>
            <w:left w:w="108" w:type="dxa"/>
            <w:bottom w:w="0" w:type="dxa"/>
            <w:right w:w="108" w:type="dxa"/>
          </w:tblCellMar>
        </w:tblPrEx>
        <w:trPr>
          <w:trHeight w:val="298" w:hRule="atLeast"/>
        </w:trPr>
        <w:tc>
          <w:tcPr>
            <w:tcW w:w="2549" w:type="dxa"/>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spacing w:line="360" w:lineRule="auto"/>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大赛类别</w:t>
            </w:r>
          </w:p>
        </w:tc>
        <w:tc>
          <w:tcPr>
            <w:tcW w:w="1836" w:type="dxa"/>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spacing w:line="360" w:lineRule="auto"/>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一等奖</w:t>
            </w:r>
          </w:p>
        </w:tc>
        <w:tc>
          <w:tcPr>
            <w:tcW w:w="2046" w:type="dxa"/>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spacing w:line="360" w:lineRule="auto"/>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二等奖</w:t>
            </w:r>
          </w:p>
        </w:tc>
        <w:tc>
          <w:tcPr>
            <w:tcW w:w="2046" w:type="dxa"/>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spacing w:line="360" w:lineRule="auto"/>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三等奖</w:t>
            </w:r>
          </w:p>
        </w:tc>
      </w:tr>
      <w:tr>
        <w:tblPrEx>
          <w:tblCellMar>
            <w:top w:w="0" w:type="dxa"/>
            <w:left w:w="108" w:type="dxa"/>
            <w:bottom w:w="0" w:type="dxa"/>
            <w:right w:w="108" w:type="dxa"/>
          </w:tblCellMar>
        </w:tblPrEx>
        <w:trPr>
          <w:trHeight w:val="298" w:hRule="atLeast"/>
        </w:trPr>
        <w:tc>
          <w:tcPr>
            <w:tcW w:w="2549" w:type="dxa"/>
            <w:tcBorders>
              <w:top w:val="single" w:color="000000" w:sz="4" w:space="0"/>
              <w:left w:val="single" w:color="000000" w:sz="4" w:space="0"/>
              <w:bottom w:val="single" w:color="000000" w:sz="4" w:space="0"/>
              <w:right w:val="single" w:color="000000" w:sz="4" w:space="0"/>
            </w:tcBorders>
            <w:noWrap/>
            <w:vAlign w:val="center"/>
          </w:tcPr>
          <w:p>
            <w:pPr>
              <w:pageBreakBefore w:val="0"/>
              <w:topLinePunct w:val="0"/>
              <w:bidi w:val="0"/>
              <w:spacing w:line="360" w:lineRule="auto"/>
              <w:outlineLvl w:val="9"/>
              <w:rPr>
                <w:rFonts w:hint="eastAsia" w:ascii="仿宋" w:hAnsi="仿宋" w:eastAsia="仿宋" w:cs="仿宋"/>
                <w:sz w:val="28"/>
                <w:szCs w:val="28"/>
              </w:rPr>
            </w:pPr>
            <w:r>
              <w:rPr>
                <w:rFonts w:hint="eastAsia" w:ascii="仿宋" w:hAnsi="仿宋" w:eastAsia="仿宋" w:cs="仿宋"/>
                <w:sz w:val="28"/>
                <w:szCs w:val="28"/>
              </w:rPr>
              <w:t>全国一类及以上</w:t>
            </w:r>
          </w:p>
        </w:tc>
        <w:tc>
          <w:tcPr>
            <w:tcW w:w="1836" w:type="dxa"/>
            <w:tcBorders>
              <w:top w:val="single" w:color="000000" w:sz="4" w:space="0"/>
              <w:left w:val="single" w:color="000000" w:sz="4" w:space="0"/>
              <w:bottom w:val="single" w:color="000000" w:sz="4" w:space="0"/>
              <w:right w:val="single" w:color="000000" w:sz="4" w:space="0"/>
            </w:tcBorders>
            <w:noWrap/>
            <w:vAlign w:val="center"/>
          </w:tcPr>
          <w:p>
            <w:pPr>
              <w:pageBreakBefore w:val="0"/>
              <w:topLinePunct w:val="0"/>
              <w:bidi w:val="0"/>
              <w:spacing w:line="360" w:lineRule="auto"/>
              <w:outlineLvl w:val="9"/>
              <w:rPr>
                <w:rFonts w:hint="eastAsia" w:ascii="仿宋" w:hAnsi="仿宋" w:eastAsia="仿宋" w:cs="仿宋"/>
                <w:sz w:val="28"/>
                <w:szCs w:val="28"/>
              </w:rPr>
            </w:pPr>
            <w:r>
              <w:rPr>
                <w:rFonts w:hint="eastAsia" w:ascii="仿宋" w:hAnsi="仿宋" w:eastAsia="仿宋" w:cs="仿宋"/>
                <w:sz w:val="28"/>
                <w:szCs w:val="28"/>
              </w:rPr>
              <w:t>不低于97</w:t>
            </w:r>
          </w:p>
        </w:tc>
        <w:tc>
          <w:tcPr>
            <w:tcW w:w="2046" w:type="dxa"/>
            <w:tcBorders>
              <w:top w:val="single" w:color="000000" w:sz="4" w:space="0"/>
              <w:left w:val="single" w:color="000000" w:sz="4" w:space="0"/>
              <w:bottom w:val="single" w:color="000000" w:sz="4" w:space="0"/>
              <w:right w:val="single" w:color="000000" w:sz="4" w:space="0"/>
            </w:tcBorders>
            <w:noWrap/>
            <w:vAlign w:val="center"/>
          </w:tcPr>
          <w:p>
            <w:pPr>
              <w:pageBreakBefore w:val="0"/>
              <w:topLinePunct w:val="0"/>
              <w:bidi w:val="0"/>
              <w:spacing w:line="360" w:lineRule="auto"/>
              <w:outlineLvl w:val="9"/>
              <w:rPr>
                <w:rFonts w:hint="eastAsia" w:ascii="仿宋" w:hAnsi="仿宋" w:eastAsia="仿宋" w:cs="仿宋"/>
                <w:sz w:val="28"/>
                <w:szCs w:val="28"/>
              </w:rPr>
            </w:pPr>
            <w:r>
              <w:rPr>
                <w:rFonts w:hint="eastAsia" w:ascii="仿宋" w:hAnsi="仿宋" w:eastAsia="仿宋" w:cs="仿宋"/>
                <w:sz w:val="28"/>
                <w:szCs w:val="28"/>
              </w:rPr>
              <w:t>不低于95</w:t>
            </w:r>
          </w:p>
        </w:tc>
        <w:tc>
          <w:tcPr>
            <w:tcW w:w="2046" w:type="dxa"/>
            <w:tcBorders>
              <w:top w:val="single" w:color="000000" w:sz="4" w:space="0"/>
              <w:left w:val="single" w:color="000000" w:sz="4" w:space="0"/>
              <w:bottom w:val="single" w:color="000000" w:sz="4" w:space="0"/>
              <w:right w:val="single" w:color="000000" w:sz="4" w:space="0"/>
            </w:tcBorders>
            <w:noWrap/>
            <w:vAlign w:val="center"/>
          </w:tcPr>
          <w:p>
            <w:pPr>
              <w:pageBreakBefore w:val="0"/>
              <w:topLinePunct w:val="0"/>
              <w:bidi w:val="0"/>
              <w:spacing w:line="360" w:lineRule="auto"/>
              <w:outlineLvl w:val="9"/>
              <w:rPr>
                <w:rFonts w:hint="eastAsia" w:ascii="仿宋" w:hAnsi="仿宋" w:eastAsia="仿宋" w:cs="仿宋"/>
                <w:sz w:val="28"/>
                <w:szCs w:val="28"/>
              </w:rPr>
            </w:pPr>
            <w:r>
              <w:rPr>
                <w:rFonts w:hint="eastAsia" w:ascii="仿宋" w:hAnsi="仿宋" w:eastAsia="仿宋" w:cs="仿宋"/>
                <w:sz w:val="28"/>
                <w:szCs w:val="28"/>
              </w:rPr>
              <w:t>不低于90</w:t>
            </w:r>
          </w:p>
        </w:tc>
      </w:tr>
      <w:tr>
        <w:tblPrEx>
          <w:tblCellMar>
            <w:top w:w="0" w:type="dxa"/>
            <w:left w:w="108" w:type="dxa"/>
            <w:bottom w:w="0" w:type="dxa"/>
            <w:right w:w="108" w:type="dxa"/>
          </w:tblCellMar>
        </w:tblPrEx>
        <w:trPr>
          <w:trHeight w:val="615" w:hRule="atLeast"/>
        </w:trPr>
        <w:tc>
          <w:tcPr>
            <w:tcW w:w="2549" w:type="dxa"/>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spacing w:line="360" w:lineRule="auto"/>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参加全国一类及以上大赛进行集训，并未获得奖项</w:t>
            </w:r>
          </w:p>
        </w:tc>
        <w:tc>
          <w:tcPr>
            <w:tcW w:w="5928" w:type="dxa"/>
            <w:gridSpan w:val="3"/>
            <w:tcBorders>
              <w:top w:val="single" w:color="000000" w:sz="4" w:space="0"/>
              <w:left w:val="single" w:color="000000" w:sz="4" w:space="0"/>
              <w:bottom w:val="single" w:color="000000" w:sz="4" w:space="0"/>
              <w:right w:val="single" w:color="000000" w:sz="4" w:space="0"/>
            </w:tcBorders>
            <w:noWrap/>
            <w:vAlign w:val="center"/>
          </w:tcPr>
          <w:p>
            <w:pPr>
              <w:pageBreakBefore w:val="0"/>
              <w:topLinePunct w:val="0"/>
              <w:bidi w:val="0"/>
              <w:spacing w:line="360" w:lineRule="auto"/>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不低于85</w:t>
            </w:r>
          </w:p>
        </w:tc>
      </w:tr>
      <w:tr>
        <w:tblPrEx>
          <w:tblCellMar>
            <w:top w:w="0" w:type="dxa"/>
            <w:left w:w="108" w:type="dxa"/>
            <w:bottom w:w="0" w:type="dxa"/>
            <w:right w:w="108" w:type="dxa"/>
          </w:tblCellMar>
        </w:tblPrEx>
        <w:trPr>
          <w:trHeight w:val="615" w:hRule="atLeast"/>
        </w:trPr>
        <w:tc>
          <w:tcPr>
            <w:tcW w:w="2549" w:type="dxa"/>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spacing w:line="360" w:lineRule="auto"/>
              <w:outlineLvl w:val="9"/>
              <w:rPr>
                <w:rFonts w:hint="eastAsia" w:ascii="仿宋" w:hAnsi="仿宋" w:eastAsia="仿宋" w:cs="仿宋"/>
                <w:sz w:val="28"/>
                <w:szCs w:val="28"/>
              </w:rPr>
            </w:pPr>
            <w:r>
              <w:rPr>
                <w:rFonts w:hint="eastAsia" w:ascii="仿宋" w:hAnsi="仿宋" w:eastAsia="仿宋" w:cs="仿宋"/>
                <w:sz w:val="28"/>
                <w:szCs w:val="28"/>
              </w:rPr>
              <w:t>世赛国家队集训</w:t>
            </w:r>
          </w:p>
        </w:tc>
        <w:tc>
          <w:tcPr>
            <w:tcW w:w="5928" w:type="dxa"/>
            <w:gridSpan w:val="3"/>
            <w:tcBorders>
              <w:top w:val="single" w:color="000000" w:sz="4" w:space="0"/>
              <w:left w:val="single" w:color="000000" w:sz="4" w:space="0"/>
              <w:bottom w:val="single" w:color="000000" w:sz="4" w:space="0"/>
              <w:right w:val="single" w:color="000000" w:sz="4" w:space="0"/>
            </w:tcBorders>
            <w:noWrap/>
            <w:vAlign w:val="center"/>
          </w:tcPr>
          <w:p>
            <w:pPr>
              <w:pageBreakBefore w:val="0"/>
              <w:topLinePunct w:val="0"/>
              <w:bidi w:val="0"/>
              <w:spacing w:line="360" w:lineRule="auto"/>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不低于90</w:t>
            </w:r>
          </w:p>
        </w:tc>
      </w:tr>
      <w:tr>
        <w:tblPrEx>
          <w:tblCellMar>
            <w:top w:w="0" w:type="dxa"/>
            <w:left w:w="108" w:type="dxa"/>
            <w:bottom w:w="0" w:type="dxa"/>
            <w:right w:w="108" w:type="dxa"/>
          </w:tblCellMar>
        </w:tblPrEx>
        <w:trPr>
          <w:trHeight w:val="615" w:hRule="atLeast"/>
        </w:trPr>
        <w:tc>
          <w:tcPr>
            <w:tcW w:w="2549" w:type="dxa"/>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spacing w:line="360" w:lineRule="auto"/>
              <w:outlineLvl w:val="9"/>
              <w:rPr>
                <w:rFonts w:hint="eastAsia" w:ascii="仿宋" w:hAnsi="仿宋" w:eastAsia="仿宋" w:cs="仿宋"/>
                <w:sz w:val="28"/>
                <w:szCs w:val="28"/>
              </w:rPr>
            </w:pPr>
            <w:r>
              <w:rPr>
                <w:rFonts w:hint="eastAsia" w:ascii="仿宋" w:hAnsi="仿宋" w:eastAsia="仿宋" w:cs="仿宋"/>
                <w:sz w:val="28"/>
                <w:szCs w:val="28"/>
              </w:rPr>
              <w:t>世赛上海市集训</w:t>
            </w:r>
          </w:p>
        </w:tc>
        <w:tc>
          <w:tcPr>
            <w:tcW w:w="5928" w:type="dxa"/>
            <w:gridSpan w:val="3"/>
            <w:tcBorders>
              <w:top w:val="single" w:color="000000" w:sz="4" w:space="0"/>
              <w:left w:val="single" w:color="000000" w:sz="4" w:space="0"/>
              <w:bottom w:val="single" w:color="000000" w:sz="4" w:space="0"/>
              <w:right w:val="single" w:color="000000" w:sz="4" w:space="0"/>
            </w:tcBorders>
            <w:noWrap/>
            <w:vAlign w:val="center"/>
          </w:tcPr>
          <w:p>
            <w:pPr>
              <w:pageBreakBefore w:val="0"/>
              <w:topLinePunct w:val="0"/>
              <w:bidi w:val="0"/>
              <w:spacing w:line="360" w:lineRule="auto"/>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不低于85</w:t>
            </w:r>
          </w:p>
        </w:tc>
      </w:tr>
      <w:tr>
        <w:tblPrEx>
          <w:tblCellMar>
            <w:top w:w="0" w:type="dxa"/>
            <w:left w:w="108" w:type="dxa"/>
            <w:bottom w:w="0" w:type="dxa"/>
            <w:right w:w="108" w:type="dxa"/>
          </w:tblCellMar>
        </w:tblPrEx>
        <w:trPr>
          <w:trHeight w:val="635" w:hRule="atLeast"/>
        </w:trPr>
        <w:tc>
          <w:tcPr>
            <w:tcW w:w="2549" w:type="dxa"/>
            <w:tcBorders>
              <w:top w:val="single" w:color="000000" w:sz="4" w:space="0"/>
              <w:left w:val="single" w:color="000000" w:sz="4" w:space="0"/>
              <w:bottom w:val="single" w:color="000000" w:sz="4" w:space="0"/>
              <w:right w:val="single" w:color="000000" w:sz="4" w:space="0"/>
            </w:tcBorders>
            <w:noWrap w:val="0"/>
            <w:vAlign w:val="center"/>
          </w:tcPr>
          <w:p>
            <w:pPr>
              <w:pageBreakBefore w:val="0"/>
              <w:topLinePunct w:val="0"/>
              <w:bidi w:val="0"/>
              <w:spacing w:line="360" w:lineRule="auto"/>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世赛学校集训</w:t>
            </w:r>
          </w:p>
        </w:tc>
        <w:tc>
          <w:tcPr>
            <w:tcW w:w="5928" w:type="dxa"/>
            <w:gridSpan w:val="3"/>
            <w:tcBorders>
              <w:top w:val="nil"/>
              <w:left w:val="single" w:color="000000" w:sz="4" w:space="0"/>
              <w:bottom w:val="single" w:color="000000" w:sz="4" w:space="0"/>
              <w:right w:val="single" w:color="000000" w:sz="4" w:space="0"/>
            </w:tcBorders>
            <w:noWrap/>
            <w:vAlign w:val="center"/>
          </w:tcPr>
          <w:p>
            <w:pPr>
              <w:pageBreakBefore w:val="0"/>
              <w:topLinePunct w:val="0"/>
              <w:bidi w:val="0"/>
              <w:spacing w:line="360" w:lineRule="auto"/>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不低于80</w:t>
            </w:r>
          </w:p>
        </w:tc>
      </w:tr>
    </w:tbl>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年级新生（只针对三年制一年级新生）原则上不建议全面停课，要切实处理好大赛和学校学业之间的关系；如若学生确实在大赛上成绩表现优秀，需要停课集训，建议课程所属单位利用学校在线教学平台帮助学生完成在线学习。</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1.参赛学生由所在二级学院在学生集训前告知学生课程成绩评定办法。</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2.对于参加以上类别大赛的学生，集训期间的人培方案规定涉及的所有课程（包含重修复读和公共选修课程）根据上述的折算办法进行计分。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3.参赛学生如有更高成绩的需求，相关课程所属单位可以为学生单独设立考核方案：考核成绩若高于折算办法分值，则按照实际考核分值计入；考核成绩若低于折算办法分值，则按照这算办法分值计分。</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（二）关于集训</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1.参加全国一类职业技能大赛或世赛需停课集训的参赛学生必须提前提出停课需求，由所在二级学院进行审核并向教务处报备。</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生参加上海一类或全国二类职业技能大赛，原则上不建议停课，如需要停课，由组织参赛的二级学院提出停课期间的课程考核办法或参赛成绩折算课程成绩办法，经课程所属单位同意后，报教务处备案后执行，一般不得高于全国一类职业技能大赛成绩认定办法。</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3.学生参加上海一类或全国二类以下各类比赛，不得停课集训。七、其他</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（一）获奖证书或获奖文件收集时段：上一年的9月1日至本年的8月31日，教务处按学年度汇总参赛选手获奖信息。</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（二）教学单位自行参赛项目（事先未申报）及教务处未批准的竞赛项目不纳入学校竞赛奖励范围。原关于印发《上海电子信息职业技术学院学生参加校外职业技能竞赛管理办法》的通知（沪电信职院〔2018〕23 号）自行终止。                  </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八、附 则</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本办法自颁布之日起正式实施，由上海电子信息职业技术学院教务处负责解释。                     </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附件：1.参赛流程图</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2.上海电子信息职业技术学院参赛信息报备表</w:t>
      </w:r>
    </w:p>
    <w:p>
      <w:pPr>
        <w:pageBreakBefore w:val="0"/>
        <w:topLinePunct w:val="0"/>
        <w:bidi w:val="0"/>
        <w:spacing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3.上海电子信息职业技术学院参赛选手个人信息表</w:t>
      </w:r>
    </w:p>
    <w:p>
      <w:pPr>
        <w:pageBreakBefore w:val="0"/>
        <w:topLinePunct w:val="0"/>
        <w:bidi w:val="0"/>
        <w:spacing w:line="360" w:lineRule="auto"/>
        <w:ind w:firstLine="560" w:firstLineChars="200"/>
        <w:outlineLvl w:val="9"/>
        <w:rPr>
          <w:rFonts w:hint="default" w:ascii="仿宋_GB2312" w:hAnsi="仿宋_GB2312" w:eastAsia="仿宋_GB2312" w:cs="仿宋_GB2312"/>
          <w:kern w:val="2"/>
          <w:sz w:val="28"/>
          <w:szCs w:val="28"/>
          <w:highlight w:val="none"/>
          <w:lang w:val="en-US" w:eastAsia="zh-CN" w:bidi="ar-SA"/>
        </w:rPr>
      </w:pPr>
    </w:p>
    <w:p>
      <w:pPr>
        <w:pageBreakBefore w:val="0"/>
        <w:topLinePunct w:val="0"/>
        <w:bidi w:val="0"/>
        <w:spacing w:line="360" w:lineRule="auto"/>
        <w:ind w:firstLine="560" w:firstLineChars="200"/>
        <w:outlineLvl w:val="9"/>
        <w:rPr>
          <w:rFonts w:hint="eastAsia" w:ascii="仿宋" w:hAnsi="仿宋" w:eastAsia="仿宋" w:cs="仿宋"/>
          <w:sz w:val="28"/>
          <w:szCs w:val="28"/>
        </w:rPr>
      </w:pPr>
    </w:p>
    <w:p>
      <w:pPr>
        <w:pageBreakBefore w:val="0"/>
        <w:topLinePunct w:val="0"/>
        <w:bidi w:val="0"/>
        <w:spacing w:line="360" w:lineRule="auto"/>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 xml:space="preserve">                                                                              </w:t>
      </w:r>
    </w:p>
    <w:p>
      <w:pPr>
        <w:pageBreakBefore w:val="0"/>
        <w:topLinePunct w:val="0"/>
        <w:bidi w:val="0"/>
        <w:spacing w:line="360" w:lineRule="auto"/>
        <w:ind w:firstLine="560" w:firstLineChars="200"/>
        <w:outlineLvl w:val="9"/>
        <w:rPr>
          <w:rFonts w:hint="eastAsia" w:ascii="仿宋" w:hAnsi="仿宋" w:eastAsia="仿宋" w:cs="仿宋"/>
          <w:sz w:val="28"/>
          <w:szCs w:val="28"/>
        </w:rPr>
      </w:pPr>
    </w:p>
    <w:p>
      <w:pPr>
        <w:pageBreakBefore w:val="0"/>
        <w:topLinePunct w:val="0"/>
        <w:bidi w:val="0"/>
        <w:spacing w:line="360" w:lineRule="auto"/>
        <w:ind w:firstLine="560" w:firstLineChars="200"/>
        <w:outlineLvl w:val="9"/>
        <w:rPr>
          <w:rFonts w:hint="eastAsia" w:ascii="仿宋" w:hAnsi="仿宋" w:eastAsia="仿宋" w:cs="仿宋"/>
          <w:sz w:val="28"/>
          <w:szCs w:val="28"/>
        </w:rPr>
      </w:pPr>
    </w:p>
    <w:p>
      <w:pPr>
        <w:pageBreakBefore w:val="0"/>
        <w:topLinePunct w:val="0"/>
        <w:bidi w:val="0"/>
        <w:spacing w:line="360" w:lineRule="auto"/>
        <w:ind w:firstLine="560" w:firstLineChars="200"/>
        <w:outlineLvl w:val="9"/>
        <w:rPr>
          <w:rFonts w:hint="eastAsia" w:ascii="仿宋" w:hAnsi="仿宋" w:eastAsia="仿宋" w:cs="仿宋"/>
          <w:sz w:val="28"/>
          <w:szCs w:val="28"/>
        </w:rPr>
      </w:pPr>
    </w:p>
    <w:p>
      <w:pPr>
        <w:pageBreakBefore w:val="0"/>
        <w:topLinePunct w:val="0"/>
        <w:bidi w:val="0"/>
        <w:spacing w:line="360" w:lineRule="auto"/>
        <w:ind w:firstLine="560" w:firstLineChars="200"/>
        <w:outlineLvl w:val="9"/>
        <w:rPr>
          <w:rFonts w:hint="eastAsia" w:ascii="仿宋" w:hAnsi="仿宋" w:eastAsia="仿宋" w:cs="仿宋"/>
          <w:sz w:val="28"/>
          <w:szCs w:val="28"/>
        </w:rPr>
      </w:pPr>
    </w:p>
    <w:p>
      <w:pPr>
        <w:pageBreakBefore w:val="0"/>
        <w:topLinePunct w:val="0"/>
        <w:bidi w:val="0"/>
        <w:spacing w:line="360" w:lineRule="auto"/>
        <w:ind w:firstLine="560" w:firstLineChars="200"/>
        <w:outlineLvl w:val="9"/>
        <w:rPr>
          <w:rFonts w:hint="eastAsia" w:ascii="仿宋" w:hAnsi="仿宋" w:eastAsia="仿宋" w:cs="仿宋"/>
          <w:sz w:val="28"/>
          <w:szCs w:val="28"/>
        </w:rPr>
      </w:pPr>
    </w:p>
    <w:p>
      <w:pPr>
        <w:pageBreakBefore w:val="0"/>
        <w:topLinePunct w:val="0"/>
        <w:bidi w:val="0"/>
        <w:spacing w:line="360" w:lineRule="auto"/>
        <w:ind w:firstLine="560" w:firstLineChars="200"/>
        <w:outlineLvl w:val="9"/>
        <w:rPr>
          <w:rFonts w:hint="eastAsia" w:ascii="仿宋" w:hAnsi="仿宋" w:eastAsia="仿宋" w:cs="仿宋"/>
          <w:sz w:val="28"/>
          <w:szCs w:val="28"/>
        </w:rPr>
      </w:pPr>
    </w:p>
    <w:p>
      <w:pPr>
        <w:pageBreakBefore w:val="0"/>
        <w:topLinePunct w:val="0"/>
        <w:bidi w:val="0"/>
        <w:spacing w:line="360" w:lineRule="auto"/>
        <w:ind w:firstLine="560" w:firstLineChars="200"/>
        <w:outlineLvl w:val="9"/>
        <w:rPr>
          <w:rFonts w:hint="eastAsia" w:ascii="仿宋" w:hAnsi="仿宋" w:eastAsia="仿宋" w:cs="仿宋"/>
          <w:sz w:val="28"/>
          <w:szCs w:val="28"/>
        </w:rPr>
      </w:pPr>
    </w:p>
    <w:p>
      <w:pPr>
        <w:pageBreakBefore w:val="0"/>
        <w:topLinePunct w:val="0"/>
        <w:bidi w:val="0"/>
        <w:spacing w:line="360" w:lineRule="auto"/>
        <w:ind w:firstLine="560" w:firstLineChars="200"/>
        <w:outlineLvl w:val="9"/>
        <w:rPr>
          <w:rFonts w:hint="eastAsia" w:ascii="仿宋" w:hAnsi="仿宋" w:eastAsia="仿宋" w:cs="仿宋"/>
          <w:sz w:val="28"/>
          <w:szCs w:val="28"/>
        </w:rPr>
      </w:pPr>
    </w:p>
    <w:p>
      <w:pPr>
        <w:pageBreakBefore w:val="0"/>
        <w:topLinePunct w:val="0"/>
        <w:bidi w:val="0"/>
        <w:spacing w:line="360" w:lineRule="auto"/>
        <w:ind w:firstLine="560" w:firstLineChars="200"/>
        <w:outlineLvl w:val="9"/>
        <w:rPr>
          <w:rFonts w:hint="eastAsia" w:ascii="仿宋" w:hAnsi="仿宋" w:eastAsia="仿宋" w:cs="仿宋"/>
          <w:sz w:val="28"/>
          <w:szCs w:val="28"/>
        </w:rPr>
      </w:pPr>
    </w:p>
    <w:p>
      <w:pPr>
        <w:pageBreakBefore w:val="0"/>
        <w:topLinePunct w:val="0"/>
        <w:bidi w:val="0"/>
        <w:spacing w:line="360" w:lineRule="auto"/>
        <w:jc w:val="left"/>
        <w:outlineLvl w:val="9"/>
        <w:rPr>
          <w:rFonts w:hint="eastAsia" w:ascii="仿宋" w:hAnsi="仿宋" w:eastAsia="仿宋" w:cs="仿宋"/>
          <w:b/>
          <w:color w:val="000000"/>
          <w:szCs w:val="21"/>
        </w:rPr>
      </w:pPr>
    </w:p>
    <w:p>
      <w:pPr>
        <w:pageBreakBefore w:val="0"/>
        <w:topLinePunct w:val="0"/>
        <w:bidi w:val="0"/>
        <w:spacing w:line="360" w:lineRule="auto"/>
        <w:ind w:firstLine="422" w:firstLineChars="200"/>
        <w:jc w:val="left"/>
        <w:outlineLvl w:val="9"/>
        <w:rPr>
          <w:rFonts w:hint="eastAsia" w:ascii="仿宋" w:hAnsi="仿宋" w:eastAsia="仿宋" w:cs="仿宋"/>
          <w:b/>
          <w:color w:val="000000"/>
          <w:szCs w:val="21"/>
        </w:rPr>
      </w:pPr>
    </w:p>
    <w:p>
      <w:pPr>
        <w:pageBreakBefore w:val="0"/>
        <w:topLinePunct w:val="0"/>
        <w:bidi w:val="0"/>
        <w:spacing w:line="360" w:lineRule="auto"/>
        <w:ind w:firstLine="422" w:firstLineChars="200"/>
        <w:jc w:val="left"/>
        <w:outlineLvl w:val="9"/>
        <w:rPr>
          <w:rFonts w:hint="eastAsia" w:ascii="仿宋" w:hAnsi="仿宋" w:eastAsia="仿宋" w:cs="仿宋"/>
          <w:b/>
          <w:color w:val="000000"/>
          <w:szCs w:val="21"/>
        </w:rPr>
      </w:pPr>
    </w:p>
    <w:p>
      <w:pPr>
        <w:pageBreakBefore w:val="0"/>
        <w:topLinePunct w:val="0"/>
        <w:bidi w:val="0"/>
        <w:spacing w:line="360" w:lineRule="auto"/>
        <w:ind w:firstLine="422" w:firstLineChars="200"/>
        <w:jc w:val="left"/>
        <w:outlineLvl w:val="9"/>
        <w:rPr>
          <w:rFonts w:hint="eastAsia" w:ascii="仿宋" w:hAnsi="仿宋" w:eastAsia="仿宋" w:cs="仿宋"/>
          <w:b/>
          <w:color w:val="000000"/>
          <w:szCs w:val="21"/>
        </w:rPr>
      </w:pPr>
    </w:p>
    <w:p>
      <w:pPr>
        <w:pageBreakBefore w:val="0"/>
        <w:topLinePunct w:val="0"/>
        <w:bidi w:val="0"/>
        <w:spacing w:line="360" w:lineRule="auto"/>
        <w:ind w:firstLine="422" w:firstLineChars="200"/>
        <w:jc w:val="left"/>
        <w:outlineLvl w:val="9"/>
        <w:rPr>
          <w:rFonts w:hint="eastAsia" w:ascii="仿宋" w:hAnsi="仿宋" w:eastAsia="仿宋" w:cs="仿宋"/>
          <w:b/>
          <w:color w:val="000000"/>
          <w:szCs w:val="21"/>
        </w:rPr>
      </w:pPr>
    </w:p>
    <w:p>
      <w:pPr>
        <w:pageBreakBefore w:val="0"/>
        <w:topLinePunct w:val="0"/>
        <w:bidi w:val="0"/>
        <w:spacing w:line="360" w:lineRule="auto"/>
        <w:ind w:firstLine="422" w:firstLineChars="200"/>
        <w:jc w:val="left"/>
        <w:outlineLvl w:val="9"/>
        <w:rPr>
          <w:rFonts w:hint="eastAsia" w:ascii="仿宋" w:hAnsi="仿宋" w:eastAsia="仿宋" w:cs="仿宋"/>
          <w:b/>
          <w:color w:val="000000"/>
          <w:szCs w:val="21"/>
        </w:rPr>
      </w:pPr>
    </w:p>
    <w:p>
      <w:pPr>
        <w:pageBreakBefore w:val="0"/>
        <w:topLinePunct w:val="0"/>
        <w:bidi w:val="0"/>
        <w:spacing w:line="360" w:lineRule="auto"/>
        <w:ind w:firstLine="422" w:firstLineChars="200"/>
        <w:jc w:val="left"/>
        <w:outlineLvl w:val="9"/>
        <w:rPr>
          <w:rFonts w:hint="eastAsia" w:ascii="仿宋" w:hAnsi="仿宋" w:eastAsia="仿宋" w:cs="仿宋"/>
          <w:b/>
          <w:color w:val="000000"/>
          <w:szCs w:val="21"/>
        </w:rPr>
      </w:pPr>
    </w:p>
    <w:p>
      <w:pPr>
        <w:pageBreakBefore w:val="0"/>
        <w:topLinePunct w:val="0"/>
        <w:bidi w:val="0"/>
        <w:spacing w:line="360" w:lineRule="auto"/>
        <w:ind w:firstLine="422" w:firstLineChars="200"/>
        <w:jc w:val="left"/>
        <w:outlineLvl w:val="9"/>
        <w:rPr>
          <w:rFonts w:hint="eastAsia" w:ascii="仿宋" w:hAnsi="仿宋" w:eastAsia="仿宋" w:cs="仿宋"/>
          <w:b/>
          <w:color w:val="000000"/>
          <w:szCs w:val="21"/>
        </w:rPr>
      </w:pPr>
    </w:p>
    <w:p>
      <w:pPr>
        <w:pageBreakBefore w:val="0"/>
        <w:topLinePunct w:val="0"/>
        <w:bidi w:val="0"/>
        <w:spacing w:line="360" w:lineRule="auto"/>
        <w:ind w:firstLine="422" w:firstLineChars="200"/>
        <w:jc w:val="left"/>
        <w:outlineLvl w:val="9"/>
        <w:rPr>
          <w:rFonts w:hint="eastAsia" w:ascii="仿宋" w:hAnsi="仿宋" w:eastAsia="仿宋" w:cs="仿宋"/>
          <w:b/>
          <w:color w:val="000000"/>
          <w:szCs w:val="21"/>
        </w:rPr>
      </w:pPr>
    </w:p>
    <w:p>
      <w:pPr>
        <w:pageBreakBefore w:val="0"/>
        <w:topLinePunct w:val="0"/>
        <w:bidi w:val="0"/>
        <w:spacing w:line="360" w:lineRule="auto"/>
        <w:ind w:firstLine="482" w:firstLineChars="200"/>
        <w:jc w:val="left"/>
        <w:outlineLvl w:val="9"/>
        <w:rPr>
          <w:rFonts w:hint="eastAsia" w:ascii="仿宋" w:hAnsi="仿宋" w:eastAsia="仿宋" w:cs="仿宋"/>
          <w:b/>
          <w:color w:val="000000"/>
          <w:sz w:val="24"/>
          <w:szCs w:val="28"/>
        </w:rPr>
      </w:pPr>
      <w:r>
        <w:rPr>
          <w:rFonts w:hint="eastAsia" w:ascii="仿宋" w:hAnsi="仿宋" w:eastAsia="仿宋" w:cs="仿宋"/>
          <w:b/>
          <w:color w:val="000000"/>
          <w:sz w:val="24"/>
          <w:szCs w:val="28"/>
        </w:rPr>
        <w:t>附件1</w:t>
      </w:r>
    </w:p>
    <w:p>
      <w:pPr>
        <w:pageBreakBefore w:val="0"/>
        <w:topLinePunct w:val="0"/>
        <w:bidi w:val="0"/>
        <w:spacing w:line="340" w:lineRule="exact"/>
        <w:outlineLvl w:val="9"/>
        <w:rPr>
          <w:rFonts w:hint="eastAsia" w:ascii="仿宋" w:hAnsi="仿宋" w:eastAsia="仿宋" w:cs="仿宋"/>
          <w:b/>
          <w:color w:val="000000"/>
          <w:sz w:val="24"/>
          <w:szCs w:val="28"/>
        </w:rPr>
      </w:pPr>
    </w:p>
    <w:p>
      <w:pPr>
        <w:pageBreakBefore w:val="0"/>
        <w:topLinePunct w:val="0"/>
        <w:bidi w:val="0"/>
        <w:spacing w:line="340" w:lineRule="exact"/>
        <w:outlineLvl w:val="9"/>
        <w:rPr>
          <w:rFonts w:hint="eastAsia" w:ascii="仿宋" w:hAnsi="仿宋" w:eastAsia="仿宋" w:cs="仿宋"/>
          <w:b/>
          <w:color w:val="000000"/>
          <w:sz w:val="24"/>
          <w:szCs w:val="28"/>
        </w:rPr>
      </w:pPr>
      <w:r>
        <w:rPr>
          <w:rFonts w:hint="eastAsia" w:ascii="仿宋" w:hAnsi="仿宋" w:eastAsia="仿宋" w:cs="仿宋"/>
          <w:b/>
          <w:color w:val="000000"/>
          <w:sz w:val="24"/>
          <w:szCs w:val="28"/>
        </w:rPr>
        <w:t xml:space="preserve">                        参赛流程图</w:t>
      </w:r>
    </w:p>
    <w:p>
      <w:pPr>
        <w:pageBreakBefore w:val="0"/>
        <w:topLinePunct w:val="0"/>
        <w:bidi w:val="0"/>
        <w:spacing w:line="340" w:lineRule="exact"/>
        <w:outlineLvl w:val="9"/>
        <w:rPr>
          <w:rFonts w:hint="eastAsia" w:ascii="仿宋" w:hAnsi="仿宋" w:eastAsia="仿宋" w:cs="仿宋"/>
          <w:b/>
          <w:color w:val="000000"/>
          <w:sz w:val="24"/>
          <w:szCs w:val="28"/>
        </w:rPr>
      </w:pPr>
    </w:p>
    <w:p>
      <w:pPr>
        <w:pageBreakBefore w:val="0"/>
        <w:topLinePunct w:val="0"/>
        <w:bidi w:val="0"/>
        <w:spacing w:line="340" w:lineRule="exact"/>
        <w:ind w:firstLine="480" w:firstLineChars="200"/>
        <w:outlineLvl w:val="9"/>
        <w:rPr>
          <w:rFonts w:hint="eastAsia" w:ascii="仿宋" w:hAnsi="仿宋" w:eastAsia="仿宋" w:cs="仿宋"/>
          <w:b/>
          <w:color w:val="000000"/>
          <w:sz w:val="24"/>
          <w:szCs w:val="28"/>
        </w:rPr>
      </w:pPr>
      <w:r>
        <w:rPr>
          <w:sz w:val="24"/>
        </w:rPr>
        <w:pict>
          <v:shape id="自选图形 167" o:spid="_x0000_s1275" o:spt="117" type="#_x0000_t117" style="position:absolute;left:0pt;margin-left:112.35pt;margin-top:10.6pt;height:24.75pt;width:115.5pt;z-index:251837440;mso-width-relative:page;mso-height-relative:page;" fillcolor="#FFFFFF" filled="t" stroked="t" coordsize="21600,21600">
            <v:path/>
            <v:fill on="t" focussize="0,0"/>
            <v:stroke/>
            <v:imagedata o:title=""/>
            <o:lock v:ext="edit" aspectratio="f"/>
            <v:textbox>
              <w:txbxContent>
                <w:p>
                  <w:pPr>
                    <w:jc w:val="center"/>
                    <w:rPr>
                      <w:sz w:val="18"/>
                      <w:szCs w:val="18"/>
                    </w:rPr>
                  </w:pPr>
                  <w:r>
                    <w:rPr>
                      <w:rFonts w:hint="eastAsia"/>
                      <w:sz w:val="18"/>
                      <w:szCs w:val="18"/>
                    </w:rPr>
                    <w:t>部门申报</w:t>
                  </w:r>
                </w:p>
              </w:txbxContent>
            </v:textbox>
          </v:shape>
        </w:pict>
      </w:r>
    </w:p>
    <w:p>
      <w:pPr>
        <w:pageBreakBefore w:val="0"/>
        <w:topLinePunct w:val="0"/>
        <w:bidi w:val="0"/>
        <w:spacing w:line="340" w:lineRule="exact"/>
        <w:ind w:firstLine="482" w:firstLineChars="200"/>
        <w:outlineLvl w:val="9"/>
        <w:rPr>
          <w:rFonts w:hint="eastAsia" w:ascii="仿宋" w:hAnsi="仿宋" w:eastAsia="仿宋" w:cs="仿宋"/>
          <w:b/>
          <w:color w:val="000000"/>
          <w:sz w:val="24"/>
          <w:szCs w:val="28"/>
        </w:rPr>
      </w:pPr>
    </w:p>
    <w:p>
      <w:pPr>
        <w:pageBreakBefore w:val="0"/>
        <w:topLinePunct w:val="0"/>
        <w:bidi w:val="0"/>
        <w:spacing w:line="340" w:lineRule="exact"/>
        <w:ind w:firstLine="480" w:firstLineChars="200"/>
        <w:outlineLvl w:val="9"/>
        <w:rPr>
          <w:rFonts w:hint="eastAsia" w:ascii="仿宋" w:hAnsi="仿宋" w:eastAsia="仿宋" w:cs="仿宋"/>
          <w:b/>
          <w:color w:val="000000"/>
          <w:sz w:val="24"/>
          <w:szCs w:val="28"/>
        </w:rPr>
      </w:pPr>
      <w:r>
        <w:rPr>
          <w:sz w:val="24"/>
        </w:rPr>
        <w:pict>
          <v:shape id="自选图形 183" o:spid="_x0000_s1276" o:spt="32" type="#_x0000_t32" style="position:absolute;left:0pt;margin-left:169.8pt;margin-top:1.35pt;height:34.5pt;width:0pt;z-index:251852800;mso-width-relative:page;mso-height-relative:page;" filled="f" stroked="t" coordsize="21600,21600">
            <v:path arrowok="t"/>
            <v:fill on="f" focussize="0,0"/>
            <v:stroke endarrow="block"/>
            <v:imagedata o:title=""/>
            <o:lock v:ext="edit" aspectratio="f"/>
          </v:shape>
        </w:pict>
      </w:r>
    </w:p>
    <w:p>
      <w:pPr>
        <w:pageBreakBefore w:val="0"/>
        <w:topLinePunct w:val="0"/>
        <w:bidi w:val="0"/>
        <w:spacing w:line="340" w:lineRule="exact"/>
        <w:ind w:firstLine="482" w:firstLineChars="200"/>
        <w:outlineLvl w:val="9"/>
        <w:rPr>
          <w:rFonts w:hint="eastAsia" w:ascii="仿宋" w:hAnsi="仿宋" w:eastAsia="仿宋" w:cs="仿宋"/>
          <w:b/>
          <w:color w:val="000000"/>
          <w:sz w:val="24"/>
          <w:szCs w:val="28"/>
        </w:rPr>
      </w:pPr>
    </w:p>
    <w:p>
      <w:pPr>
        <w:pageBreakBefore w:val="0"/>
        <w:topLinePunct w:val="0"/>
        <w:bidi w:val="0"/>
        <w:spacing w:line="340" w:lineRule="exact"/>
        <w:ind w:firstLine="480" w:firstLineChars="200"/>
        <w:outlineLvl w:val="9"/>
        <w:rPr>
          <w:rFonts w:hint="eastAsia" w:ascii="仿宋" w:hAnsi="仿宋" w:eastAsia="仿宋" w:cs="仿宋"/>
          <w:b/>
          <w:color w:val="000000"/>
          <w:sz w:val="24"/>
          <w:szCs w:val="28"/>
        </w:rPr>
      </w:pPr>
      <w:r>
        <w:rPr>
          <w:sz w:val="24"/>
        </w:rPr>
        <w:pict>
          <v:shape id="自选图形 163" o:spid="_x0000_s1277" o:spt="109" type="#_x0000_t109" style="position:absolute;left:0pt;margin-left:114.6pt;margin-top:1.85pt;height:39.75pt;width:111pt;z-index:251834368;mso-width-relative:page;mso-height-relative:page;" fillcolor="#FFFFFF" filled="t" stroked="t" coordsize="21600,21600">
            <v:path/>
            <v:fill on="t" focussize="0,0"/>
            <v:stroke/>
            <v:imagedata o:title=""/>
            <o:lock v:ext="edit" aspectratio="f"/>
            <v:textbox>
              <w:txbxContent>
                <w:p>
                  <w:pPr>
                    <w:rPr>
                      <w:rFonts w:ascii="宋体" w:hAnsi="宋体"/>
                      <w:color w:val="auto"/>
                      <w:sz w:val="18"/>
                      <w:szCs w:val="18"/>
                    </w:rPr>
                  </w:pPr>
                  <w:r>
                    <w:rPr>
                      <w:rFonts w:hint="eastAsia" w:ascii="宋体" w:hAnsi="宋体"/>
                      <w:color w:val="auto"/>
                      <w:sz w:val="18"/>
                      <w:szCs w:val="18"/>
                    </w:rPr>
                    <w:t>网上提交信息报备申请、参赛通知（或邀赛函）</w:t>
                  </w:r>
                </w:p>
                <w:p/>
              </w:txbxContent>
            </v:textbox>
          </v:shape>
        </w:pict>
      </w:r>
    </w:p>
    <w:p>
      <w:pPr>
        <w:pageBreakBefore w:val="0"/>
        <w:topLinePunct w:val="0"/>
        <w:bidi w:val="0"/>
        <w:spacing w:line="340" w:lineRule="exact"/>
        <w:ind w:firstLine="482" w:firstLineChars="200"/>
        <w:outlineLvl w:val="9"/>
        <w:rPr>
          <w:rFonts w:hint="eastAsia" w:ascii="仿宋" w:hAnsi="仿宋" w:eastAsia="仿宋" w:cs="仿宋"/>
          <w:b/>
          <w:color w:val="000000"/>
          <w:sz w:val="24"/>
          <w:szCs w:val="28"/>
        </w:rPr>
      </w:pPr>
    </w:p>
    <w:p>
      <w:pPr>
        <w:pageBreakBefore w:val="0"/>
        <w:topLinePunct w:val="0"/>
        <w:bidi w:val="0"/>
        <w:spacing w:line="340" w:lineRule="exact"/>
        <w:ind w:firstLine="480" w:firstLineChars="200"/>
        <w:outlineLvl w:val="9"/>
        <w:rPr>
          <w:rFonts w:hint="eastAsia" w:ascii="仿宋" w:hAnsi="仿宋" w:eastAsia="仿宋" w:cs="仿宋"/>
          <w:b/>
          <w:color w:val="000000"/>
          <w:sz w:val="24"/>
          <w:szCs w:val="28"/>
        </w:rPr>
      </w:pPr>
      <w:r>
        <w:rPr>
          <w:sz w:val="24"/>
        </w:rPr>
        <w:pict>
          <v:shape id="自选图形 182" o:spid="_x0000_s1278" o:spt="32" type="#_x0000_t32" style="position:absolute;left:0pt;margin-left:169.8pt;margin-top:8.35pt;height:34.5pt;width:0pt;z-index:251851776;mso-width-relative:page;mso-height-relative:page;" filled="f" stroked="t" coordsize="21600,21600">
            <v:path arrowok="t"/>
            <v:fill on="f" focussize="0,0"/>
            <v:stroke endarrow="block"/>
            <v:imagedata o:title=""/>
            <o:lock v:ext="edit" aspectratio="f"/>
          </v:shape>
        </w:pict>
      </w:r>
    </w:p>
    <w:p>
      <w:pPr>
        <w:pageBreakBefore w:val="0"/>
        <w:topLinePunct w:val="0"/>
        <w:bidi w:val="0"/>
        <w:spacing w:line="340" w:lineRule="exact"/>
        <w:ind w:firstLine="482" w:firstLineChars="200"/>
        <w:outlineLvl w:val="9"/>
        <w:rPr>
          <w:rFonts w:hint="eastAsia" w:ascii="仿宋" w:hAnsi="仿宋" w:eastAsia="仿宋" w:cs="仿宋"/>
          <w:b/>
          <w:color w:val="000000"/>
          <w:sz w:val="24"/>
          <w:szCs w:val="28"/>
        </w:rPr>
      </w:pPr>
    </w:p>
    <w:p>
      <w:pPr>
        <w:pageBreakBefore w:val="0"/>
        <w:topLinePunct w:val="0"/>
        <w:bidi w:val="0"/>
        <w:spacing w:line="340" w:lineRule="exact"/>
        <w:ind w:firstLine="480" w:firstLineChars="200"/>
        <w:outlineLvl w:val="9"/>
        <w:rPr>
          <w:rFonts w:hint="eastAsia" w:ascii="仿宋" w:hAnsi="仿宋" w:eastAsia="仿宋" w:cs="仿宋"/>
          <w:b/>
          <w:color w:val="000000"/>
          <w:sz w:val="24"/>
          <w:szCs w:val="28"/>
        </w:rPr>
      </w:pPr>
      <w:r>
        <w:rPr>
          <w:sz w:val="24"/>
        </w:rPr>
        <w:pict>
          <v:shape id="自选图形 164" o:spid="_x0000_s1279" o:spt="110" type="#_x0000_t110" style="position:absolute;left:0pt;margin-left:121.35pt;margin-top:8.1pt;height:71.25pt;width:97.5pt;z-index:251835392;mso-width-relative:page;mso-height-relative:page;" fillcolor="#FFFFFF" filled="t" stroked="t" coordsize="21600,21600">
            <v:path/>
            <v:fill on="t" focussize="0,0"/>
            <v:stroke/>
            <v:imagedata o:title=""/>
            <o:lock v:ext="edit" aspectratio="f"/>
            <v:textbox>
              <w:txbxContent>
                <w:p>
                  <w:pPr>
                    <w:jc w:val="center"/>
                    <w:rPr>
                      <w:rFonts w:hint="eastAsia"/>
                      <w:sz w:val="18"/>
                      <w:szCs w:val="18"/>
                    </w:rPr>
                  </w:pPr>
                  <w:r>
                    <w:rPr>
                      <w:rFonts w:hint="eastAsia"/>
                      <w:sz w:val="18"/>
                      <w:szCs w:val="18"/>
                    </w:rPr>
                    <w:t>教务处</w:t>
                  </w:r>
                </w:p>
                <w:p>
                  <w:pPr>
                    <w:jc w:val="center"/>
                    <w:rPr>
                      <w:sz w:val="18"/>
                      <w:szCs w:val="18"/>
                    </w:rPr>
                  </w:pPr>
                  <w:r>
                    <w:rPr>
                      <w:rFonts w:hint="eastAsia"/>
                      <w:sz w:val="18"/>
                      <w:szCs w:val="18"/>
                    </w:rPr>
                    <w:t>审核</w:t>
                  </w:r>
                </w:p>
              </w:txbxContent>
            </v:textbox>
          </v:shape>
        </w:pict>
      </w:r>
    </w:p>
    <w:p>
      <w:pPr>
        <w:pageBreakBefore w:val="0"/>
        <w:topLinePunct w:val="0"/>
        <w:bidi w:val="0"/>
        <w:spacing w:line="340" w:lineRule="exact"/>
        <w:ind w:firstLine="480" w:firstLineChars="200"/>
        <w:outlineLvl w:val="9"/>
        <w:rPr>
          <w:rFonts w:hint="eastAsia" w:ascii="仿宋" w:hAnsi="仿宋" w:eastAsia="仿宋" w:cs="仿宋"/>
          <w:b/>
          <w:color w:val="000000"/>
          <w:sz w:val="24"/>
          <w:szCs w:val="28"/>
        </w:rPr>
      </w:pPr>
      <w:r>
        <w:rPr>
          <w:sz w:val="24"/>
        </w:rPr>
        <w:pict>
          <v:shape id="文本框 179" o:spid="_x0000_s1280" o:spt="202" type="#_x0000_t202" style="position:absolute;left:0pt;margin-left:225.6pt;margin-top:0.85pt;height:21pt;width:20.95pt;z-index:251848704;mso-width-relative:page;mso-height-relative:page;" fillcolor="#FFFFFF" filled="t" stroked="f" coordsize="21600,21600">
            <v:path/>
            <v:fill on="t" focussize="0,0"/>
            <v:stroke on="f"/>
            <v:imagedata o:title=""/>
            <o:lock v:ext="edit" aspectratio="f"/>
            <v:textbox>
              <w:txbxContent>
                <w:p>
                  <w:pPr>
                    <w:rPr>
                      <w:rFonts w:hint="eastAsia"/>
                      <w:sz w:val="18"/>
                      <w:szCs w:val="18"/>
                    </w:rPr>
                  </w:pPr>
                  <w:r>
                    <w:rPr>
                      <w:rFonts w:hint="eastAsia"/>
                      <w:sz w:val="18"/>
                      <w:szCs w:val="18"/>
                    </w:rPr>
                    <w:t>N</w:t>
                  </w:r>
                </w:p>
              </w:txbxContent>
            </v:textbox>
          </v:shape>
        </w:pict>
      </w:r>
      <w:r>
        <w:rPr>
          <w:sz w:val="24"/>
        </w:rPr>
        <w:pict>
          <v:shape id="自选图形 171" o:spid="_x0000_s1281" o:spt="116" type="#_x0000_t116" style="position:absolute;left:0pt;margin-left:298pt;margin-top:14.35pt;height:24pt;width:96.75pt;z-index:251841536;mso-width-relative:page;mso-height-relative:page;" fillcolor="#FFFFFF" filled="t" stroked="t" coordsize="21600,21600">
            <v:path/>
            <v:fill on="t" focussize="0,0"/>
            <v:stroke/>
            <v:imagedata o:title=""/>
            <o:lock v:ext="edit" aspectratio="f"/>
            <v:textbox>
              <w:txbxContent>
                <w:p>
                  <w:pPr>
                    <w:jc w:val="center"/>
                    <w:rPr>
                      <w:rFonts w:ascii="宋体" w:hAnsi="宋体"/>
                      <w:sz w:val="18"/>
                      <w:szCs w:val="18"/>
                    </w:rPr>
                  </w:pPr>
                  <w:r>
                    <w:rPr>
                      <w:rFonts w:ascii="宋体" w:hAnsi="宋体"/>
                      <w:sz w:val="18"/>
                      <w:szCs w:val="18"/>
                    </w:rPr>
                    <w:t>不纳入奖励</w:t>
                  </w:r>
                  <w:r>
                    <w:rPr>
                      <w:rFonts w:hint="eastAsia" w:ascii="宋体" w:hAnsi="宋体"/>
                      <w:sz w:val="18"/>
                      <w:szCs w:val="18"/>
                    </w:rPr>
                    <w:t>范围</w:t>
                  </w:r>
                </w:p>
              </w:txbxContent>
            </v:textbox>
          </v:shape>
        </w:pict>
      </w:r>
    </w:p>
    <w:p>
      <w:pPr>
        <w:pageBreakBefore w:val="0"/>
        <w:topLinePunct w:val="0"/>
        <w:bidi w:val="0"/>
        <w:spacing w:line="340" w:lineRule="exact"/>
        <w:ind w:firstLine="480" w:firstLineChars="200"/>
        <w:outlineLvl w:val="9"/>
        <w:rPr>
          <w:rFonts w:hint="eastAsia" w:ascii="仿宋" w:hAnsi="仿宋" w:eastAsia="仿宋" w:cs="仿宋"/>
          <w:b/>
          <w:color w:val="000000"/>
          <w:sz w:val="24"/>
          <w:szCs w:val="28"/>
        </w:rPr>
      </w:pPr>
      <w:r>
        <w:rPr>
          <w:sz w:val="24"/>
        </w:rPr>
        <w:pict>
          <v:shape id="自选图形 172" o:spid="_x0000_s1282" o:spt="32" type="#_x0000_t32" style="position:absolute;left:0pt;margin-left:218.5pt;margin-top:9.35pt;height:0pt;width:79.5pt;z-index:251842560;mso-width-relative:page;mso-height-relative:page;" filled="f" stroked="t" coordsize="21600,21600">
            <v:path arrowok="t"/>
            <v:fill on="f" focussize="0,0"/>
            <v:stroke endarrow="block"/>
            <v:imagedata o:title=""/>
            <o:lock v:ext="edit" aspectratio="f"/>
          </v:shape>
        </w:pict>
      </w:r>
    </w:p>
    <w:p>
      <w:pPr>
        <w:pageBreakBefore w:val="0"/>
        <w:topLinePunct w:val="0"/>
        <w:bidi w:val="0"/>
        <w:spacing w:line="340" w:lineRule="exact"/>
        <w:ind w:firstLine="482" w:firstLineChars="200"/>
        <w:outlineLvl w:val="9"/>
        <w:rPr>
          <w:rFonts w:hint="eastAsia" w:ascii="仿宋" w:hAnsi="仿宋" w:eastAsia="仿宋" w:cs="仿宋"/>
          <w:b/>
          <w:color w:val="000000"/>
          <w:sz w:val="24"/>
          <w:szCs w:val="28"/>
        </w:rPr>
      </w:pPr>
    </w:p>
    <w:p>
      <w:pPr>
        <w:pageBreakBefore w:val="0"/>
        <w:topLinePunct w:val="0"/>
        <w:bidi w:val="0"/>
        <w:jc w:val="left"/>
        <w:outlineLvl w:val="9"/>
        <w:rPr>
          <w:rFonts w:hint="eastAsia" w:ascii="仿宋" w:hAnsi="仿宋" w:eastAsia="仿宋" w:cs="仿宋"/>
          <w:b/>
          <w:color w:val="000000"/>
          <w:sz w:val="24"/>
          <w:szCs w:val="28"/>
        </w:rPr>
      </w:pPr>
      <w:r>
        <w:rPr>
          <w:sz w:val="24"/>
        </w:rPr>
        <w:pict>
          <v:shape id="自选图形 184" o:spid="_x0000_s1283" o:spt="109" type="#_x0000_t109" style="position:absolute;left:0pt;margin-left:113.9pt;margin-top:162.85pt;height:25.5pt;width:111pt;z-index:251853824;mso-width-relative:page;mso-height-relative:page;" fillcolor="#FFFFFF" filled="t" stroked="t" coordsize="21600,21600">
            <v:path/>
            <v:fill on="t" focussize="0,0"/>
            <v:stroke/>
            <v:imagedata o:title=""/>
            <o:lock v:ext="edit" aspectratio="f"/>
            <v:textbox>
              <w:txbxContent>
                <w:p>
                  <w:pPr>
                    <w:jc w:val="center"/>
                    <w:rPr>
                      <w:rFonts w:ascii="宋体" w:hAnsi="宋体"/>
                      <w:sz w:val="18"/>
                      <w:szCs w:val="18"/>
                    </w:rPr>
                  </w:pPr>
                  <w:r>
                    <w:rPr>
                      <w:rFonts w:hint="eastAsia" w:ascii="宋体" w:hAnsi="宋体"/>
                      <w:sz w:val="18"/>
                      <w:szCs w:val="18"/>
                    </w:rPr>
                    <w:t>参加比赛</w:t>
                  </w:r>
                </w:p>
              </w:txbxContent>
            </v:textbox>
          </v:shape>
        </w:pict>
      </w:r>
      <w:r>
        <w:rPr>
          <w:sz w:val="24"/>
        </w:rPr>
        <w:pict>
          <v:shape id="文本框 180" o:spid="_x0000_s1284" o:spt="202" type="#_x0000_t202" style="position:absolute;left:0pt;margin-left:230.85pt;margin-top:227.35pt;height:21pt;width:20.95pt;z-index:251849728;mso-width-relative:page;mso-height-relative:page;" fillcolor="#FFFFFF" filled="t" stroked="f" coordsize="21600,21600">
            <v:path/>
            <v:fill on="t" focussize="0,0"/>
            <v:stroke on="f"/>
            <v:imagedata o:title=""/>
            <o:lock v:ext="edit" aspectratio="f"/>
            <v:textbox>
              <w:txbxContent>
                <w:p>
                  <w:pPr>
                    <w:rPr>
                      <w:rFonts w:hint="eastAsia"/>
                      <w:sz w:val="18"/>
                      <w:szCs w:val="18"/>
                    </w:rPr>
                  </w:pPr>
                  <w:r>
                    <w:rPr>
                      <w:rFonts w:hint="eastAsia"/>
                      <w:sz w:val="18"/>
                      <w:szCs w:val="18"/>
                    </w:rPr>
                    <w:t>N</w:t>
                  </w:r>
                </w:p>
              </w:txbxContent>
            </v:textbox>
          </v:shape>
        </w:pict>
      </w:r>
      <w:r>
        <w:rPr>
          <w:sz w:val="24"/>
        </w:rPr>
        <w:pict>
          <v:shape id="自选图形 177" o:spid="_x0000_s1285" o:spt="32" type="#_x0000_t32" style="position:absolute;left:0pt;margin-left:169.05pt;margin-top:292.6pt;height:35.25pt;width:0pt;z-index:251846656;mso-width-relative:page;mso-height-relative:page;" filled="f" stroked="t" coordsize="21600,21600">
            <v:path arrowok="t"/>
            <v:fill on="f" focussize="0,0"/>
            <v:stroke endarrow="block"/>
            <v:imagedata o:title=""/>
            <o:lock v:ext="edit" aspectratio="f"/>
          </v:shape>
        </w:pict>
      </w:r>
      <w:r>
        <w:rPr>
          <w:sz w:val="24"/>
        </w:rPr>
        <w:pict>
          <v:shape id="自选图形 169" o:spid="_x0000_s1286" o:spt="116" type="#_x0000_t116" style="position:absolute;left:0pt;margin-left:121pt;margin-top:328.6pt;height:25.5pt;width:96.75pt;z-index:251839488;mso-width-relative:page;mso-height-relative:page;" fillcolor="#FFFFFF" filled="t" stroked="t" coordsize="21600,21600">
            <v:path/>
            <v:fill on="t" focussize="0,0"/>
            <v:stroke/>
            <v:imagedata o:title=""/>
            <o:lock v:ext="edit" aspectratio="f"/>
            <v:textbox>
              <w:txbxContent>
                <w:p>
                  <w:pPr>
                    <w:jc w:val="center"/>
                    <w:rPr>
                      <w:color w:val="auto"/>
                      <w:sz w:val="18"/>
                      <w:szCs w:val="18"/>
                    </w:rPr>
                  </w:pPr>
                  <w:r>
                    <w:rPr>
                      <w:rFonts w:hint="eastAsia"/>
                      <w:color w:val="auto"/>
                      <w:sz w:val="18"/>
                      <w:szCs w:val="18"/>
                    </w:rPr>
                    <w:t>成绩认定</w:t>
                  </w:r>
                </w:p>
              </w:txbxContent>
            </v:textbox>
          </v:shape>
        </w:pict>
      </w:r>
      <w:r>
        <w:rPr>
          <w:sz w:val="24"/>
        </w:rPr>
        <w:pict>
          <v:shape id="自选图形 168" o:spid="_x0000_s1287" o:spt="110" type="#_x0000_t110" style="position:absolute;left:0pt;margin-left:120.65pt;margin-top:220.6pt;height:71.25pt;width:97.5pt;z-index:251838464;mso-width-relative:page;mso-height-relative:page;" fillcolor="#FFFFFF" filled="t" stroked="t" coordsize="21600,21600">
            <v:path/>
            <v:fill on="t" focussize="0,0"/>
            <v:stroke/>
            <v:imagedata o:title=""/>
            <o:lock v:ext="edit" aspectratio="f"/>
            <v:textbox>
              <w:txbxContent>
                <w:p>
                  <w:pPr>
                    <w:jc w:val="center"/>
                    <w:rPr>
                      <w:sz w:val="18"/>
                      <w:szCs w:val="18"/>
                    </w:rPr>
                  </w:pPr>
                  <w:r>
                    <w:rPr>
                      <w:rFonts w:hint="eastAsia"/>
                      <w:sz w:val="18"/>
                      <w:szCs w:val="18"/>
                    </w:rPr>
                    <w:t>比赛结果按时备案</w:t>
                  </w:r>
                </w:p>
              </w:txbxContent>
            </v:textbox>
          </v:shape>
        </w:pict>
      </w:r>
      <w:r>
        <w:rPr>
          <w:sz w:val="24"/>
        </w:rPr>
        <w:pict>
          <v:shape id="自选图形 170" o:spid="_x0000_s1288" o:spt="116" type="#_x0000_t116" style="position:absolute;left:0pt;margin-left:284.35pt;margin-top:242.65pt;height:25.5pt;width:96.75pt;z-index:251840512;mso-width-relative:page;mso-height-relative:page;" fillcolor="#FFFFFF" filled="t" stroked="t" coordsize="21600,21600">
            <v:path/>
            <v:fill on="t" focussize="0,0"/>
            <v:stroke/>
            <v:imagedata o:title=""/>
            <o:lock v:ext="edit" aspectratio="f"/>
            <v:textbox>
              <w:txbxContent>
                <w:p>
                  <w:pPr>
                    <w:jc w:val="center"/>
                    <w:rPr>
                      <w:sz w:val="18"/>
                      <w:szCs w:val="18"/>
                    </w:rPr>
                  </w:pPr>
                  <w:r>
                    <w:rPr>
                      <w:rFonts w:hint="eastAsia"/>
                      <w:sz w:val="18"/>
                      <w:szCs w:val="18"/>
                    </w:rPr>
                    <w:t>下一学年奖励</w:t>
                  </w:r>
                </w:p>
              </w:txbxContent>
            </v:textbox>
          </v:shape>
        </w:pict>
      </w:r>
      <w:r>
        <w:rPr>
          <w:sz w:val="24"/>
        </w:rPr>
        <w:pict>
          <v:shape id="自选图形 176" o:spid="_x0000_s1289" o:spt="32" type="#_x0000_t32" style="position:absolute;left:0pt;flip:y;margin-left:218.15pt;margin-top:254.8pt;height:1.05pt;width:64.65pt;z-index:251845632;mso-width-relative:page;mso-height-relative:page;" filled="f" stroked="t" coordsize="21600,21600">
            <v:path arrowok="t"/>
            <v:fill on="f" focussize="0,0"/>
            <v:stroke endarrow="block"/>
            <v:imagedata o:title=""/>
            <o:lock v:ext="edit" aspectratio="f"/>
          </v:shape>
        </w:pict>
      </w:r>
      <w:r>
        <w:rPr>
          <w:sz w:val="24"/>
        </w:rPr>
        <w:pict>
          <v:shape id="自选图形 412" o:spid="_x0000_s1290" o:spt="116" type="#_x0000_t116" style="position:absolute;left:0pt;margin-left:-9.95pt;margin-top:242.65pt;height:25.9pt;width:73.05pt;z-index:251858944;mso-width-relative:page;mso-height-relative:page;" fillcolor="#FFFFFF" filled="t" stroked="t" coordsize="21600,21600">
            <v:path/>
            <v:fill on="t" focussize="0,0"/>
            <v:stroke/>
            <v:imagedata o:title=""/>
            <o:lock v:ext="edit" aspectratio="f"/>
            <v:textbox>
              <w:txbxContent>
                <w:p>
                  <w:pPr>
                    <w:jc w:val="center"/>
                    <w:rPr>
                      <w:sz w:val="18"/>
                      <w:szCs w:val="18"/>
                    </w:rPr>
                  </w:pPr>
                  <w:r>
                    <w:rPr>
                      <w:rFonts w:hint="eastAsia"/>
                      <w:sz w:val="18"/>
                      <w:szCs w:val="18"/>
                    </w:rPr>
                    <w:t>本学年奖励</w:t>
                  </w:r>
                </w:p>
              </w:txbxContent>
            </v:textbox>
          </v:shape>
        </w:pict>
      </w:r>
      <w:r>
        <w:rPr>
          <w:sz w:val="24"/>
        </w:rPr>
        <w:pict>
          <v:shape id="文本框 181" o:spid="_x0000_s1291" o:spt="202" type="#_x0000_t202" style="position:absolute;left:0pt;margin-left:83.15pt;margin-top:234.8pt;height:21pt;width:21.35pt;z-index:251850752;mso-width-relative:page;mso-height-relative:page;" fillcolor="#FFFFFF" filled="t" stroked="f" coordsize="21600,21600">
            <v:path/>
            <v:fill on="t" focussize="0,0"/>
            <v:stroke on="f"/>
            <v:imagedata o:title=""/>
            <o:lock v:ext="edit" aspectratio="f"/>
            <v:textbox>
              <w:txbxContent>
                <w:p>
                  <w:pPr>
                    <w:rPr>
                      <w:rFonts w:hint="eastAsia"/>
                      <w:sz w:val="18"/>
                      <w:szCs w:val="18"/>
                    </w:rPr>
                  </w:pPr>
                  <w:r>
                    <w:rPr>
                      <w:rFonts w:hint="eastAsia"/>
                      <w:sz w:val="18"/>
                      <w:szCs w:val="18"/>
                    </w:rPr>
                    <w:t>Y</w:t>
                  </w:r>
                </w:p>
              </w:txbxContent>
            </v:textbox>
          </v:shape>
        </w:pict>
      </w:r>
      <w:r>
        <w:rPr>
          <w:sz w:val="24"/>
        </w:rPr>
        <w:pict>
          <v:shape id="自选图形 29" o:spid="_x0000_s1292" o:spt="32" type="#_x0000_t32" style="position:absolute;left:0pt;flip:x;margin-left:64.9pt;margin-top:255.65pt;height:0.15pt;width:56.05pt;z-index:251857920;mso-width-relative:page;mso-height-relative:page;" filled="f" stroked="t" coordsize="21600,21600">
            <v:path arrowok="t"/>
            <v:fill on="f" focussize="0,0"/>
            <v:stroke endarrow="block"/>
            <v:imagedata o:title=""/>
            <o:lock v:ext="edit" aspectratio="f"/>
          </v:shape>
        </w:pict>
      </w:r>
      <w:r>
        <w:rPr>
          <w:sz w:val="24"/>
        </w:rPr>
        <w:pict>
          <v:shape id="自选图形 185" o:spid="_x0000_s1293" o:spt="32" type="#_x0000_t32" style="position:absolute;left:0pt;margin-left:169.75pt;margin-top:189.1pt;height:31.5pt;width:0.05pt;z-index:251854848;mso-width-relative:page;mso-height-relative:page;" filled="f" stroked="t" coordsize="21600,21600">
            <v:path arrowok="t"/>
            <v:fill on="f" focussize="0,0"/>
            <v:stroke endarrow="block"/>
            <v:imagedata o:title=""/>
            <o:lock v:ext="edit" aspectratio="f"/>
          </v:shape>
        </w:pict>
      </w:r>
      <w:r>
        <w:rPr>
          <w:sz w:val="24"/>
        </w:rPr>
        <w:pict>
          <v:shape id="自选图形 187" o:spid="_x0000_s1294" o:spt="32" type="#_x0000_t32" style="position:absolute;left:0pt;margin-left:169.8pt;margin-top:70.6pt;height:33pt;width:0.05pt;z-index:251856896;mso-width-relative:page;mso-height-relative:page;" filled="f" stroked="t" coordsize="21600,21600">
            <v:path arrowok="t"/>
            <v:fill on="f" focussize="0,0"/>
            <v:stroke endarrow="block"/>
            <v:imagedata o:title=""/>
            <o:lock v:ext="edit" aspectratio="f"/>
          </v:shape>
        </w:pict>
      </w:r>
      <w:r>
        <w:rPr>
          <w:sz w:val="24"/>
        </w:rPr>
        <w:pict>
          <v:shape id="自选图形 186" o:spid="_x0000_s1295" o:spt="109" type="#_x0000_t109" style="position:absolute;left:0pt;margin-left:114.6pt;margin-top:103.6pt;height:25.5pt;width:111pt;z-index:251855872;mso-width-relative:page;mso-height-relative:page;" fillcolor="#FFFFFF" filled="t" stroked="t" coordsize="21600,21600">
            <v:path/>
            <v:fill on="t" focussize="0,0"/>
            <v:stroke/>
            <v:imagedata o:title=""/>
            <o:lock v:ext="edit" aspectratio="f"/>
            <v:textbox>
              <w:txbxContent>
                <w:p>
                  <w:pPr>
                    <w:jc w:val="center"/>
                    <w:rPr>
                      <w:rFonts w:ascii="宋体" w:hAnsi="宋体"/>
                      <w:sz w:val="18"/>
                      <w:szCs w:val="18"/>
                    </w:rPr>
                  </w:pPr>
                  <w:r>
                    <w:rPr>
                      <w:rFonts w:hint="eastAsia" w:ascii="宋体" w:hAnsi="宋体"/>
                      <w:sz w:val="18"/>
                      <w:szCs w:val="18"/>
                    </w:rPr>
                    <w:t>赛前培训</w:t>
                  </w:r>
                </w:p>
              </w:txbxContent>
            </v:textbox>
          </v:shape>
        </w:pict>
      </w:r>
      <w:r>
        <w:rPr>
          <w:sz w:val="24"/>
        </w:rPr>
        <w:pict>
          <v:shape id="文本框 178" o:spid="_x0000_s1296" o:spt="202" type="#_x0000_t202" style="position:absolute;left:0pt;margin-left:136pt;margin-top:14.35pt;height:21pt;width:21.35pt;z-index:251847680;mso-width-relative:page;mso-height-relative:page;" fillcolor="#FFFFFF" filled="t" stroked="f" coordsize="21600,21600">
            <v:path/>
            <v:fill on="t" focussize="0,0"/>
            <v:stroke on="f"/>
            <v:imagedata o:title=""/>
            <o:lock v:ext="edit" aspectratio="f"/>
            <v:textbox>
              <w:txbxContent>
                <w:p>
                  <w:pPr>
                    <w:rPr>
                      <w:rFonts w:hint="eastAsia"/>
                      <w:sz w:val="18"/>
                      <w:szCs w:val="18"/>
                    </w:rPr>
                  </w:pPr>
                  <w:r>
                    <w:rPr>
                      <w:rFonts w:hint="eastAsia"/>
                      <w:sz w:val="18"/>
                      <w:szCs w:val="18"/>
                    </w:rPr>
                    <w:t>Y</w:t>
                  </w:r>
                </w:p>
              </w:txbxContent>
            </v:textbox>
          </v:shape>
        </w:pict>
      </w:r>
      <w:r>
        <w:rPr>
          <w:sz w:val="24"/>
        </w:rPr>
        <w:pict>
          <v:shape id="自选图形 174" o:spid="_x0000_s1297" o:spt="32" type="#_x0000_t32" style="position:absolute;left:0pt;margin-left:169pt;margin-top:129.1pt;height:33pt;width:0.05pt;z-index:251844608;mso-width-relative:page;mso-height-relative:page;" filled="f" stroked="t" coordsize="21600,21600">
            <v:path arrowok="t"/>
            <v:fill on="f" focussize="0,0"/>
            <v:stroke endarrow="block"/>
            <v:imagedata o:title=""/>
            <o:lock v:ext="edit" aspectratio="f"/>
          </v:shape>
        </w:pict>
      </w:r>
      <w:r>
        <w:rPr>
          <w:sz w:val="24"/>
        </w:rPr>
        <w:pict>
          <v:shape id="自选图形 173" o:spid="_x0000_s1298" o:spt="32" type="#_x0000_t32" style="position:absolute;left:0pt;margin-left:169.8pt;margin-top:10.6pt;height:34.5pt;width:0pt;z-index:251843584;mso-width-relative:page;mso-height-relative:page;" filled="f" stroked="t" coordsize="21600,21600">
            <v:path arrowok="t"/>
            <v:fill on="f" focussize="0,0"/>
            <v:stroke endarrow="block"/>
            <v:imagedata o:title=""/>
            <o:lock v:ext="edit" aspectratio="f"/>
          </v:shape>
        </w:pict>
      </w:r>
      <w:r>
        <w:rPr>
          <w:sz w:val="24"/>
        </w:rPr>
        <w:pict>
          <v:shape id="自选图形 165" o:spid="_x0000_s1299" o:spt="109" type="#_x0000_t109" style="position:absolute;left:0pt;margin-left:114.65pt;margin-top:45.1pt;height:25.5pt;width:111pt;z-index:251836416;mso-width-relative:page;mso-height-relative:page;" fillcolor="#FFFFFF" filled="t" stroked="t" coordsize="21600,21600">
            <v:path/>
            <v:fill on="t" focussize="0,0"/>
            <v:stroke/>
            <v:imagedata o:title=""/>
            <o:lock v:ext="edit" aspectratio="f"/>
            <v:textbox>
              <w:txbxContent>
                <w:p>
                  <w:pPr>
                    <w:jc w:val="center"/>
                    <w:rPr>
                      <w:rFonts w:ascii="宋体" w:hAnsi="宋体"/>
                      <w:sz w:val="18"/>
                      <w:szCs w:val="18"/>
                    </w:rPr>
                  </w:pPr>
                  <w:r>
                    <w:rPr>
                      <w:rFonts w:hint="eastAsia" w:ascii="宋体" w:hAnsi="宋体"/>
                      <w:sz w:val="18"/>
                      <w:szCs w:val="18"/>
                    </w:rPr>
                    <w:t>参赛选拔</w:t>
                  </w:r>
                </w:p>
              </w:txbxContent>
            </v:textbox>
          </v:shape>
        </w:pict>
      </w:r>
      <w:r>
        <w:rPr>
          <w:rFonts w:hint="eastAsia" w:ascii="仿宋" w:hAnsi="仿宋" w:eastAsia="仿宋" w:cs="仿宋"/>
          <w:b/>
          <w:color w:val="000000"/>
          <w:sz w:val="24"/>
          <w:szCs w:val="28"/>
        </w:rPr>
        <w:br w:type="page"/>
      </w:r>
      <w:r>
        <w:rPr>
          <w:rFonts w:hint="eastAsia" w:ascii="仿宋" w:hAnsi="仿宋" w:eastAsia="仿宋" w:cs="仿宋"/>
          <w:b/>
          <w:color w:val="000000"/>
          <w:sz w:val="24"/>
          <w:szCs w:val="28"/>
        </w:rPr>
        <w:t>附件2</w:t>
      </w:r>
    </w:p>
    <w:p>
      <w:pPr>
        <w:pageBreakBefore w:val="0"/>
        <w:topLinePunct w:val="0"/>
        <w:bidi w:val="0"/>
        <w:jc w:val="center"/>
        <w:outlineLvl w:val="9"/>
        <w:rPr>
          <w:rFonts w:hint="eastAsia" w:ascii="仿宋" w:hAnsi="仿宋" w:eastAsia="仿宋" w:cs="仿宋"/>
          <w:color w:val="000000"/>
          <w:sz w:val="36"/>
          <w:szCs w:val="36"/>
        </w:rPr>
      </w:pPr>
      <w:r>
        <w:rPr>
          <w:rFonts w:hint="eastAsia" w:ascii="仿宋" w:hAnsi="仿宋" w:eastAsia="仿宋" w:cs="仿宋"/>
          <w:color w:val="000000"/>
          <w:sz w:val="36"/>
          <w:szCs w:val="36"/>
        </w:rPr>
        <w:t>上海电子信息职业技术学院</w:t>
      </w:r>
    </w:p>
    <w:p>
      <w:pPr>
        <w:pageBreakBefore w:val="0"/>
        <w:topLinePunct w:val="0"/>
        <w:bidi w:val="0"/>
        <w:jc w:val="center"/>
        <w:outlineLvl w:val="9"/>
        <w:rPr>
          <w:rFonts w:hint="eastAsia" w:ascii="仿宋" w:hAnsi="仿宋" w:eastAsia="仿宋" w:cs="仿宋"/>
          <w:b/>
          <w:color w:val="000000"/>
          <w:sz w:val="36"/>
          <w:szCs w:val="36"/>
        </w:rPr>
      </w:pPr>
      <w:r>
        <w:rPr>
          <w:rFonts w:hint="eastAsia" w:ascii="仿宋" w:hAnsi="仿宋" w:eastAsia="仿宋" w:cs="仿宋"/>
          <w:b/>
          <w:color w:val="000000"/>
          <w:sz w:val="36"/>
          <w:szCs w:val="36"/>
        </w:rPr>
        <w:t>参赛信息报备表</w:t>
      </w:r>
    </w:p>
    <w:p>
      <w:pPr>
        <w:pageBreakBefore w:val="0"/>
        <w:topLinePunct w:val="0"/>
        <w:bidi w:val="0"/>
        <w:ind w:left="-850" w:leftChars="-405" w:right="-901" w:rightChars="-429" w:firstLine="280" w:firstLineChars="100"/>
        <w:jc w:val="left"/>
        <w:outlineLvl w:val="9"/>
        <w:rPr>
          <w:rFonts w:hint="eastAsia" w:ascii="仿宋" w:hAnsi="仿宋" w:eastAsia="仿宋" w:cs="仿宋"/>
          <w:b/>
          <w:color w:val="000000"/>
          <w:sz w:val="36"/>
          <w:szCs w:val="36"/>
        </w:rPr>
      </w:pPr>
      <w:r>
        <w:rPr>
          <w:rFonts w:hint="eastAsia" w:ascii="仿宋" w:hAnsi="仿宋" w:eastAsia="仿宋" w:cs="仿宋"/>
          <w:color w:val="000000"/>
          <w:sz w:val="28"/>
          <w:szCs w:val="28"/>
        </w:rPr>
        <w:t>申报部门</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年   月   日</w:t>
      </w:r>
    </w:p>
    <w:tbl>
      <w:tblPr>
        <w:tblStyle w:val="37"/>
        <w:tblW w:w="0" w:type="auto"/>
        <w:jc w:val="center"/>
        <w:tblLayout w:type="fixed"/>
        <w:tblCellMar>
          <w:top w:w="0" w:type="dxa"/>
          <w:left w:w="108" w:type="dxa"/>
          <w:bottom w:w="0" w:type="dxa"/>
          <w:right w:w="108" w:type="dxa"/>
        </w:tblCellMar>
      </w:tblPr>
      <w:tblGrid>
        <w:gridCol w:w="1725"/>
        <w:gridCol w:w="2080"/>
        <w:gridCol w:w="1850"/>
        <w:gridCol w:w="1467"/>
        <w:gridCol w:w="575"/>
        <w:gridCol w:w="1610"/>
      </w:tblGrid>
      <w:tr>
        <w:tblPrEx>
          <w:tblCellMar>
            <w:top w:w="0" w:type="dxa"/>
            <w:left w:w="108" w:type="dxa"/>
            <w:bottom w:w="0" w:type="dxa"/>
            <w:right w:w="108" w:type="dxa"/>
          </w:tblCellMar>
        </w:tblPrEx>
        <w:trPr>
          <w:trHeight w:val="528" w:hRule="atLeast"/>
          <w:jc w:val="center"/>
        </w:trPr>
        <w:tc>
          <w:tcPr>
            <w:tcW w:w="1725"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pPr>
              <w:pageBreakBefore w:val="0"/>
              <w:widowControl/>
              <w:topLinePunct w:val="0"/>
              <w:bidi w:val="0"/>
              <w:ind w:left="113" w:right="113"/>
              <w:jc w:val="center"/>
              <w:outlineLvl w:val="9"/>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拟参加项目</w:t>
            </w:r>
          </w:p>
        </w:tc>
        <w:tc>
          <w:tcPr>
            <w:tcW w:w="208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4"/>
              </w:rPr>
            </w:pPr>
            <w:r>
              <w:rPr>
                <w:rFonts w:hint="eastAsia" w:ascii="仿宋" w:hAnsi="仿宋" w:eastAsia="仿宋" w:cs="仿宋"/>
                <w:color w:val="000000"/>
                <w:kern w:val="0"/>
                <w:sz w:val="24"/>
              </w:rPr>
              <w:t>名称</w:t>
            </w:r>
          </w:p>
        </w:tc>
        <w:tc>
          <w:tcPr>
            <w:tcW w:w="185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4"/>
              </w:rPr>
            </w:pPr>
            <w:r>
              <w:rPr>
                <w:rFonts w:hint="eastAsia" w:ascii="仿宋" w:hAnsi="仿宋" w:eastAsia="仿宋" w:cs="仿宋"/>
                <w:color w:val="000000"/>
                <w:kern w:val="0"/>
                <w:sz w:val="24"/>
              </w:rPr>
              <w:t>主办单位</w:t>
            </w:r>
          </w:p>
        </w:tc>
        <w:tc>
          <w:tcPr>
            <w:tcW w:w="2042"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4"/>
              </w:rPr>
            </w:pPr>
            <w:r>
              <w:rPr>
                <w:rFonts w:hint="eastAsia" w:ascii="仿宋" w:hAnsi="仿宋" w:eastAsia="仿宋" w:cs="仿宋"/>
                <w:color w:val="000000"/>
                <w:kern w:val="0"/>
                <w:sz w:val="24"/>
              </w:rPr>
              <w:t>承办单位</w:t>
            </w:r>
          </w:p>
        </w:tc>
        <w:tc>
          <w:tcPr>
            <w:tcW w:w="161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4"/>
              </w:rPr>
            </w:pPr>
            <w:r>
              <w:rPr>
                <w:rFonts w:hint="eastAsia" w:ascii="仿宋" w:hAnsi="仿宋" w:eastAsia="仿宋" w:cs="仿宋"/>
                <w:color w:val="000000"/>
                <w:kern w:val="0"/>
                <w:sz w:val="24"/>
              </w:rPr>
              <w:t>赛项级别</w:t>
            </w:r>
          </w:p>
        </w:tc>
      </w:tr>
      <w:tr>
        <w:tblPrEx>
          <w:tblCellMar>
            <w:top w:w="0" w:type="dxa"/>
            <w:left w:w="108" w:type="dxa"/>
            <w:bottom w:w="0" w:type="dxa"/>
            <w:right w:w="108" w:type="dxa"/>
          </w:tblCellMar>
        </w:tblPrEx>
        <w:trPr>
          <w:trHeight w:val="646" w:hRule="atLeast"/>
          <w:jc w:val="center"/>
        </w:trPr>
        <w:tc>
          <w:tcPr>
            <w:tcW w:w="172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 w:val="28"/>
                <w:szCs w:val="28"/>
              </w:rPr>
            </w:pPr>
          </w:p>
        </w:tc>
        <w:tc>
          <w:tcPr>
            <w:tcW w:w="2080" w:type="dxa"/>
            <w:tcBorders>
              <w:top w:val="nil"/>
              <w:left w:val="nil"/>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 w:val="24"/>
              </w:rPr>
            </w:pPr>
          </w:p>
        </w:tc>
        <w:tc>
          <w:tcPr>
            <w:tcW w:w="1850" w:type="dxa"/>
            <w:tcBorders>
              <w:top w:val="nil"/>
              <w:left w:val="nil"/>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 w:val="24"/>
              </w:rPr>
            </w:pPr>
          </w:p>
        </w:tc>
        <w:tc>
          <w:tcPr>
            <w:tcW w:w="2042" w:type="dxa"/>
            <w:gridSpan w:val="2"/>
            <w:tcBorders>
              <w:top w:val="nil"/>
              <w:left w:val="nil"/>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 w:val="24"/>
              </w:rPr>
            </w:pPr>
          </w:p>
        </w:tc>
        <w:tc>
          <w:tcPr>
            <w:tcW w:w="1610" w:type="dxa"/>
            <w:tcBorders>
              <w:top w:val="nil"/>
              <w:left w:val="nil"/>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 w:val="24"/>
              </w:rPr>
            </w:pPr>
          </w:p>
        </w:tc>
      </w:tr>
      <w:tr>
        <w:tblPrEx>
          <w:tblCellMar>
            <w:top w:w="0" w:type="dxa"/>
            <w:left w:w="108" w:type="dxa"/>
            <w:bottom w:w="0" w:type="dxa"/>
            <w:right w:w="108" w:type="dxa"/>
          </w:tblCellMar>
        </w:tblPrEx>
        <w:trPr>
          <w:trHeight w:val="961" w:hRule="atLeast"/>
          <w:jc w:val="center"/>
        </w:trPr>
        <w:tc>
          <w:tcPr>
            <w:tcW w:w="1725"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 w:val="28"/>
                <w:szCs w:val="28"/>
              </w:rPr>
            </w:pPr>
          </w:p>
        </w:tc>
        <w:tc>
          <w:tcPr>
            <w:tcW w:w="208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4"/>
              </w:rPr>
            </w:pPr>
            <w:r>
              <w:rPr>
                <w:rFonts w:hint="eastAsia" w:ascii="仿宋" w:hAnsi="仿宋" w:eastAsia="仿宋" w:cs="仿宋"/>
                <w:color w:val="000000"/>
                <w:kern w:val="0"/>
                <w:sz w:val="24"/>
              </w:rPr>
              <w:t>比赛</w:t>
            </w:r>
          </w:p>
          <w:p>
            <w:pPr>
              <w:pageBreakBefore w:val="0"/>
              <w:widowControl/>
              <w:topLinePunct w:val="0"/>
              <w:bidi w:val="0"/>
              <w:jc w:val="center"/>
              <w:outlineLvl w:val="9"/>
              <w:rPr>
                <w:rFonts w:hint="eastAsia" w:ascii="仿宋" w:hAnsi="仿宋" w:eastAsia="仿宋" w:cs="仿宋"/>
                <w:color w:val="000000"/>
                <w:kern w:val="0"/>
                <w:sz w:val="24"/>
              </w:rPr>
            </w:pPr>
            <w:r>
              <w:rPr>
                <w:rFonts w:hint="eastAsia" w:ascii="仿宋" w:hAnsi="仿宋" w:eastAsia="仿宋" w:cs="仿宋"/>
                <w:color w:val="000000"/>
                <w:kern w:val="0"/>
                <w:sz w:val="24"/>
              </w:rPr>
              <w:t>地点</w:t>
            </w:r>
          </w:p>
        </w:tc>
        <w:tc>
          <w:tcPr>
            <w:tcW w:w="185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4"/>
              </w:rPr>
            </w:pPr>
          </w:p>
        </w:tc>
        <w:tc>
          <w:tcPr>
            <w:tcW w:w="2042"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4"/>
              </w:rPr>
            </w:pPr>
            <w:r>
              <w:rPr>
                <w:rFonts w:hint="eastAsia" w:ascii="仿宋" w:hAnsi="仿宋" w:eastAsia="仿宋" w:cs="仿宋"/>
                <w:color w:val="000000"/>
                <w:kern w:val="0"/>
                <w:sz w:val="24"/>
              </w:rPr>
              <w:t>比赛</w:t>
            </w:r>
          </w:p>
          <w:p>
            <w:pPr>
              <w:pageBreakBefore w:val="0"/>
              <w:widowControl/>
              <w:topLinePunct w:val="0"/>
              <w:bidi w:val="0"/>
              <w:jc w:val="center"/>
              <w:outlineLvl w:val="9"/>
              <w:rPr>
                <w:rFonts w:hint="eastAsia" w:ascii="仿宋" w:hAnsi="仿宋" w:eastAsia="仿宋" w:cs="仿宋"/>
                <w:color w:val="000000"/>
                <w:kern w:val="0"/>
                <w:sz w:val="24"/>
              </w:rPr>
            </w:pPr>
            <w:r>
              <w:rPr>
                <w:rFonts w:hint="eastAsia" w:ascii="仿宋" w:hAnsi="仿宋" w:eastAsia="仿宋" w:cs="仿宋"/>
                <w:color w:val="000000"/>
                <w:kern w:val="0"/>
                <w:sz w:val="24"/>
              </w:rPr>
              <w:t>时间</w:t>
            </w:r>
          </w:p>
        </w:tc>
        <w:tc>
          <w:tcPr>
            <w:tcW w:w="161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4"/>
              </w:rPr>
            </w:pPr>
          </w:p>
        </w:tc>
      </w:tr>
      <w:tr>
        <w:tblPrEx>
          <w:tblCellMar>
            <w:top w:w="0" w:type="dxa"/>
            <w:left w:w="108" w:type="dxa"/>
            <w:bottom w:w="0" w:type="dxa"/>
            <w:right w:w="108" w:type="dxa"/>
          </w:tblCellMar>
        </w:tblPrEx>
        <w:trPr>
          <w:trHeight w:val="411" w:hRule="atLeast"/>
          <w:jc w:val="center"/>
        </w:trPr>
        <w:tc>
          <w:tcPr>
            <w:tcW w:w="1725" w:type="dxa"/>
            <w:vMerge w:val="restart"/>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拟参赛</w:t>
            </w:r>
          </w:p>
          <w:p>
            <w:pPr>
              <w:pageBreakBefore w:val="0"/>
              <w:widowControl/>
              <w:topLinePunct w:val="0"/>
              <w:bidi w:val="0"/>
              <w:jc w:val="center"/>
              <w:outlineLvl w:val="9"/>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名单</w:t>
            </w:r>
          </w:p>
        </w:tc>
        <w:tc>
          <w:tcPr>
            <w:tcW w:w="5397" w:type="dxa"/>
            <w:gridSpan w:val="3"/>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4"/>
              </w:rPr>
            </w:pPr>
            <w:r>
              <w:rPr>
                <w:rFonts w:hint="eastAsia" w:ascii="仿宋" w:hAnsi="仿宋" w:eastAsia="仿宋" w:cs="仿宋"/>
                <w:color w:val="000000"/>
                <w:kern w:val="0"/>
                <w:sz w:val="24"/>
              </w:rPr>
              <w:t>参赛选手</w:t>
            </w:r>
          </w:p>
        </w:tc>
        <w:tc>
          <w:tcPr>
            <w:tcW w:w="2185"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4"/>
              </w:rPr>
            </w:pPr>
            <w:r>
              <w:rPr>
                <w:rFonts w:hint="eastAsia" w:ascii="仿宋" w:hAnsi="仿宋" w:eastAsia="仿宋" w:cs="仿宋"/>
                <w:color w:val="000000"/>
                <w:kern w:val="0"/>
                <w:sz w:val="24"/>
              </w:rPr>
              <w:t>指导教师</w:t>
            </w:r>
          </w:p>
        </w:tc>
      </w:tr>
      <w:tr>
        <w:tblPrEx>
          <w:tblCellMar>
            <w:top w:w="0" w:type="dxa"/>
            <w:left w:w="108" w:type="dxa"/>
            <w:bottom w:w="0" w:type="dxa"/>
            <w:right w:w="108" w:type="dxa"/>
          </w:tblCellMar>
        </w:tblPrEx>
        <w:trPr>
          <w:trHeight w:val="1238" w:hRule="atLeast"/>
          <w:jc w:val="center"/>
        </w:trPr>
        <w:tc>
          <w:tcPr>
            <w:tcW w:w="1725" w:type="dxa"/>
            <w:vMerge w:val="continue"/>
            <w:tcBorders>
              <w:top w:val="nil"/>
              <w:left w:val="single" w:color="auto" w:sz="4" w:space="0"/>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 w:val="28"/>
                <w:szCs w:val="28"/>
              </w:rPr>
            </w:pPr>
          </w:p>
        </w:tc>
        <w:tc>
          <w:tcPr>
            <w:tcW w:w="5397" w:type="dxa"/>
            <w:gridSpan w:val="3"/>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4"/>
              </w:rPr>
            </w:pPr>
          </w:p>
        </w:tc>
        <w:tc>
          <w:tcPr>
            <w:tcW w:w="2185" w:type="dxa"/>
            <w:gridSpan w:val="2"/>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left"/>
              <w:outlineLvl w:val="9"/>
              <w:rPr>
                <w:rFonts w:hint="eastAsia" w:ascii="仿宋" w:hAnsi="仿宋" w:eastAsia="仿宋" w:cs="仿宋"/>
                <w:color w:val="000000"/>
                <w:kern w:val="0"/>
                <w:sz w:val="24"/>
              </w:rPr>
            </w:pPr>
          </w:p>
        </w:tc>
      </w:tr>
      <w:tr>
        <w:tblPrEx>
          <w:tblCellMar>
            <w:top w:w="0" w:type="dxa"/>
            <w:left w:w="108" w:type="dxa"/>
            <w:bottom w:w="0" w:type="dxa"/>
            <w:right w:w="108" w:type="dxa"/>
          </w:tblCellMar>
        </w:tblPrEx>
        <w:trPr>
          <w:trHeight w:val="2557" w:hRule="atLeast"/>
          <w:jc w:val="center"/>
        </w:trPr>
        <w:tc>
          <w:tcPr>
            <w:tcW w:w="9307" w:type="dxa"/>
            <w:gridSpan w:val="6"/>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outlineLvl w:val="9"/>
              <w:rPr>
                <w:rFonts w:hint="eastAsia" w:ascii="仿宋" w:hAnsi="仿宋" w:eastAsia="仿宋" w:cs="仿宋"/>
                <w:color w:val="000000"/>
                <w:kern w:val="0"/>
                <w:sz w:val="24"/>
              </w:rPr>
            </w:pPr>
            <w:r>
              <w:rPr>
                <w:rFonts w:hint="eastAsia" w:ascii="仿宋" w:hAnsi="仿宋" w:eastAsia="仿宋" w:cs="仿宋"/>
                <w:color w:val="000000"/>
                <w:kern w:val="0"/>
                <w:sz w:val="24"/>
              </w:rPr>
              <w:t>参赛理由及所需支持：</w:t>
            </w:r>
          </w:p>
          <w:p>
            <w:pPr>
              <w:pageBreakBefore w:val="0"/>
              <w:widowControl/>
              <w:topLinePunct w:val="0"/>
              <w:bidi w:val="0"/>
              <w:outlineLvl w:val="9"/>
              <w:rPr>
                <w:rFonts w:ascii="仿宋" w:hAnsi="仿宋" w:eastAsia="仿宋" w:cs="仿宋"/>
                <w:color w:val="auto"/>
                <w:kern w:val="0"/>
                <w:sz w:val="24"/>
              </w:rPr>
            </w:pPr>
            <w:r>
              <w:rPr>
                <w:rFonts w:hint="eastAsia" w:ascii="仿宋" w:hAnsi="仿宋" w:eastAsia="仿宋" w:cs="仿宋"/>
                <w:color w:val="auto"/>
                <w:kern w:val="0"/>
                <w:sz w:val="24"/>
              </w:rPr>
              <w:t>（如果需求停课集训，请写清楚集训停课的时间，并将此表格复印件提交相关课程所属部门）</w:t>
            </w:r>
          </w:p>
          <w:p>
            <w:pPr>
              <w:pageBreakBefore w:val="0"/>
              <w:widowControl/>
              <w:topLinePunct w:val="0"/>
              <w:bidi w:val="0"/>
              <w:outlineLvl w:val="9"/>
              <w:rPr>
                <w:rFonts w:hint="eastAsia" w:ascii="仿宋" w:hAnsi="仿宋" w:eastAsia="仿宋" w:cs="仿宋"/>
                <w:color w:val="000000"/>
                <w:kern w:val="0"/>
                <w:sz w:val="24"/>
              </w:rPr>
            </w:pPr>
          </w:p>
          <w:p>
            <w:pPr>
              <w:pageBreakBefore w:val="0"/>
              <w:widowControl/>
              <w:topLinePunct w:val="0"/>
              <w:bidi w:val="0"/>
              <w:outlineLvl w:val="9"/>
              <w:rPr>
                <w:rFonts w:hint="eastAsia" w:ascii="仿宋" w:hAnsi="仿宋" w:eastAsia="仿宋" w:cs="仿宋"/>
                <w:color w:val="000000"/>
                <w:kern w:val="0"/>
                <w:sz w:val="24"/>
              </w:rPr>
            </w:pPr>
          </w:p>
          <w:p>
            <w:pPr>
              <w:pageBreakBefore w:val="0"/>
              <w:widowControl/>
              <w:topLinePunct w:val="0"/>
              <w:bidi w:val="0"/>
              <w:outlineLvl w:val="9"/>
              <w:rPr>
                <w:rFonts w:hint="eastAsia" w:ascii="仿宋" w:hAnsi="仿宋" w:eastAsia="仿宋" w:cs="仿宋"/>
                <w:color w:val="000000"/>
                <w:kern w:val="0"/>
                <w:sz w:val="24"/>
              </w:rPr>
            </w:pPr>
          </w:p>
          <w:p>
            <w:pPr>
              <w:pageBreakBefore w:val="0"/>
              <w:widowControl/>
              <w:topLinePunct w:val="0"/>
              <w:bidi w:val="0"/>
              <w:outlineLvl w:val="9"/>
              <w:rPr>
                <w:rFonts w:hint="eastAsia" w:ascii="仿宋" w:hAnsi="仿宋" w:eastAsia="仿宋" w:cs="仿宋"/>
                <w:color w:val="000000"/>
                <w:kern w:val="0"/>
                <w:sz w:val="24"/>
              </w:rPr>
            </w:pPr>
          </w:p>
          <w:p>
            <w:pPr>
              <w:pageBreakBefore w:val="0"/>
              <w:widowControl/>
              <w:topLinePunct w:val="0"/>
              <w:bidi w:val="0"/>
              <w:outlineLvl w:val="9"/>
              <w:rPr>
                <w:rFonts w:hint="eastAsia" w:ascii="仿宋" w:hAnsi="仿宋" w:eastAsia="仿宋" w:cs="仿宋"/>
                <w:color w:val="000000"/>
                <w:kern w:val="0"/>
                <w:sz w:val="24"/>
              </w:rPr>
            </w:pPr>
          </w:p>
          <w:p>
            <w:pPr>
              <w:pageBreakBefore w:val="0"/>
              <w:widowControl/>
              <w:topLinePunct w:val="0"/>
              <w:bidi w:val="0"/>
              <w:outlineLvl w:val="9"/>
              <w:rPr>
                <w:rFonts w:hint="eastAsia" w:ascii="仿宋" w:hAnsi="仿宋" w:eastAsia="仿宋" w:cs="仿宋"/>
                <w:color w:val="000000"/>
                <w:kern w:val="0"/>
                <w:sz w:val="24"/>
              </w:rPr>
            </w:pPr>
            <w:r>
              <w:rPr>
                <w:rFonts w:hint="eastAsia" w:ascii="仿宋" w:hAnsi="仿宋" w:eastAsia="仿宋" w:cs="仿宋"/>
                <w:color w:val="000000"/>
                <w:kern w:val="0"/>
                <w:sz w:val="24"/>
              </w:rPr>
              <w:t xml:space="preserve">                                               申报人：</w:t>
            </w:r>
          </w:p>
          <w:p>
            <w:pPr>
              <w:pageBreakBefore w:val="0"/>
              <w:widowControl/>
              <w:topLinePunct w:val="0"/>
              <w:bidi w:val="0"/>
              <w:outlineLvl w:val="9"/>
              <w:rPr>
                <w:rFonts w:hint="eastAsia" w:ascii="仿宋" w:hAnsi="仿宋" w:eastAsia="仿宋" w:cs="仿宋"/>
                <w:color w:val="000000"/>
                <w:kern w:val="0"/>
                <w:sz w:val="24"/>
              </w:rPr>
            </w:pPr>
            <w:r>
              <w:rPr>
                <w:rFonts w:hint="eastAsia" w:ascii="仿宋" w:hAnsi="仿宋" w:eastAsia="仿宋" w:cs="仿宋"/>
                <w:color w:val="000000"/>
                <w:kern w:val="0"/>
                <w:sz w:val="24"/>
              </w:rPr>
              <w:t xml:space="preserve">                                                             年    月    日</w:t>
            </w:r>
          </w:p>
        </w:tc>
      </w:tr>
      <w:tr>
        <w:tblPrEx>
          <w:tblCellMar>
            <w:top w:w="0" w:type="dxa"/>
            <w:left w:w="108" w:type="dxa"/>
            <w:bottom w:w="0" w:type="dxa"/>
            <w:right w:w="108" w:type="dxa"/>
          </w:tblCellMar>
        </w:tblPrEx>
        <w:trPr>
          <w:trHeight w:val="2275" w:hRule="atLeast"/>
          <w:jc w:val="center"/>
        </w:trPr>
        <w:tc>
          <w:tcPr>
            <w:tcW w:w="9307" w:type="dxa"/>
            <w:gridSpan w:val="6"/>
            <w:tcBorders>
              <w:top w:val="single" w:color="auto" w:sz="4" w:space="0"/>
              <w:left w:val="single" w:color="auto" w:sz="4" w:space="0"/>
              <w:bottom w:val="single" w:color="auto" w:sz="4" w:space="0"/>
              <w:right w:val="single" w:color="auto" w:sz="4" w:space="0"/>
            </w:tcBorders>
            <w:noWrap w:val="0"/>
            <w:vAlign w:val="top"/>
          </w:tcPr>
          <w:p>
            <w:pPr>
              <w:pageBreakBefore w:val="0"/>
              <w:widowControl/>
              <w:topLinePunct w:val="0"/>
              <w:bidi w:val="0"/>
              <w:outlineLvl w:val="9"/>
              <w:rPr>
                <w:rFonts w:hint="eastAsia" w:ascii="仿宋" w:hAnsi="仿宋" w:eastAsia="仿宋" w:cs="仿宋"/>
                <w:color w:val="000000"/>
                <w:kern w:val="0"/>
                <w:sz w:val="24"/>
              </w:rPr>
            </w:pPr>
            <w:r>
              <w:rPr>
                <w:rFonts w:hint="eastAsia" w:ascii="仿宋" w:hAnsi="仿宋" w:eastAsia="仿宋" w:cs="仿宋"/>
                <w:color w:val="000000"/>
                <w:kern w:val="0"/>
                <w:sz w:val="24"/>
              </w:rPr>
              <w:t>申报部门意见：</w:t>
            </w:r>
          </w:p>
          <w:p>
            <w:pPr>
              <w:pageBreakBefore w:val="0"/>
              <w:widowControl/>
              <w:topLinePunct w:val="0"/>
              <w:bidi w:val="0"/>
              <w:outlineLvl w:val="9"/>
              <w:rPr>
                <w:rFonts w:hint="eastAsia" w:ascii="仿宋" w:hAnsi="仿宋" w:eastAsia="仿宋" w:cs="仿宋"/>
                <w:color w:val="000000"/>
                <w:kern w:val="0"/>
                <w:sz w:val="24"/>
              </w:rPr>
            </w:pPr>
          </w:p>
          <w:p>
            <w:pPr>
              <w:pageBreakBefore w:val="0"/>
              <w:widowControl/>
              <w:topLinePunct w:val="0"/>
              <w:bidi w:val="0"/>
              <w:ind w:right="1440"/>
              <w:outlineLvl w:val="9"/>
              <w:rPr>
                <w:rFonts w:hint="eastAsia" w:ascii="仿宋" w:hAnsi="仿宋" w:eastAsia="仿宋" w:cs="仿宋"/>
                <w:color w:val="000000"/>
                <w:kern w:val="0"/>
                <w:sz w:val="24"/>
              </w:rPr>
            </w:pPr>
          </w:p>
          <w:p>
            <w:pPr>
              <w:pageBreakBefore w:val="0"/>
              <w:widowControl/>
              <w:topLinePunct w:val="0"/>
              <w:bidi w:val="0"/>
              <w:ind w:right="1920"/>
              <w:jc w:val="right"/>
              <w:outlineLvl w:val="9"/>
              <w:rPr>
                <w:rFonts w:hint="eastAsia" w:ascii="仿宋" w:hAnsi="仿宋" w:eastAsia="仿宋" w:cs="仿宋"/>
                <w:color w:val="000000"/>
                <w:kern w:val="0"/>
                <w:sz w:val="24"/>
              </w:rPr>
            </w:pPr>
            <w:r>
              <w:rPr>
                <w:rFonts w:hint="eastAsia" w:ascii="仿宋" w:hAnsi="仿宋" w:eastAsia="仿宋" w:cs="仿宋"/>
                <w:color w:val="000000"/>
                <w:kern w:val="0"/>
                <w:sz w:val="24"/>
              </w:rPr>
              <w:t xml:space="preserve">         </w:t>
            </w:r>
          </w:p>
          <w:p>
            <w:pPr>
              <w:pageBreakBefore w:val="0"/>
              <w:widowControl/>
              <w:topLinePunct w:val="0"/>
              <w:bidi w:val="0"/>
              <w:ind w:right="1920"/>
              <w:jc w:val="center"/>
              <w:outlineLvl w:val="9"/>
              <w:rPr>
                <w:rFonts w:hint="eastAsia" w:ascii="仿宋" w:hAnsi="仿宋" w:eastAsia="仿宋" w:cs="仿宋"/>
                <w:color w:val="000000"/>
                <w:kern w:val="0"/>
                <w:sz w:val="24"/>
              </w:rPr>
            </w:pPr>
            <w:r>
              <w:rPr>
                <w:rFonts w:hint="eastAsia" w:ascii="仿宋" w:hAnsi="仿宋" w:eastAsia="仿宋" w:cs="仿宋"/>
                <w:color w:val="000000"/>
                <w:kern w:val="0"/>
                <w:sz w:val="24"/>
              </w:rPr>
              <w:t xml:space="preserve">                                              部门负责人：</w:t>
            </w:r>
          </w:p>
          <w:p>
            <w:pPr>
              <w:pageBreakBefore w:val="0"/>
              <w:widowControl/>
              <w:topLinePunct w:val="0"/>
              <w:bidi w:val="0"/>
              <w:outlineLvl w:val="9"/>
              <w:rPr>
                <w:rFonts w:hint="eastAsia" w:ascii="仿宋" w:hAnsi="仿宋" w:eastAsia="仿宋" w:cs="仿宋"/>
                <w:color w:val="000000"/>
                <w:kern w:val="0"/>
                <w:sz w:val="24"/>
              </w:rPr>
            </w:pPr>
            <w:r>
              <w:rPr>
                <w:rFonts w:hint="eastAsia" w:ascii="仿宋" w:hAnsi="仿宋" w:eastAsia="仿宋" w:cs="仿宋"/>
                <w:color w:val="000000"/>
                <w:kern w:val="0"/>
                <w:sz w:val="24"/>
              </w:rPr>
              <w:t xml:space="preserve">                                               部门（盖章）：</w:t>
            </w:r>
          </w:p>
          <w:p>
            <w:pPr>
              <w:pageBreakBefore w:val="0"/>
              <w:widowControl/>
              <w:topLinePunct w:val="0"/>
              <w:bidi w:val="0"/>
              <w:outlineLvl w:val="9"/>
              <w:rPr>
                <w:rFonts w:hint="eastAsia" w:ascii="仿宋" w:hAnsi="仿宋" w:eastAsia="仿宋" w:cs="仿宋"/>
                <w:color w:val="000000"/>
                <w:kern w:val="0"/>
                <w:sz w:val="24"/>
              </w:rPr>
            </w:pPr>
            <w:r>
              <w:rPr>
                <w:rFonts w:hint="eastAsia" w:ascii="仿宋" w:hAnsi="仿宋" w:eastAsia="仿宋" w:cs="仿宋"/>
                <w:color w:val="000000"/>
                <w:kern w:val="0"/>
                <w:sz w:val="24"/>
              </w:rPr>
              <w:t xml:space="preserve">                                                             年    月    日</w:t>
            </w:r>
          </w:p>
        </w:tc>
      </w:tr>
      <w:tr>
        <w:tblPrEx>
          <w:tblCellMar>
            <w:top w:w="0" w:type="dxa"/>
            <w:left w:w="108" w:type="dxa"/>
            <w:bottom w:w="0" w:type="dxa"/>
            <w:right w:w="108" w:type="dxa"/>
          </w:tblCellMar>
        </w:tblPrEx>
        <w:trPr>
          <w:trHeight w:val="1767" w:hRule="atLeast"/>
          <w:jc w:val="center"/>
        </w:trPr>
        <w:tc>
          <w:tcPr>
            <w:tcW w:w="9307" w:type="dxa"/>
            <w:gridSpan w:val="6"/>
            <w:tcBorders>
              <w:top w:val="single" w:color="auto" w:sz="4" w:space="0"/>
              <w:left w:val="single" w:color="auto" w:sz="4" w:space="0"/>
              <w:bottom w:val="single" w:color="auto" w:sz="4" w:space="0"/>
              <w:right w:val="single" w:color="auto" w:sz="4" w:space="0"/>
            </w:tcBorders>
            <w:noWrap w:val="0"/>
            <w:vAlign w:val="top"/>
          </w:tcPr>
          <w:p>
            <w:pPr>
              <w:pageBreakBefore w:val="0"/>
              <w:widowControl/>
              <w:topLinePunct w:val="0"/>
              <w:bidi w:val="0"/>
              <w:outlineLvl w:val="9"/>
              <w:rPr>
                <w:rFonts w:hint="eastAsia" w:ascii="仿宋" w:hAnsi="仿宋" w:eastAsia="仿宋" w:cs="仿宋"/>
                <w:color w:val="000000"/>
                <w:kern w:val="0"/>
                <w:sz w:val="24"/>
              </w:rPr>
            </w:pPr>
            <w:r>
              <w:rPr>
                <w:rFonts w:hint="eastAsia" w:ascii="仿宋" w:hAnsi="仿宋" w:eastAsia="仿宋" w:cs="仿宋"/>
                <w:color w:val="000000"/>
                <w:kern w:val="0"/>
                <w:sz w:val="24"/>
              </w:rPr>
              <w:t>教务处意见：</w:t>
            </w:r>
          </w:p>
          <w:p>
            <w:pPr>
              <w:pageBreakBefore w:val="0"/>
              <w:widowControl/>
              <w:topLinePunct w:val="0"/>
              <w:bidi w:val="0"/>
              <w:outlineLvl w:val="9"/>
              <w:rPr>
                <w:rFonts w:hint="eastAsia" w:ascii="仿宋" w:hAnsi="仿宋" w:eastAsia="仿宋" w:cs="仿宋"/>
                <w:color w:val="000000"/>
                <w:kern w:val="0"/>
                <w:sz w:val="24"/>
              </w:rPr>
            </w:pPr>
          </w:p>
          <w:p>
            <w:pPr>
              <w:pageBreakBefore w:val="0"/>
              <w:widowControl/>
              <w:topLinePunct w:val="0"/>
              <w:bidi w:val="0"/>
              <w:ind w:right="960"/>
              <w:outlineLvl w:val="9"/>
              <w:rPr>
                <w:rFonts w:hint="eastAsia" w:ascii="仿宋" w:hAnsi="仿宋" w:eastAsia="仿宋" w:cs="仿宋"/>
                <w:color w:val="000000"/>
                <w:kern w:val="0"/>
                <w:sz w:val="24"/>
              </w:rPr>
            </w:pPr>
            <w:r>
              <w:rPr>
                <w:rFonts w:hint="eastAsia" w:ascii="仿宋" w:hAnsi="仿宋" w:eastAsia="仿宋" w:cs="仿宋"/>
                <w:color w:val="000000"/>
                <w:kern w:val="0"/>
                <w:sz w:val="24"/>
              </w:rPr>
              <w:t xml:space="preserve">                                                  </w:t>
            </w:r>
          </w:p>
          <w:p>
            <w:pPr>
              <w:pageBreakBefore w:val="0"/>
              <w:widowControl/>
              <w:topLinePunct w:val="0"/>
              <w:bidi w:val="0"/>
              <w:ind w:right="960"/>
              <w:jc w:val="center"/>
              <w:outlineLvl w:val="9"/>
              <w:rPr>
                <w:rFonts w:hint="eastAsia" w:ascii="仿宋" w:hAnsi="仿宋" w:eastAsia="仿宋" w:cs="仿宋"/>
                <w:color w:val="000000"/>
                <w:kern w:val="0"/>
                <w:sz w:val="24"/>
              </w:rPr>
            </w:pPr>
            <w:r>
              <w:rPr>
                <w:rFonts w:hint="eastAsia" w:ascii="仿宋" w:hAnsi="仿宋" w:eastAsia="仿宋" w:cs="仿宋"/>
                <w:color w:val="000000"/>
                <w:kern w:val="0"/>
                <w:sz w:val="24"/>
              </w:rPr>
              <w:t xml:space="preserve">                                                  </w:t>
            </w:r>
          </w:p>
          <w:p>
            <w:pPr>
              <w:pageBreakBefore w:val="0"/>
              <w:widowControl/>
              <w:topLinePunct w:val="0"/>
              <w:bidi w:val="0"/>
              <w:ind w:right="1920"/>
              <w:jc w:val="center"/>
              <w:outlineLvl w:val="9"/>
              <w:rPr>
                <w:rFonts w:hint="eastAsia" w:ascii="仿宋" w:hAnsi="仿宋" w:eastAsia="仿宋" w:cs="仿宋"/>
                <w:color w:val="000000"/>
                <w:kern w:val="0"/>
                <w:sz w:val="24"/>
              </w:rPr>
            </w:pPr>
            <w:r>
              <w:rPr>
                <w:rFonts w:hint="eastAsia" w:ascii="仿宋" w:hAnsi="仿宋" w:eastAsia="仿宋" w:cs="仿宋"/>
                <w:color w:val="000000"/>
                <w:kern w:val="0"/>
                <w:sz w:val="24"/>
              </w:rPr>
              <w:t xml:space="preserve">                                            部门负责人：</w:t>
            </w:r>
          </w:p>
          <w:p>
            <w:pPr>
              <w:pageBreakBefore w:val="0"/>
              <w:widowControl/>
              <w:topLinePunct w:val="0"/>
              <w:bidi w:val="0"/>
              <w:ind w:right="1920"/>
              <w:jc w:val="center"/>
              <w:outlineLvl w:val="9"/>
              <w:rPr>
                <w:rFonts w:hint="eastAsia" w:ascii="仿宋" w:hAnsi="仿宋" w:eastAsia="仿宋" w:cs="仿宋"/>
                <w:color w:val="000000"/>
                <w:kern w:val="0"/>
                <w:sz w:val="24"/>
              </w:rPr>
            </w:pPr>
            <w:r>
              <w:rPr>
                <w:rFonts w:hint="eastAsia" w:ascii="仿宋" w:hAnsi="仿宋" w:eastAsia="仿宋" w:cs="仿宋"/>
                <w:color w:val="000000"/>
                <w:kern w:val="0"/>
                <w:sz w:val="24"/>
              </w:rPr>
              <w:t xml:space="preserve">                                              教务处（盖章）：</w:t>
            </w:r>
          </w:p>
          <w:p>
            <w:pPr>
              <w:pageBreakBefore w:val="0"/>
              <w:widowControl/>
              <w:topLinePunct w:val="0"/>
              <w:bidi w:val="0"/>
              <w:outlineLvl w:val="9"/>
              <w:rPr>
                <w:rFonts w:hint="eastAsia" w:ascii="仿宋" w:hAnsi="仿宋" w:eastAsia="仿宋" w:cs="仿宋"/>
                <w:color w:val="000000"/>
                <w:kern w:val="0"/>
                <w:sz w:val="24"/>
              </w:rPr>
            </w:pPr>
            <w:r>
              <w:rPr>
                <w:rFonts w:hint="eastAsia" w:ascii="仿宋" w:hAnsi="仿宋" w:eastAsia="仿宋" w:cs="仿宋"/>
                <w:color w:val="000000"/>
                <w:kern w:val="0"/>
                <w:sz w:val="24"/>
              </w:rPr>
              <w:t xml:space="preserve">                                                             年    月    日</w:t>
            </w:r>
          </w:p>
        </w:tc>
      </w:tr>
    </w:tbl>
    <w:p>
      <w:pPr>
        <w:pageBreakBefore w:val="0"/>
        <w:topLinePunct w:val="0"/>
        <w:bidi w:val="0"/>
        <w:ind w:left="-850" w:leftChars="-405"/>
        <w:jc w:val="left"/>
        <w:outlineLvl w:val="9"/>
        <w:rPr>
          <w:rFonts w:hint="eastAsia" w:ascii="仿宋" w:hAnsi="仿宋" w:eastAsia="仿宋" w:cs="仿宋"/>
          <w:color w:val="000000"/>
        </w:rPr>
      </w:pPr>
      <w:r>
        <w:rPr>
          <w:rFonts w:hint="eastAsia" w:ascii="仿宋" w:hAnsi="仿宋" w:eastAsia="仿宋" w:cs="仿宋"/>
          <w:color w:val="000000"/>
        </w:rPr>
        <w:t>备注：</w:t>
      </w:r>
      <w:r>
        <w:rPr>
          <w:rFonts w:hint="eastAsia" w:ascii="仿宋" w:hAnsi="仿宋" w:eastAsia="仿宋" w:cs="仿宋"/>
          <w:color w:val="auto"/>
        </w:rPr>
        <w:t>“赛项级别”为全国一、二和上海一、二类。</w:t>
      </w:r>
      <w:r>
        <w:rPr>
          <w:rFonts w:hint="eastAsia" w:ascii="仿宋" w:hAnsi="仿宋" w:eastAsia="仿宋" w:cs="仿宋"/>
          <w:b/>
          <w:color w:val="000000"/>
          <w:sz w:val="24"/>
          <w:szCs w:val="28"/>
        </w:rPr>
        <w:t>附件3</w:t>
      </w:r>
    </w:p>
    <w:p>
      <w:pPr>
        <w:pageBreakBefore w:val="0"/>
        <w:topLinePunct w:val="0"/>
        <w:bidi w:val="0"/>
        <w:jc w:val="center"/>
        <w:outlineLvl w:val="9"/>
        <w:rPr>
          <w:rFonts w:hint="eastAsia" w:ascii="仿宋" w:hAnsi="仿宋" w:eastAsia="仿宋" w:cs="仿宋"/>
          <w:color w:val="000000"/>
          <w:sz w:val="36"/>
          <w:szCs w:val="36"/>
        </w:rPr>
        <w:sectPr>
          <w:pgSz w:w="11906" w:h="16838"/>
          <w:pgMar w:top="1440" w:right="1803" w:bottom="1440" w:left="1803" w:header="851" w:footer="992" w:gutter="0"/>
          <w:pgNumType w:fmt="decimal"/>
          <w:cols w:space="425" w:num="1"/>
          <w:docGrid w:type="lines" w:linePitch="312" w:charSpace="0"/>
        </w:sectPr>
      </w:pPr>
    </w:p>
    <w:p>
      <w:pPr>
        <w:pageBreakBefore w:val="0"/>
        <w:topLinePunct w:val="0"/>
        <w:bidi w:val="0"/>
        <w:jc w:val="center"/>
        <w:outlineLvl w:val="9"/>
        <w:rPr>
          <w:rFonts w:hint="eastAsia" w:ascii="仿宋" w:hAnsi="仿宋" w:eastAsia="仿宋" w:cs="仿宋"/>
          <w:color w:val="000000"/>
          <w:sz w:val="36"/>
          <w:szCs w:val="36"/>
        </w:rPr>
      </w:pPr>
      <w:r>
        <w:rPr>
          <w:rFonts w:hint="eastAsia" w:ascii="仿宋" w:hAnsi="仿宋" w:eastAsia="仿宋" w:cs="仿宋"/>
          <w:color w:val="000000"/>
          <w:sz w:val="36"/>
          <w:szCs w:val="36"/>
        </w:rPr>
        <w:t>上海电子信息职业技术学院</w:t>
      </w:r>
    </w:p>
    <w:p>
      <w:pPr>
        <w:pageBreakBefore w:val="0"/>
        <w:topLinePunct w:val="0"/>
        <w:bidi w:val="0"/>
        <w:jc w:val="center"/>
        <w:outlineLvl w:val="9"/>
        <w:rPr>
          <w:rFonts w:hint="eastAsia" w:ascii="仿宋" w:hAnsi="仿宋" w:eastAsia="仿宋" w:cs="仿宋"/>
          <w:color w:val="000000"/>
        </w:rPr>
      </w:pPr>
      <w:r>
        <w:rPr>
          <w:rFonts w:hint="eastAsia" w:ascii="仿宋" w:hAnsi="仿宋" w:eastAsia="仿宋" w:cs="仿宋"/>
          <w:b/>
          <w:color w:val="000000"/>
          <w:sz w:val="36"/>
          <w:szCs w:val="36"/>
        </w:rPr>
        <w:t>参赛选手个人信息表</w:t>
      </w:r>
    </w:p>
    <w:tbl>
      <w:tblPr>
        <w:tblStyle w:val="37"/>
        <w:tblW w:w="15664" w:type="dxa"/>
        <w:tblInd w:w="-1025" w:type="dxa"/>
        <w:tblLayout w:type="fixed"/>
        <w:tblCellMar>
          <w:top w:w="0" w:type="dxa"/>
          <w:left w:w="108" w:type="dxa"/>
          <w:bottom w:w="0" w:type="dxa"/>
          <w:right w:w="108" w:type="dxa"/>
        </w:tblCellMar>
      </w:tblPr>
      <w:tblGrid>
        <w:gridCol w:w="1133"/>
        <w:gridCol w:w="1560"/>
        <w:gridCol w:w="1701"/>
        <w:gridCol w:w="708"/>
        <w:gridCol w:w="709"/>
        <w:gridCol w:w="2849"/>
        <w:gridCol w:w="837"/>
        <w:gridCol w:w="2268"/>
        <w:gridCol w:w="1339"/>
        <w:gridCol w:w="1170"/>
        <w:gridCol w:w="1390"/>
      </w:tblGrid>
      <w:tr>
        <w:tblPrEx>
          <w:tblCellMar>
            <w:top w:w="0" w:type="dxa"/>
            <w:left w:w="108" w:type="dxa"/>
            <w:bottom w:w="0" w:type="dxa"/>
            <w:right w:w="108" w:type="dxa"/>
          </w:tblCellMar>
        </w:tblPrEx>
        <w:trPr>
          <w:trHeight w:val="480" w:hRule="atLeast"/>
        </w:trPr>
        <w:tc>
          <w:tcPr>
            <w:tcW w:w="1133" w:type="dxa"/>
            <w:tcBorders>
              <w:top w:val="single" w:color="auto" w:sz="8" w:space="0"/>
              <w:left w:val="single" w:color="auto" w:sz="8" w:space="0"/>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b/>
                <w:color w:val="auto"/>
                <w:kern w:val="0"/>
                <w:sz w:val="24"/>
              </w:rPr>
            </w:pPr>
            <w:r>
              <w:rPr>
                <w:rFonts w:hint="eastAsia" w:ascii="仿宋" w:hAnsi="仿宋" w:eastAsia="仿宋" w:cs="仿宋"/>
                <w:b/>
                <w:color w:val="auto"/>
                <w:kern w:val="0"/>
                <w:sz w:val="24"/>
              </w:rPr>
              <w:t>学院</w:t>
            </w:r>
          </w:p>
        </w:tc>
        <w:tc>
          <w:tcPr>
            <w:tcW w:w="1560" w:type="dxa"/>
            <w:tcBorders>
              <w:top w:val="single" w:color="auto" w:sz="8"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b/>
                <w:color w:val="auto"/>
                <w:kern w:val="0"/>
                <w:sz w:val="24"/>
              </w:rPr>
            </w:pPr>
            <w:r>
              <w:rPr>
                <w:rFonts w:hint="eastAsia" w:ascii="仿宋" w:hAnsi="仿宋" w:eastAsia="仿宋" w:cs="仿宋"/>
                <w:b/>
                <w:color w:val="auto"/>
                <w:kern w:val="0"/>
                <w:sz w:val="24"/>
              </w:rPr>
              <w:t>专业</w:t>
            </w:r>
          </w:p>
        </w:tc>
        <w:tc>
          <w:tcPr>
            <w:tcW w:w="1701" w:type="dxa"/>
            <w:tcBorders>
              <w:top w:val="single" w:color="auto" w:sz="8"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b/>
                <w:color w:val="auto"/>
                <w:kern w:val="0"/>
                <w:sz w:val="24"/>
              </w:rPr>
            </w:pPr>
            <w:r>
              <w:rPr>
                <w:rFonts w:hint="eastAsia" w:ascii="仿宋" w:hAnsi="仿宋" w:eastAsia="仿宋" w:cs="仿宋"/>
                <w:b/>
                <w:color w:val="auto"/>
                <w:kern w:val="0"/>
                <w:sz w:val="24"/>
              </w:rPr>
              <w:t>学号</w:t>
            </w:r>
          </w:p>
        </w:tc>
        <w:tc>
          <w:tcPr>
            <w:tcW w:w="708" w:type="dxa"/>
            <w:tcBorders>
              <w:top w:val="single" w:color="auto" w:sz="8"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b/>
                <w:color w:val="auto"/>
                <w:kern w:val="0"/>
                <w:sz w:val="24"/>
              </w:rPr>
            </w:pPr>
            <w:r>
              <w:rPr>
                <w:rFonts w:hint="eastAsia" w:ascii="仿宋" w:hAnsi="仿宋" w:eastAsia="仿宋" w:cs="仿宋"/>
                <w:b/>
                <w:color w:val="auto"/>
                <w:kern w:val="0"/>
                <w:sz w:val="24"/>
              </w:rPr>
              <w:t>姓名</w:t>
            </w:r>
          </w:p>
        </w:tc>
        <w:tc>
          <w:tcPr>
            <w:tcW w:w="709" w:type="dxa"/>
            <w:tcBorders>
              <w:top w:val="single" w:color="auto" w:sz="8"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b/>
                <w:color w:val="auto"/>
                <w:kern w:val="0"/>
                <w:sz w:val="24"/>
              </w:rPr>
            </w:pPr>
            <w:r>
              <w:rPr>
                <w:rFonts w:hint="eastAsia" w:ascii="仿宋" w:hAnsi="仿宋" w:eastAsia="仿宋" w:cs="仿宋"/>
                <w:b/>
                <w:color w:val="auto"/>
                <w:kern w:val="0"/>
                <w:sz w:val="24"/>
              </w:rPr>
              <w:t>性别</w:t>
            </w:r>
          </w:p>
        </w:tc>
        <w:tc>
          <w:tcPr>
            <w:tcW w:w="2849" w:type="dxa"/>
            <w:tcBorders>
              <w:top w:val="single" w:color="auto" w:sz="8"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b/>
                <w:color w:val="auto"/>
                <w:kern w:val="0"/>
                <w:sz w:val="24"/>
              </w:rPr>
            </w:pPr>
            <w:r>
              <w:rPr>
                <w:rFonts w:hint="eastAsia" w:ascii="仿宋" w:hAnsi="仿宋" w:eastAsia="仿宋" w:cs="仿宋"/>
                <w:b/>
                <w:color w:val="auto"/>
                <w:kern w:val="0"/>
                <w:sz w:val="24"/>
              </w:rPr>
              <w:t>身份证号</w:t>
            </w:r>
          </w:p>
        </w:tc>
        <w:tc>
          <w:tcPr>
            <w:tcW w:w="837" w:type="dxa"/>
            <w:tcBorders>
              <w:top w:val="single" w:color="auto" w:sz="8"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b/>
                <w:color w:val="auto"/>
                <w:kern w:val="0"/>
                <w:sz w:val="24"/>
              </w:rPr>
            </w:pPr>
            <w:r>
              <w:rPr>
                <w:rFonts w:hint="eastAsia" w:ascii="仿宋" w:hAnsi="仿宋" w:eastAsia="仿宋" w:cs="仿宋"/>
                <w:b/>
                <w:color w:val="auto"/>
                <w:kern w:val="0"/>
                <w:sz w:val="24"/>
              </w:rPr>
              <w:t>赛项级别</w:t>
            </w:r>
          </w:p>
        </w:tc>
        <w:tc>
          <w:tcPr>
            <w:tcW w:w="2268" w:type="dxa"/>
            <w:tcBorders>
              <w:top w:val="single" w:color="auto" w:sz="8"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b/>
                <w:color w:val="auto"/>
                <w:kern w:val="0"/>
                <w:sz w:val="24"/>
              </w:rPr>
            </w:pPr>
            <w:r>
              <w:rPr>
                <w:rFonts w:hint="eastAsia" w:ascii="仿宋" w:hAnsi="仿宋" w:eastAsia="仿宋" w:cs="仿宋"/>
                <w:b/>
                <w:color w:val="auto"/>
                <w:kern w:val="0"/>
                <w:sz w:val="24"/>
              </w:rPr>
              <w:t>赛项名称</w:t>
            </w:r>
          </w:p>
        </w:tc>
        <w:tc>
          <w:tcPr>
            <w:tcW w:w="1339" w:type="dxa"/>
            <w:tcBorders>
              <w:top w:val="single" w:color="auto" w:sz="8"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b/>
                <w:color w:val="auto"/>
                <w:kern w:val="0"/>
                <w:sz w:val="24"/>
              </w:rPr>
            </w:pPr>
            <w:r>
              <w:rPr>
                <w:rFonts w:hint="eastAsia" w:ascii="仿宋" w:hAnsi="仿宋" w:eastAsia="仿宋" w:cs="仿宋"/>
                <w:b/>
                <w:color w:val="auto"/>
                <w:kern w:val="0"/>
                <w:sz w:val="24"/>
              </w:rPr>
              <w:t>选手联系电话</w:t>
            </w:r>
          </w:p>
        </w:tc>
        <w:tc>
          <w:tcPr>
            <w:tcW w:w="1170" w:type="dxa"/>
            <w:tcBorders>
              <w:top w:val="single" w:color="auto" w:sz="8"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b/>
                <w:color w:val="auto"/>
                <w:kern w:val="0"/>
                <w:sz w:val="24"/>
              </w:rPr>
            </w:pPr>
            <w:r>
              <w:rPr>
                <w:rFonts w:hint="eastAsia" w:ascii="仿宋" w:hAnsi="仿宋" w:eastAsia="仿宋" w:cs="仿宋"/>
                <w:b/>
                <w:color w:val="auto"/>
                <w:kern w:val="0"/>
                <w:sz w:val="24"/>
              </w:rPr>
              <w:t>指导教师姓名</w:t>
            </w:r>
          </w:p>
        </w:tc>
        <w:tc>
          <w:tcPr>
            <w:tcW w:w="1390" w:type="dxa"/>
            <w:tcBorders>
              <w:top w:val="single" w:color="auto" w:sz="8" w:space="0"/>
              <w:left w:val="nil"/>
              <w:bottom w:val="single" w:color="auto" w:sz="4" w:space="0"/>
              <w:right w:val="single" w:color="auto" w:sz="8" w:space="0"/>
            </w:tcBorders>
            <w:noWrap w:val="0"/>
            <w:vAlign w:val="center"/>
          </w:tcPr>
          <w:p>
            <w:pPr>
              <w:pageBreakBefore w:val="0"/>
              <w:widowControl/>
              <w:topLinePunct w:val="0"/>
              <w:bidi w:val="0"/>
              <w:jc w:val="center"/>
              <w:outlineLvl w:val="9"/>
              <w:rPr>
                <w:rFonts w:hint="eastAsia" w:ascii="仿宋" w:hAnsi="仿宋" w:eastAsia="仿宋" w:cs="仿宋"/>
                <w:b/>
                <w:color w:val="auto"/>
                <w:kern w:val="0"/>
                <w:sz w:val="24"/>
              </w:rPr>
            </w:pPr>
            <w:r>
              <w:rPr>
                <w:rFonts w:hint="eastAsia" w:ascii="仿宋" w:hAnsi="仿宋" w:eastAsia="仿宋" w:cs="仿宋"/>
                <w:b/>
                <w:color w:val="auto"/>
                <w:kern w:val="0"/>
                <w:sz w:val="24"/>
              </w:rPr>
              <w:t>指导教师联系电话</w:t>
            </w:r>
          </w:p>
        </w:tc>
      </w:tr>
      <w:tr>
        <w:tblPrEx>
          <w:tblCellMar>
            <w:top w:w="0" w:type="dxa"/>
            <w:left w:w="108" w:type="dxa"/>
            <w:bottom w:w="0" w:type="dxa"/>
            <w:right w:w="108" w:type="dxa"/>
          </w:tblCellMar>
        </w:tblPrEx>
        <w:trPr>
          <w:trHeight w:val="624" w:hRule="atLeast"/>
        </w:trPr>
        <w:tc>
          <w:tcPr>
            <w:tcW w:w="1133" w:type="dxa"/>
            <w:tcBorders>
              <w:top w:val="nil"/>
              <w:left w:val="single" w:color="auto" w:sz="8" w:space="0"/>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auto"/>
                <w:kern w:val="0"/>
                <w:sz w:val="22"/>
              </w:rPr>
            </w:pPr>
          </w:p>
        </w:tc>
        <w:tc>
          <w:tcPr>
            <w:tcW w:w="156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auto"/>
                <w:kern w:val="0"/>
                <w:sz w:val="22"/>
              </w:rPr>
            </w:pPr>
          </w:p>
        </w:tc>
        <w:tc>
          <w:tcPr>
            <w:tcW w:w="1701"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auto"/>
                <w:kern w:val="0"/>
                <w:sz w:val="22"/>
              </w:rPr>
            </w:pPr>
          </w:p>
        </w:tc>
        <w:tc>
          <w:tcPr>
            <w:tcW w:w="708"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auto"/>
                <w:kern w:val="0"/>
                <w:sz w:val="22"/>
              </w:rPr>
            </w:pPr>
          </w:p>
        </w:tc>
        <w:tc>
          <w:tcPr>
            <w:tcW w:w="70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auto"/>
                <w:kern w:val="0"/>
                <w:sz w:val="22"/>
              </w:rPr>
            </w:pPr>
          </w:p>
        </w:tc>
        <w:tc>
          <w:tcPr>
            <w:tcW w:w="284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auto"/>
                <w:kern w:val="0"/>
                <w:sz w:val="22"/>
              </w:rPr>
            </w:pPr>
          </w:p>
        </w:tc>
        <w:tc>
          <w:tcPr>
            <w:tcW w:w="8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auto"/>
                <w:kern w:val="0"/>
                <w:sz w:val="22"/>
              </w:rPr>
            </w:pPr>
          </w:p>
        </w:tc>
        <w:tc>
          <w:tcPr>
            <w:tcW w:w="2268"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auto"/>
                <w:kern w:val="0"/>
                <w:sz w:val="22"/>
              </w:rPr>
            </w:pPr>
          </w:p>
        </w:tc>
        <w:tc>
          <w:tcPr>
            <w:tcW w:w="133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auto"/>
                <w:kern w:val="0"/>
                <w:sz w:val="22"/>
              </w:rPr>
            </w:pPr>
          </w:p>
        </w:tc>
        <w:tc>
          <w:tcPr>
            <w:tcW w:w="117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auto"/>
                <w:kern w:val="0"/>
                <w:sz w:val="22"/>
              </w:rPr>
            </w:pPr>
          </w:p>
        </w:tc>
        <w:tc>
          <w:tcPr>
            <w:tcW w:w="1390" w:type="dxa"/>
            <w:tcBorders>
              <w:top w:val="nil"/>
              <w:left w:val="nil"/>
              <w:bottom w:val="single" w:color="auto" w:sz="4" w:space="0"/>
              <w:right w:val="single" w:color="auto" w:sz="8" w:space="0"/>
            </w:tcBorders>
            <w:noWrap w:val="0"/>
            <w:vAlign w:val="center"/>
          </w:tcPr>
          <w:p>
            <w:pPr>
              <w:pageBreakBefore w:val="0"/>
              <w:widowControl/>
              <w:topLinePunct w:val="0"/>
              <w:bidi w:val="0"/>
              <w:jc w:val="center"/>
              <w:outlineLvl w:val="9"/>
              <w:rPr>
                <w:rFonts w:hint="eastAsia" w:ascii="仿宋" w:hAnsi="仿宋" w:eastAsia="仿宋" w:cs="仿宋"/>
                <w:color w:val="auto"/>
                <w:kern w:val="0"/>
                <w:sz w:val="22"/>
              </w:rPr>
            </w:pPr>
          </w:p>
        </w:tc>
      </w:tr>
      <w:tr>
        <w:tblPrEx>
          <w:tblCellMar>
            <w:top w:w="0" w:type="dxa"/>
            <w:left w:w="108" w:type="dxa"/>
            <w:bottom w:w="0" w:type="dxa"/>
            <w:right w:w="108" w:type="dxa"/>
          </w:tblCellMar>
        </w:tblPrEx>
        <w:trPr>
          <w:trHeight w:val="561" w:hRule="atLeast"/>
        </w:trPr>
        <w:tc>
          <w:tcPr>
            <w:tcW w:w="1133" w:type="dxa"/>
            <w:tcBorders>
              <w:top w:val="nil"/>
              <w:left w:val="single" w:color="auto" w:sz="8" w:space="0"/>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56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701"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708"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70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284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8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2268"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33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17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390" w:type="dxa"/>
            <w:tcBorders>
              <w:top w:val="nil"/>
              <w:left w:val="nil"/>
              <w:bottom w:val="single" w:color="auto" w:sz="4" w:space="0"/>
              <w:right w:val="single" w:color="auto" w:sz="8"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r>
      <w:tr>
        <w:tblPrEx>
          <w:tblCellMar>
            <w:top w:w="0" w:type="dxa"/>
            <w:left w:w="108" w:type="dxa"/>
            <w:bottom w:w="0" w:type="dxa"/>
            <w:right w:w="108" w:type="dxa"/>
          </w:tblCellMar>
        </w:tblPrEx>
        <w:trPr>
          <w:trHeight w:val="556" w:hRule="atLeast"/>
        </w:trPr>
        <w:tc>
          <w:tcPr>
            <w:tcW w:w="1133" w:type="dxa"/>
            <w:tcBorders>
              <w:top w:val="nil"/>
              <w:left w:val="single" w:color="auto" w:sz="8" w:space="0"/>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56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701"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708"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70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284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8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2268"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33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17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390" w:type="dxa"/>
            <w:tcBorders>
              <w:top w:val="nil"/>
              <w:left w:val="nil"/>
              <w:bottom w:val="single" w:color="auto" w:sz="4" w:space="0"/>
              <w:right w:val="single" w:color="auto" w:sz="8"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r>
      <w:tr>
        <w:tblPrEx>
          <w:tblCellMar>
            <w:top w:w="0" w:type="dxa"/>
            <w:left w:w="108" w:type="dxa"/>
            <w:bottom w:w="0" w:type="dxa"/>
            <w:right w:w="108" w:type="dxa"/>
          </w:tblCellMar>
        </w:tblPrEx>
        <w:trPr>
          <w:trHeight w:val="550" w:hRule="atLeast"/>
        </w:trPr>
        <w:tc>
          <w:tcPr>
            <w:tcW w:w="1133" w:type="dxa"/>
            <w:tcBorders>
              <w:top w:val="nil"/>
              <w:left w:val="single" w:color="auto" w:sz="8" w:space="0"/>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56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701"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708"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70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284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8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2268"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33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17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390" w:type="dxa"/>
            <w:tcBorders>
              <w:top w:val="nil"/>
              <w:left w:val="nil"/>
              <w:bottom w:val="single" w:color="auto" w:sz="4" w:space="0"/>
              <w:right w:val="single" w:color="auto" w:sz="8"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r>
      <w:tr>
        <w:tblPrEx>
          <w:tblCellMar>
            <w:top w:w="0" w:type="dxa"/>
            <w:left w:w="108" w:type="dxa"/>
            <w:bottom w:w="0" w:type="dxa"/>
            <w:right w:w="108" w:type="dxa"/>
          </w:tblCellMar>
        </w:tblPrEx>
        <w:trPr>
          <w:trHeight w:val="558" w:hRule="atLeast"/>
        </w:trPr>
        <w:tc>
          <w:tcPr>
            <w:tcW w:w="1133" w:type="dxa"/>
            <w:tcBorders>
              <w:top w:val="nil"/>
              <w:left w:val="single" w:color="auto" w:sz="8" w:space="0"/>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56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701"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708"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70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284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8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2268"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33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17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390" w:type="dxa"/>
            <w:tcBorders>
              <w:top w:val="nil"/>
              <w:left w:val="nil"/>
              <w:bottom w:val="single" w:color="auto" w:sz="4" w:space="0"/>
              <w:right w:val="single" w:color="auto" w:sz="8"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r>
      <w:tr>
        <w:tblPrEx>
          <w:tblCellMar>
            <w:top w:w="0" w:type="dxa"/>
            <w:left w:w="108" w:type="dxa"/>
            <w:bottom w:w="0" w:type="dxa"/>
            <w:right w:w="108" w:type="dxa"/>
          </w:tblCellMar>
        </w:tblPrEx>
        <w:trPr>
          <w:trHeight w:val="565" w:hRule="atLeast"/>
        </w:trPr>
        <w:tc>
          <w:tcPr>
            <w:tcW w:w="1133" w:type="dxa"/>
            <w:tcBorders>
              <w:top w:val="nil"/>
              <w:left w:val="single" w:color="auto" w:sz="8" w:space="0"/>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56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701"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708"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70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284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8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2268"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33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17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390" w:type="dxa"/>
            <w:tcBorders>
              <w:top w:val="nil"/>
              <w:left w:val="nil"/>
              <w:bottom w:val="single" w:color="auto" w:sz="4" w:space="0"/>
              <w:right w:val="single" w:color="auto" w:sz="8"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r>
      <w:tr>
        <w:tblPrEx>
          <w:tblCellMar>
            <w:top w:w="0" w:type="dxa"/>
            <w:left w:w="108" w:type="dxa"/>
            <w:bottom w:w="0" w:type="dxa"/>
            <w:right w:w="108" w:type="dxa"/>
          </w:tblCellMar>
        </w:tblPrEx>
        <w:trPr>
          <w:trHeight w:val="546" w:hRule="atLeast"/>
        </w:trPr>
        <w:tc>
          <w:tcPr>
            <w:tcW w:w="1133" w:type="dxa"/>
            <w:tcBorders>
              <w:top w:val="nil"/>
              <w:left w:val="single" w:color="auto" w:sz="8" w:space="0"/>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56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701"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708"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70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284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8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2268"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33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17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390" w:type="dxa"/>
            <w:tcBorders>
              <w:top w:val="nil"/>
              <w:left w:val="nil"/>
              <w:bottom w:val="single" w:color="auto" w:sz="4" w:space="0"/>
              <w:right w:val="single" w:color="auto" w:sz="8"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r>
      <w:tr>
        <w:tblPrEx>
          <w:tblCellMar>
            <w:top w:w="0" w:type="dxa"/>
            <w:left w:w="108" w:type="dxa"/>
            <w:bottom w:w="0" w:type="dxa"/>
            <w:right w:w="108" w:type="dxa"/>
          </w:tblCellMar>
        </w:tblPrEx>
        <w:trPr>
          <w:trHeight w:val="554" w:hRule="atLeast"/>
        </w:trPr>
        <w:tc>
          <w:tcPr>
            <w:tcW w:w="1133" w:type="dxa"/>
            <w:tcBorders>
              <w:top w:val="nil"/>
              <w:left w:val="single" w:color="auto" w:sz="8" w:space="0"/>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56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701"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708"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70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284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837"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2268"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339"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17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c>
          <w:tcPr>
            <w:tcW w:w="1390" w:type="dxa"/>
            <w:tcBorders>
              <w:top w:val="nil"/>
              <w:left w:val="nil"/>
              <w:bottom w:val="single" w:color="auto" w:sz="4" w:space="0"/>
              <w:right w:val="single" w:color="auto" w:sz="8" w:space="0"/>
            </w:tcBorders>
            <w:noWrap w:val="0"/>
            <w:vAlign w:val="center"/>
          </w:tcPr>
          <w:p>
            <w:pPr>
              <w:pageBreakBefore w:val="0"/>
              <w:widowControl/>
              <w:topLinePunct w:val="0"/>
              <w:bidi w:val="0"/>
              <w:jc w:val="center"/>
              <w:outlineLvl w:val="9"/>
              <w:rPr>
                <w:rFonts w:hint="eastAsia" w:ascii="仿宋" w:hAnsi="仿宋" w:eastAsia="仿宋" w:cs="仿宋"/>
                <w:color w:val="000000"/>
                <w:kern w:val="0"/>
                <w:sz w:val="22"/>
              </w:rPr>
            </w:pPr>
          </w:p>
        </w:tc>
      </w:tr>
    </w:tbl>
    <w:p>
      <w:pPr>
        <w:pageBreakBefore w:val="0"/>
        <w:topLinePunct w:val="0"/>
        <w:bidi w:val="0"/>
        <w:ind w:left="-850" w:leftChars="-405"/>
        <w:jc w:val="left"/>
        <w:outlineLvl w:val="9"/>
        <w:rPr>
          <w:rFonts w:hint="eastAsia" w:ascii="仿宋" w:hAnsi="仿宋" w:eastAsia="仿宋" w:cs="仿宋"/>
          <w:color w:val="auto"/>
        </w:rPr>
      </w:pPr>
      <w:r>
        <w:rPr>
          <w:rFonts w:hint="eastAsia" w:ascii="仿宋" w:hAnsi="仿宋" w:eastAsia="仿宋" w:cs="仿宋"/>
          <w:color w:val="000000"/>
        </w:rPr>
        <w:t>备注：</w:t>
      </w:r>
      <w:r>
        <w:rPr>
          <w:rFonts w:hint="eastAsia" w:ascii="仿宋" w:hAnsi="仿宋" w:eastAsia="仿宋" w:cs="仿宋"/>
          <w:color w:val="auto"/>
        </w:rPr>
        <w:t>“赛项级别”为全国一、二和上海一、二类。</w:t>
      </w:r>
    </w:p>
    <w:p>
      <w:pPr>
        <w:pageBreakBefore w:val="0"/>
        <w:topLinePunct w:val="0"/>
        <w:bidi w:val="0"/>
        <w:ind w:left="-850" w:leftChars="-405"/>
        <w:jc w:val="left"/>
        <w:outlineLvl w:val="9"/>
        <w:rPr>
          <w:rFonts w:hint="eastAsia" w:ascii="仿宋" w:hAnsi="仿宋" w:eastAsia="仿宋" w:cs="仿宋"/>
          <w:color w:val="000000"/>
        </w:rPr>
      </w:pPr>
    </w:p>
    <w:p>
      <w:pPr>
        <w:pageBreakBefore w:val="0"/>
        <w:topLinePunct w:val="0"/>
        <w:bidi w:val="0"/>
        <w:ind w:left="-850" w:leftChars="-405"/>
        <w:jc w:val="left"/>
        <w:outlineLvl w:val="9"/>
        <w:rPr>
          <w:rFonts w:hint="eastAsia" w:ascii="仿宋" w:hAnsi="仿宋" w:eastAsia="仿宋" w:cs="仿宋"/>
          <w:color w:val="000000"/>
        </w:rPr>
      </w:pPr>
    </w:p>
    <w:p>
      <w:pPr>
        <w:pageBreakBefore w:val="0"/>
        <w:topLinePunct w:val="0"/>
        <w:bidi w:val="0"/>
        <w:ind w:left="-850" w:leftChars="-405"/>
        <w:jc w:val="left"/>
        <w:outlineLvl w:val="9"/>
        <w:rPr>
          <w:rFonts w:hint="eastAsia" w:ascii="仿宋" w:hAnsi="仿宋" w:eastAsia="仿宋" w:cs="仿宋"/>
          <w:color w:val="000000"/>
        </w:rPr>
      </w:pPr>
    </w:p>
    <w:p>
      <w:pPr>
        <w:pageBreakBefore w:val="0"/>
        <w:topLinePunct w:val="0"/>
        <w:bidi w:val="0"/>
        <w:ind w:left="-850" w:leftChars="-405"/>
        <w:jc w:val="left"/>
        <w:outlineLvl w:val="9"/>
        <w:rPr>
          <w:rFonts w:hint="eastAsia" w:eastAsiaTheme="minorEastAsia"/>
          <w:lang w:eastAsia="zh-CN"/>
        </w:rPr>
      </w:pPr>
    </w:p>
    <w:p>
      <w:pPr>
        <w:pageBreakBefore w:val="0"/>
        <w:topLinePunct w:val="0"/>
        <w:bidi w:val="0"/>
        <w:ind w:left="-850" w:leftChars="-405"/>
        <w:jc w:val="left"/>
        <w:outlineLvl w:val="9"/>
        <w:rPr>
          <w:rFonts w:hint="eastAsia"/>
        </w:rPr>
        <w:sectPr>
          <w:pgSz w:w="16838" w:h="11906" w:orient="landscape"/>
          <w:pgMar w:top="1803" w:right="1440" w:bottom="1803" w:left="1440" w:header="851" w:footer="992" w:gutter="0"/>
          <w:pgNumType w:fmt="decimal"/>
          <w:cols w:space="425" w:num="1"/>
          <w:docGrid w:type="lines" w:linePitch="312" w:charSpace="0"/>
        </w:sectPr>
      </w:pPr>
    </w:p>
    <w:p>
      <w:pPr>
        <w:pageBreakBefore w:val="0"/>
        <w:topLinePunct w:val="0"/>
        <w:bidi w:val="0"/>
        <w:outlineLvl w:val="9"/>
        <w:rPr>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color w:val="FF0000"/>
          <w:sz w:val="24"/>
        </w:rPr>
      </w:pPr>
    </w:p>
    <w:p>
      <w:pPr>
        <w:pageBreakBefore w:val="0"/>
        <w:topLinePunct w:val="0"/>
        <w:bidi w:val="0"/>
        <w:jc w:val="center"/>
        <w:outlineLvl w:val="9"/>
        <w:rPr>
          <w:sz w:val="24"/>
        </w:rPr>
      </w:pPr>
    </w:p>
    <w:p>
      <w:pPr>
        <w:pageBreakBefore w:val="0"/>
        <w:topLinePunct w:val="0"/>
        <w:bidi w:val="0"/>
        <w:spacing w:before="156" w:beforeLines="50"/>
        <w:ind w:left="-735" w:leftChars="-350"/>
        <w:jc w:val="center"/>
        <w:outlineLvl w:val="9"/>
        <w:rPr>
          <w:rFonts w:eastAsia="仿宋_GB2312"/>
          <w:sz w:val="32"/>
          <w:szCs w:val="32"/>
        </w:rPr>
      </w:pPr>
      <w:r>
        <w:rPr>
          <w:rFonts w:hint="eastAsia" w:eastAsia="仿宋_GB2312"/>
          <w:color w:val="000000"/>
          <w:kern w:val="0"/>
          <w:sz w:val="32"/>
          <w:szCs w:val="28"/>
          <w:lang w:val="en-US" w:eastAsia="zh-CN"/>
        </w:rPr>
        <w:t xml:space="preserve">  </w:t>
      </w: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eastAsia="仿宋_GB2312"/>
          <w:color w:val="000000"/>
          <w:kern w:val="0"/>
          <w:sz w:val="32"/>
          <w:szCs w:val="28"/>
        </w:rPr>
        <w:t>20</w:t>
      </w:r>
      <w:r>
        <w:rPr>
          <w:rFonts w:hint="eastAsia" w:eastAsia="仿宋_GB2312"/>
          <w:color w:val="000000"/>
          <w:kern w:val="0"/>
          <w:sz w:val="32"/>
          <w:szCs w:val="28"/>
        </w:rPr>
        <w:t>21</w:t>
      </w:r>
      <w:r>
        <w:rPr>
          <w:rFonts w:hint="eastAsia" w:ascii="仿宋_GB2312" w:eastAsia="仿宋_GB2312"/>
          <w:color w:val="000000"/>
          <w:kern w:val="0"/>
          <w:sz w:val="32"/>
          <w:szCs w:val="28"/>
        </w:rPr>
        <w:t>〕</w:t>
      </w:r>
      <w:r>
        <w:rPr>
          <w:rFonts w:hint="eastAsia" w:ascii="仿宋_GB2312" w:eastAsia="仿宋_GB2312"/>
          <w:color w:val="000000"/>
          <w:kern w:val="0"/>
          <w:sz w:val="32"/>
          <w:szCs w:val="28"/>
          <w:lang w:val="en-US" w:eastAsia="zh-CN"/>
        </w:rPr>
        <w:t>88</w:t>
      </w:r>
      <w:r>
        <w:rPr>
          <w:rFonts w:eastAsia="仿宋_GB2312"/>
          <w:color w:val="000000"/>
          <w:kern w:val="0"/>
          <w:sz w:val="32"/>
          <w:szCs w:val="28"/>
        </w:rPr>
        <w:t>号</w:t>
      </w:r>
    </w:p>
    <w:p>
      <w:pPr>
        <w:pageBreakBefore w:val="0"/>
        <w:topLinePunct w:val="0"/>
        <w:bidi w:val="0"/>
        <w:outlineLvl w:val="9"/>
        <w:rPr>
          <w:rFonts w:ascii="华文中宋" w:hAnsi="华文中宋" w:eastAsia="华文中宋"/>
          <w:b/>
          <w:sz w:val="36"/>
          <w:szCs w:val="36"/>
        </w:rPr>
      </w:pPr>
      <w:r>
        <w:rPr>
          <w:rFonts w:eastAsia="仿宋_GB2312"/>
          <w:color w:val="FF0000"/>
          <w:sz w:val="36"/>
          <w:szCs w:val="36"/>
          <w:u w:val="thick"/>
        </w:rPr>
        <w:t xml:space="preserve">                                              </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0"/>
        <w:rPr>
          <w:rFonts w:hint="eastAsia" w:ascii="黑体" w:hAnsi="黑体" w:eastAsia="黑体" w:cs="黑体"/>
          <w:b/>
          <w:sz w:val="36"/>
          <w:szCs w:val="36"/>
        </w:rPr>
      </w:pPr>
      <w:bookmarkStart w:id="362" w:name="_Toc9586"/>
      <w:r>
        <w:rPr>
          <w:rFonts w:hint="eastAsia" w:ascii="黑体" w:hAnsi="黑体" w:eastAsia="黑体" w:cs="黑体"/>
          <w:b/>
          <w:sz w:val="36"/>
          <w:szCs w:val="36"/>
        </w:rPr>
        <w:t>关于印发《上海电子信息职业技术学院五年一贯制学生学籍管理规定》的通知</w:t>
      </w:r>
      <w:bookmarkEnd w:id="362"/>
    </w:p>
    <w:p>
      <w:pPr>
        <w:pageBreakBefore w:val="0"/>
        <w:topLinePunct w:val="0"/>
        <w:bidi w:val="0"/>
        <w:spacing w:line="336" w:lineRule="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各教学单位、职能部门：</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现将《上海电子信息职业技术学院五年一贯制学生学籍管理规定》发给你们，请结合本部门工作实际，认真研究执行。</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附件：上海电子信息职业技术学院五年一贯制学生学籍管理规定</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p>
    <w:p>
      <w:pPr>
        <w:pageBreakBefore w:val="0"/>
        <w:topLinePunct w:val="0"/>
        <w:bidi w:val="0"/>
        <w:spacing w:line="336" w:lineRule="auto"/>
        <w:ind w:firstLine="4480" w:firstLineChars="16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 xml:space="preserve">上海电子信息职业技术学院 </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 xml:space="preserve">                     </w:t>
      </w:r>
      <w:r>
        <w:rPr>
          <w:rFonts w:hint="eastAsia" w:ascii="仿宋_GB2312" w:hAnsi="TTEditFont" w:eastAsia="仿宋_GB2312" w:cs="仿宋_GB2312"/>
          <w:color w:val="000000"/>
          <w:sz w:val="28"/>
          <w:szCs w:val="30"/>
          <w:lang w:val="en-US" w:eastAsia="zh-CN"/>
        </w:rPr>
        <w:t xml:space="preserve">            </w:t>
      </w:r>
      <w:r>
        <w:rPr>
          <w:rFonts w:hint="eastAsia" w:ascii="仿宋_GB2312" w:hAnsi="TTEditFont" w:eastAsia="仿宋_GB2312" w:cs="仿宋_GB2312"/>
          <w:color w:val="000000"/>
          <w:sz w:val="28"/>
          <w:szCs w:val="30"/>
          <w:lang w:eastAsia="zh-CN"/>
        </w:rPr>
        <w:t>2021年 8月</w:t>
      </w:r>
      <w:r>
        <w:rPr>
          <w:rFonts w:hint="eastAsia" w:ascii="仿宋_GB2312" w:hAnsi="TTEditFont" w:eastAsia="仿宋_GB2312" w:cs="仿宋_GB2312"/>
          <w:color w:val="000000"/>
          <w:sz w:val="28"/>
          <w:szCs w:val="30"/>
          <w:lang w:val="en-US" w:eastAsia="zh-CN"/>
        </w:rPr>
        <w:t>12</w:t>
      </w:r>
      <w:r>
        <w:rPr>
          <w:rFonts w:hint="eastAsia" w:ascii="仿宋_GB2312" w:hAnsi="TTEditFont" w:eastAsia="仿宋_GB2312" w:cs="仿宋_GB2312"/>
          <w:color w:val="000000"/>
          <w:sz w:val="28"/>
          <w:szCs w:val="30"/>
          <w:lang w:eastAsia="zh-CN"/>
        </w:rPr>
        <w:t>日</w:t>
      </w:r>
    </w:p>
    <w:p>
      <w:pPr>
        <w:pageBreakBefore w:val="0"/>
        <w:widowControl/>
        <w:topLinePunct w:val="0"/>
        <w:bidi w:val="0"/>
        <w:adjustRightInd w:val="0"/>
        <w:snapToGrid w:val="0"/>
        <w:spacing w:line="520" w:lineRule="exact"/>
        <w:outlineLvl w:val="9"/>
        <w:rPr>
          <w:rFonts w:hint="eastAsia" w:eastAsia="华文中宋"/>
          <w:b/>
          <w:sz w:val="24"/>
        </w:rPr>
      </w:pPr>
    </w:p>
    <w:p>
      <w:pPr>
        <w:pageBreakBefore w:val="0"/>
        <w:widowControl/>
        <w:topLinePunct w:val="0"/>
        <w:bidi w:val="0"/>
        <w:adjustRightInd w:val="0"/>
        <w:snapToGrid w:val="0"/>
        <w:spacing w:line="520" w:lineRule="exact"/>
        <w:outlineLvl w:val="9"/>
        <w:rPr>
          <w:rFonts w:hint="eastAsia" w:eastAsia="华文中宋"/>
          <w:b/>
          <w:sz w:val="24"/>
        </w:rPr>
      </w:pPr>
    </w:p>
    <w:p>
      <w:pPr>
        <w:pageBreakBefore w:val="0"/>
        <w:topLinePunct w:val="0"/>
        <w:bidi w:val="0"/>
        <w:spacing w:line="336" w:lineRule="auto"/>
        <w:jc w:val="left"/>
        <w:outlineLvl w:val="9"/>
        <w:rPr>
          <w:rFonts w:hint="eastAsia" w:ascii="仿宋_GB2312" w:hAnsi="TTEditFont" w:eastAsia="仿宋_GB2312" w:cs="仿宋_GB2312"/>
          <w:color w:val="000000"/>
          <w:sz w:val="28"/>
          <w:szCs w:val="30"/>
          <w:lang w:eastAsia="zh-CN"/>
        </w:rPr>
      </w:pPr>
    </w:p>
    <w:p>
      <w:pPr>
        <w:pageBreakBefore w:val="0"/>
        <w:topLinePunct w:val="0"/>
        <w:bidi w:val="0"/>
        <w:spacing w:line="336" w:lineRule="auto"/>
        <w:jc w:val="left"/>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附件：</w:t>
      </w:r>
    </w:p>
    <w:p>
      <w:pPr>
        <w:pageBreakBefore w:val="0"/>
        <w:widowControl/>
        <w:topLinePunct w:val="0"/>
        <w:bidi w:val="0"/>
        <w:adjustRightInd w:val="0"/>
        <w:snapToGrid w:val="0"/>
        <w:spacing w:line="520" w:lineRule="exact"/>
        <w:jc w:val="center"/>
        <w:outlineLvl w:val="9"/>
        <w:rPr>
          <w:rFonts w:hint="eastAsia" w:ascii="黑体" w:hAnsi="黑体" w:eastAsia="黑体" w:cs="黑体"/>
          <w:b/>
          <w:sz w:val="36"/>
          <w:szCs w:val="36"/>
        </w:rPr>
      </w:pPr>
      <w:r>
        <w:rPr>
          <w:rFonts w:hint="eastAsia" w:ascii="黑体" w:hAnsi="黑体" w:eastAsia="黑体" w:cs="黑体"/>
          <w:b/>
          <w:sz w:val="36"/>
          <w:szCs w:val="36"/>
        </w:rPr>
        <w:t>上海电子信息职业技术学院</w:t>
      </w:r>
    </w:p>
    <w:p>
      <w:pPr>
        <w:pageBreakBefore w:val="0"/>
        <w:widowControl/>
        <w:topLinePunct w:val="0"/>
        <w:bidi w:val="0"/>
        <w:adjustRightInd w:val="0"/>
        <w:snapToGrid w:val="0"/>
        <w:spacing w:line="520" w:lineRule="exact"/>
        <w:jc w:val="center"/>
        <w:outlineLvl w:val="9"/>
        <w:rPr>
          <w:rFonts w:hint="eastAsia" w:ascii="黑体" w:hAnsi="黑体" w:eastAsia="黑体" w:cs="黑体"/>
          <w:b/>
          <w:bCs/>
          <w:kern w:val="0"/>
          <w:sz w:val="36"/>
          <w:szCs w:val="36"/>
        </w:rPr>
      </w:pPr>
      <w:r>
        <w:rPr>
          <w:rFonts w:hint="eastAsia" w:ascii="黑体" w:hAnsi="黑体" w:eastAsia="黑体" w:cs="黑体"/>
          <w:b/>
          <w:sz w:val="36"/>
          <w:szCs w:val="36"/>
        </w:rPr>
        <w:t>五年一贯制学生学籍管理规定</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一、总则</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为了全面贯彻国家教育方针，维护学校正常的教育教学秩序，保障学生合法权益，培养社会主义现代化建设需要的高素质技术技能人才，积极推进素质教育，注重能力培养，充分调动和发挥学生自主学习的积极性，使学生在德、智、体、美、劳等方面得到全面发展。根据教育部颁布的《普通高等学校学生管理规定》（教育部令第41号）和《上海市中等职业学校学生学籍管理实施办法》（沪教委规〔2018〕2号），特制订本规定。</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二、入学与注册</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新生的录取必须符合国家有关招生规定、并经上海市教育委员会审核批准。录取的新生必须持录取通知书、身份证等有效证件，在学校规定的报到时间里到校办理入学手续。因故不能按期入学的，应在学校规定的报到时间内向学校提出书面请假申请，请假时间一般不得超过两周。未按时请假或请假期限届满未报到的，除因不可抗力等正当事由以外，视为放弃入学资格。</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学校在报到时对新生入学资格进行初步审查，审查内容包括录取材料查验、身份查验、图像采集等。审查合格的办理入学手续，予以注册学籍；审查发现新生的录取通知书、考生信息等证明材料与本人实际情况不符，或者有其他违反国家招生考试规定情形的，取消入学资格。</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新生可以申请保留入学资格，保留入学资格期间不具有学籍。对患有疾病的新生，经二级甲等以上医院诊断不宜在学校学习的，可以申请保留入学资格一年。在保留入学资格期内经治疗康复，可以向学校申请入学，由二级甲等以上医院诊断，符合体检要求，经学校复查合格后，办理入学手续。逾期不办理入学手续且未有因不可抗力延迟等正当理由的，视为放弃入学资格。</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4．学校在新生报到入学三个月内按照国家招生规定进行复查，复查内容主要包括以下方面：</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（1）录取手续及程序等是否合乎国家招生规定；</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（2）所获得的录取资格是否真实、合乎相关规定；</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（3）本人及身份证明与录取通知、考生档案等是否一致；</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 身心健康状况是否符合报考专业或者专业类别体检要求，能否保证在校正常学习、生活；</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（5）艺术、体育等特殊类型录取学生的专业水平是否符合录取要求。</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复查中发现学生存在弄虚作假、徇私舞弊等情形的，确定为复查不合格，学校将取消该生学籍；情节严重的，移交有关部门调查处理。</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复查中发现学生身心状况不适宜在校学习，经二级甲等以上医院诊断需要在家休养的，可按照第3条规定办理保留入学资格。</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每学期开学时，学生须按学校规定在开学三周内办理注册手续。不能如期注册者，应当履行暂缓注册手续。注册、暂缓注册按照学校《学生注册管理办法》要求办理。未按学校规定缴纳学费或者有其他不符合注册条件的，不予注册。</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家庭经济困难的学生可以申请助学贷款或者其他形式资助，办妥有关手续后办理注册。</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6．凡取得我校学籍的学生，在籍期间不得报考国内外其他普通高等院校。</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三、学籍档案</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7．新生入学后，学校为学生建立学籍档案，主要包括：报名录取档案材料、学籍卡、奖惩记载、学生成绩总表、毕业生登记表等。学生学籍档案由学校指定专人管理，按有关规定使用与转移。</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8．学生毕业、结业、退学或注销学籍后，学籍卡由学校归档、保存。</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9．学生在校期间个人身份信息修改的，需向学校提交由公安机关出具的相关身份信息变更证明等材料，经学校和上海市教育委员会审核后变更其有关信息。</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10．新生按入学时的录取专业确定学号；学号一经排定，不作更改。</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四、学制与学分</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11．基本学制为五年。</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12．学生在校最长学习年限一般不得超过八年。</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13．专业人才培养方案规定修读的学分一般不得少于280学分,课程学分原则上为16-18课时1学分，集中实践性性环节课程30课时1学分。</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五、课程考核与成绩记载</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14．各专业课程主要由公共基础必修课、专业必修课（以下简称“必修”），公共通识和公共艺术选修课、专业选修课（以下简称“选修”）等构成。学生应修读所在专业开设的所有课程，并按要求参加考核，考核成绩载入学生成绩总表，归入学生本人学籍档案。</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15．课程考核分为考试和考查两种，课程考核方式由各二级学院根据课程特点加以确定，并在人才培养方案中注明。成绩考核包括学业和德育两个方面，其中德育方面主要指对学生的思想品德、组织纪律、行为规范等方面进行考察评定，一般建议考试课程平时成绩占40%，期末成绩占60%；考查课程平时成绩占60%，期末成绩占40%；顶岗实习过程成绩占80%，答辩成绩占20%。</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16.凡缺考或考试作弊者，不得参加补考，学生必须复读该课程，并在成绩单的相应位置录入“旷缺”或“作弊”字样。</w:t>
      </w:r>
    </w:p>
    <w:p>
      <w:pPr>
        <w:pageBreakBefore w:val="0"/>
        <w:topLinePunct w:val="0"/>
        <w:bidi w:val="0"/>
        <w:spacing w:line="336" w:lineRule="auto"/>
        <w:ind w:firstLine="560" w:firstLineChars="200"/>
        <w:outlineLvl w:val="9"/>
        <w:rPr>
          <w:rFonts w:ascii="宋体" w:hAnsi="宋体"/>
          <w:color w:val="000000"/>
          <w:kern w:val="0"/>
          <w:sz w:val="24"/>
        </w:rPr>
      </w:pPr>
      <w:r>
        <w:rPr>
          <w:rFonts w:hint="eastAsia" w:ascii="仿宋_GB2312" w:hAnsi="TTEditFont" w:eastAsia="仿宋_GB2312" w:cs="仿宋_GB2312"/>
          <w:color w:val="000000"/>
          <w:sz w:val="28"/>
          <w:szCs w:val="30"/>
          <w:lang w:eastAsia="zh-CN"/>
        </w:rPr>
        <w:t>17．成绩包括获取方式和分值两部分：获取方式指正考、补考、复读等；分值指具体分数值，以百分制记。不同的成绩分值对应不同的绩点（考核成绩分值60分，对应成绩绩点为1.0，以后每增加1分对应增加0.1个绩点），对应关系如下：</w:t>
      </w:r>
    </w:p>
    <w:tbl>
      <w:tblPr>
        <w:tblStyle w:val="37"/>
        <w:tblW w:w="6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9"/>
        <w:gridCol w:w="3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199" w:type="dxa"/>
            <w:noWrap w:val="0"/>
            <w:vAlign w:val="center"/>
          </w:tcPr>
          <w:p>
            <w:pPr>
              <w:pageBreakBefore w:val="0"/>
              <w:topLinePunct w:val="0"/>
              <w:autoSpaceDE w:val="0"/>
              <w:autoSpaceDN w:val="0"/>
              <w:bidi w:val="0"/>
              <w:ind w:firstLine="200"/>
              <w:jc w:val="center"/>
              <w:outlineLvl w:val="9"/>
              <w:rPr>
                <w:rFonts w:ascii="宋体" w:hAnsi="宋体"/>
                <w:color w:val="000000"/>
                <w:kern w:val="0"/>
                <w:sz w:val="24"/>
              </w:rPr>
            </w:pPr>
            <w:r>
              <w:rPr>
                <w:rFonts w:hint="eastAsia" w:ascii="宋体" w:hAnsi="宋体"/>
                <w:color w:val="000000"/>
                <w:kern w:val="0"/>
                <w:sz w:val="24"/>
              </w:rPr>
              <w:t>成绩分值</w:t>
            </w:r>
          </w:p>
        </w:tc>
        <w:tc>
          <w:tcPr>
            <w:tcW w:w="3201" w:type="dxa"/>
            <w:noWrap w:val="0"/>
            <w:vAlign w:val="center"/>
          </w:tcPr>
          <w:p>
            <w:pPr>
              <w:pageBreakBefore w:val="0"/>
              <w:topLinePunct w:val="0"/>
              <w:autoSpaceDE w:val="0"/>
              <w:autoSpaceDN w:val="0"/>
              <w:bidi w:val="0"/>
              <w:ind w:firstLine="200"/>
              <w:jc w:val="center"/>
              <w:outlineLvl w:val="9"/>
              <w:rPr>
                <w:rFonts w:ascii="宋体" w:hAnsi="宋体"/>
                <w:color w:val="000000"/>
                <w:kern w:val="0"/>
                <w:sz w:val="24"/>
              </w:rPr>
            </w:pPr>
            <w:r>
              <w:rPr>
                <w:rFonts w:hint="eastAsia" w:ascii="宋体" w:hAnsi="宋体"/>
                <w:color w:val="000000"/>
                <w:kern w:val="0"/>
                <w:sz w:val="24"/>
              </w:rPr>
              <w:t>绩点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199" w:type="dxa"/>
            <w:noWrap w:val="0"/>
            <w:vAlign w:val="center"/>
          </w:tcPr>
          <w:p>
            <w:pPr>
              <w:pageBreakBefore w:val="0"/>
              <w:topLinePunct w:val="0"/>
              <w:autoSpaceDE w:val="0"/>
              <w:autoSpaceDN w:val="0"/>
              <w:bidi w:val="0"/>
              <w:ind w:firstLine="200"/>
              <w:jc w:val="center"/>
              <w:outlineLvl w:val="9"/>
              <w:rPr>
                <w:rFonts w:ascii="宋体" w:hAnsi="宋体"/>
                <w:color w:val="000000"/>
                <w:kern w:val="0"/>
                <w:sz w:val="24"/>
              </w:rPr>
            </w:pPr>
            <w:r>
              <w:rPr>
                <w:rFonts w:hint="eastAsia" w:ascii="宋体" w:hAnsi="宋体"/>
                <w:color w:val="000000"/>
                <w:kern w:val="0"/>
                <w:sz w:val="24"/>
              </w:rPr>
              <w:t>≥90</w:t>
            </w:r>
          </w:p>
        </w:tc>
        <w:tc>
          <w:tcPr>
            <w:tcW w:w="3201" w:type="dxa"/>
            <w:noWrap w:val="0"/>
            <w:vAlign w:val="center"/>
          </w:tcPr>
          <w:p>
            <w:pPr>
              <w:pageBreakBefore w:val="0"/>
              <w:topLinePunct w:val="0"/>
              <w:autoSpaceDE w:val="0"/>
              <w:autoSpaceDN w:val="0"/>
              <w:bidi w:val="0"/>
              <w:ind w:firstLine="200"/>
              <w:jc w:val="center"/>
              <w:outlineLvl w:val="9"/>
              <w:rPr>
                <w:rFonts w:ascii="宋体" w:hAnsi="宋体"/>
                <w:color w:val="000000"/>
                <w:kern w:val="0"/>
                <w:sz w:val="24"/>
              </w:rPr>
            </w:pPr>
            <w:r>
              <w:rPr>
                <w:rFonts w:ascii="宋体" w:hAnsi="宋体"/>
                <w:color w:val="000000"/>
                <w:sz w:val="24"/>
              </w:rPr>
              <w:t>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199" w:type="dxa"/>
            <w:noWrap w:val="0"/>
            <w:vAlign w:val="center"/>
          </w:tcPr>
          <w:p>
            <w:pPr>
              <w:pageBreakBefore w:val="0"/>
              <w:topLinePunct w:val="0"/>
              <w:autoSpaceDE w:val="0"/>
              <w:autoSpaceDN w:val="0"/>
              <w:bidi w:val="0"/>
              <w:ind w:firstLine="200"/>
              <w:jc w:val="center"/>
              <w:outlineLvl w:val="9"/>
              <w:rPr>
                <w:rFonts w:ascii="宋体" w:hAnsi="宋体"/>
                <w:color w:val="000000"/>
                <w:kern w:val="0"/>
                <w:sz w:val="24"/>
              </w:rPr>
            </w:pPr>
            <w:r>
              <w:rPr>
                <w:rFonts w:hint="eastAsia" w:ascii="宋体" w:hAnsi="宋体"/>
                <w:color w:val="000000"/>
                <w:kern w:val="0"/>
                <w:sz w:val="24"/>
              </w:rPr>
              <w:t>80</w:t>
            </w:r>
            <w:r>
              <w:rPr>
                <w:rFonts w:ascii="宋体" w:hAnsi="宋体"/>
                <w:color w:val="000000"/>
                <w:kern w:val="0"/>
                <w:sz w:val="24"/>
              </w:rPr>
              <w:t>-89</w:t>
            </w:r>
          </w:p>
        </w:tc>
        <w:tc>
          <w:tcPr>
            <w:tcW w:w="3201" w:type="dxa"/>
            <w:noWrap w:val="0"/>
            <w:vAlign w:val="center"/>
          </w:tcPr>
          <w:p>
            <w:pPr>
              <w:pageBreakBefore w:val="0"/>
              <w:topLinePunct w:val="0"/>
              <w:autoSpaceDE w:val="0"/>
              <w:autoSpaceDN w:val="0"/>
              <w:bidi w:val="0"/>
              <w:ind w:firstLine="200"/>
              <w:jc w:val="center"/>
              <w:outlineLvl w:val="9"/>
              <w:rPr>
                <w:rFonts w:ascii="宋体" w:hAnsi="宋体"/>
                <w:color w:val="000000"/>
                <w:kern w:val="0"/>
                <w:sz w:val="24"/>
              </w:rPr>
            </w:pPr>
            <w:r>
              <w:rPr>
                <w:rFonts w:ascii="宋体" w:hAnsi="宋体"/>
                <w:color w:val="000000"/>
                <w:sz w:val="24"/>
              </w:rPr>
              <w:t>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199" w:type="dxa"/>
            <w:noWrap w:val="0"/>
            <w:vAlign w:val="center"/>
          </w:tcPr>
          <w:p>
            <w:pPr>
              <w:pageBreakBefore w:val="0"/>
              <w:topLinePunct w:val="0"/>
              <w:autoSpaceDE w:val="0"/>
              <w:autoSpaceDN w:val="0"/>
              <w:bidi w:val="0"/>
              <w:ind w:firstLine="200"/>
              <w:jc w:val="center"/>
              <w:outlineLvl w:val="9"/>
              <w:rPr>
                <w:rFonts w:ascii="宋体" w:hAnsi="宋体"/>
                <w:color w:val="000000"/>
                <w:kern w:val="0"/>
                <w:sz w:val="24"/>
              </w:rPr>
            </w:pPr>
            <w:r>
              <w:rPr>
                <w:rFonts w:hint="eastAsia" w:ascii="宋体" w:hAnsi="宋体"/>
                <w:color w:val="000000"/>
                <w:kern w:val="0"/>
                <w:sz w:val="24"/>
              </w:rPr>
              <w:t>70</w:t>
            </w:r>
            <w:r>
              <w:rPr>
                <w:rFonts w:ascii="宋体" w:hAnsi="宋体"/>
                <w:color w:val="000000"/>
                <w:kern w:val="0"/>
                <w:sz w:val="24"/>
              </w:rPr>
              <w:t>-79</w:t>
            </w:r>
          </w:p>
        </w:tc>
        <w:tc>
          <w:tcPr>
            <w:tcW w:w="3201" w:type="dxa"/>
            <w:noWrap w:val="0"/>
            <w:vAlign w:val="center"/>
          </w:tcPr>
          <w:p>
            <w:pPr>
              <w:pageBreakBefore w:val="0"/>
              <w:topLinePunct w:val="0"/>
              <w:autoSpaceDE w:val="0"/>
              <w:autoSpaceDN w:val="0"/>
              <w:bidi w:val="0"/>
              <w:ind w:firstLine="200"/>
              <w:jc w:val="center"/>
              <w:outlineLvl w:val="9"/>
              <w:rPr>
                <w:rFonts w:ascii="宋体" w:hAnsi="宋体"/>
                <w:color w:val="000000"/>
                <w:kern w:val="0"/>
                <w:sz w:val="24"/>
              </w:rPr>
            </w:pPr>
            <w:r>
              <w:rPr>
                <w:rFonts w:ascii="宋体" w:hAnsi="宋体"/>
                <w:color w:val="000000"/>
                <w:sz w:val="24"/>
              </w:rPr>
              <w:t>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199" w:type="dxa"/>
            <w:noWrap w:val="0"/>
            <w:vAlign w:val="center"/>
          </w:tcPr>
          <w:p>
            <w:pPr>
              <w:pageBreakBefore w:val="0"/>
              <w:topLinePunct w:val="0"/>
              <w:autoSpaceDE w:val="0"/>
              <w:autoSpaceDN w:val="0"/>
              <w:bidi w:val="0"/>
              <w:ind w:firstLine="200"/>
              <w:jc w:val="center"/>
              <w:outlineLvl w:val="9"/>
              <w:rPr>
                <w:rFonts w:ascii="宋体" w:hAnsi="宋体"/>
                <w:color w:val="000000"/>
                <w:kern w:val="0"/>
                <w:sz w:val="24"/>
              </w:rPr>
            </w:pPr>
            <w:r>
              <w:rPr>
                <w:rFonts w:hint="eastAsia" w:ascii="宋体" w:hAnsi="宋体"/>
                <w:color w:val="000000"/>
                <w:kern w:val="0"/>
                <w:sz w:val="24"/>
              </w:rPr>
              <w:t>60</w:t>
            </w:r>
            <w:r>
              <w:rPr>
                <w:rFonts w:ascii="宋体" w:hAnsi="宋体"/>
                <w:color w:val="000000"/>
                <w:kern w:val="0"/>
                <w:sz w:val="24"/>
              </w:rPr>
              <w:t>-69</w:t>
            </w:r>
          </w:p>
        </w:tc>
        <w:tc>
          <w:tcPr>
            <w:tcW w:w="3201" w:type="dxa"/>
            <w:noWrap w:val="0"/>
            <w:vAlign w:val="center"/>
          </w:tcPr>
          <w:p>
            <w:pPr>
              <w:pageBreakBefore w:val="0"/>
              <w:topLinePunct w:val="0"/>
              <w:autoSpaceDE w:val="0"/>
              <w:autoSpaceDN w:val="0"/>
              <w:bidi w:val="0"/>
              <w:ind w:firstLine="200"/>
              <w:jc w:val="center"/>
              <w:outlineLvl w:val="9"/>
              <w:rPr>
                <w:rFonts w:ascii="宋体" w:hAnsi="宋体"/>
                <w:color w:val="000000"/>
                <w:kern w:val="0"/>
                <w:sz w:val="24"/>
              </w:rPr>
            </w:pPr>
            <w:r>
              <w:rPr>
                <w:rFonts w:ascii="宋体" w:hAnsi="宋体"/>
                <w:color w:val="000000"/>
                <w:sz w:val="24"/>
              </w:rPr>
              <w:t>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199" w:type="dxa"/>
            <w:noWrap w:val="0"/>
            <w:vAlign w:val="center"/>
          </w:tcPr>
          <w:p>
            <w:pPr>
              <w:pageBreakBefore w:val="0"/>
              <w:topLinePunct w:val="0"/>
              <w:autoSpaceDE w:val="0"/>
              <w:autoSpaceDN w:val="0"/>
              <w:bidi w:val="0"/>
              <w:ind w:firstLine="200"/>
              <w:jc w:val="center"/>
              <w:outlineLvl w:val="9"/>
              <w:rPr>
                <w:rFonts w:ascii="宋体" w:hAnsi="宋体"/>
                <w:color w:val="000000"/>
                <w:kern w:val="0"/>
                <w:sz w:val="24"/>
              </w:rPr>
            </w:pPr>
            <w:r>
              <w:rPr>
                <w:rFonts w:hint="eastAsia" w:ascii="宋体" w:hAnsi="宋体"/>
                <w:color w:val="000000"/>
                <w:kern w:val="0"/>
                <w:sz w:val="24"/>
              </w:rPr>
              <w:t>&lt;60</w:t>
            </w:r>
          </w:p>
        </w:tc>
        <w:tc>
          <w:tcPr>
            <w:tcW w:w="3201" w:type="dxa"/>
            <w:noWrap w:val="0"/>
            <w:vAlign w:val="center"/>
          </w:tcPr>
          <w:p>
            <w:pPr>
              <w:pageBreakBefore w:val="0"/>
              <w:topLinePunct w:val="0"/>
              <w:autoSpaceDE w:val="0"/>
              <w:autoSpaceDN w:val="0"/>
              <w:bidi w:val="0"/>
              <w:ind w:firstLine="200"/>
              <w:jc w:val="center"/>
              <w:outlineLvl w:val="9"/>
              <w:rPr>
                <w:rFonts w:ascii="宋体" w:hAnsi="宋体"/>
                <w:color w:val="000000"/>
                <w:kern w:val="0"/>
                <w:sz w:val="24"/>
              </w:rPr>
            </w:pPr>
            <w:r>
              <w:rPr>
                <w:rFonts w:hint="eastAsia" w:ascii="宋体" w:hAnsi="宋体"/>
                <w:color w:val="000000"/>
                <w:kern w:val="0"/>
                <w:sz w:val="24"/>
              </w:rPr>
              <w:t>0</w:t>
            </w:r>
          </w:p>
        </w:tc>
      </w:tr>
    </w:tbl>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一门课程的成绩记载包括成绩分值、学分、绩点和课程性质（必修、选修、限选）等。学生成绩总表中还应包括学生修读学分总数和平均绩点，其中平均绩点的计算方法为：</w:t>
      </w:r>
    </w:p>
    <w:p>
      <w:pPr>
        <w:pageBreakBefore w:val="0"/>
        <w:topLinePunct w:val="0"/>
        <w:autoSpaceDE w:val="0"/>
        <w:autoSpaceDN w:val="0"/>
        <w:bidi w:val="0"/>
        <w:ind w:firstLine="480" w:firstLineChars="200"/>
        <w:outlineLvl w:val="9"/>
        <w:rPr>
          <w:rFonts w:ascii="宋体"/>
          <w:color w:val="000000"/>
          <w:kern w:val="0"/>
          <w:sz w:val="24"/>
        </w:rPr>
      </w:pPr>
    </w:p>
    <w:p>
      <w:pPr>
        <w:pageBreakBefore w:val="0"/>
        <w:topLinePunct w:val="0"/>
        <w:autoSpaceDE w:val="0"/>
        <w:autoSpaceDN w:val="0"/>
        <w:bidi w:val="0"/>
        <w:ind w:firstLine="480" w:firstLineChars="200"/>
        <w:outlineLvl w:val="9"/>
        <w:rPr>
          <w:rFonts w:ascii="宋体"/>
          <w:color w:val="000000"/>
          <w:kern w:val="0"/>
          <w:sz w:val="24"/>
        </w:rPr>
      </w:pPr>
      <w:r>
        <w:rPr>
          <w:rFonts w:ascii="宋体" w:hAnsi="宋体"/>
          <w:color w:val="000000"/>
          <w:sz w:val="24"/>
        </w:rPr>
        <w:pict>
          <v:shape id="Object 424" o:spid="_x0000_s1300" o:spt="75" type="#_x0000_t75" style="position:absolute;left:0pt;margin-left:201.45pt;margin-top:3.6pt;height:45pt;width:108.7pt;mso-wrap-distance-bottom:0pt;mso-wrap-distance-left:9pt;mso-wrap-distance-right:9pt;mso-wrap-distance-top:0pt;z-index:251859968;mso-width-relative:page;mso-height-relative:page;" o:ole="t" filled="f" o:preferrelative="f" stroked="f" coordsize="21600,21600">
            <v:path/>
            <v:fill on="f" focussize="0,0"/>
            <v:stroke on="f" joinstyle="miter"/>
            <v:imagedata r:id="rId13" o:title=""/>
            <o:lock v:ext="edit" aspectratio="f"/>
            <w10:wrap type="square"/>
          </v:shape>
          <o:OLEObject Type="Embed" ProgID="" ShapeID="Object 424" DrawAspect="Content" ObjectID="_1468075729" r:id="rId19">
            <o:LockedField>false</o:LockedField>
          </o:OLEObject>
        </w:pict>
      </w:r>
    </w:p>
    <w:p>
      <w:pPr>
        <w:pageBreakBefore w:val="0"/>
        <w:topLinePunct w:val="0"/>
        <w:bidi w:val="0"/>
        <w:ind w:firstLine="2520" w:firstLineChars="1050"/>
        <w:outlineLvl w:val="9"/>
        <w:rPr>
          <w:rFonts w:ascii="宋体" w:hAnsi="宋体"/>
          <w:color w:val="000000"/>
          <w:sz w:val="24"/>
        </w:rPr>
      </w:pPr>
      <w:r>
        <w:rPr>
          <w:rFonts w:ascii="宋体" w:hAnsi="宋体"/>
          <w:color w:val="000000"/>
          <w:sz w:val="24"/>
        </w:rPr>
        <w:t>平均绩点=</w:t>
      </w:r>
    </w:p>
    <w:p>
      <w:pPr>
        <w:pageBreakBefore w:val="0"/>
        <w:topLinePunct w:val="0"/>
        <w:bidi w:val="0"/>
        <w:ind w:firstLine="2520" w:firstLineChars="1050"/>
        <w:outlineLvl w:val="9"/>
        <w:rPr>
          <w:rFonts w:ascii="宋体" w:hAnsi="宋体"/>
          <w:color w:val="000000"/>
          <w:sz w:val="24"/>
        </w:rPr>
      </w:pPr>
    </w:p>
    <w:p>
      <w:pPr>
        <w:pageBreakBefore w:val="0"/>
        <w:topLinePunct w:val="0"/>
        <w:bidi w:val="0"/>
        <w:jc w:val="right"/>
        <w:outlineLvl w:val="9"/>
        <w:rPr>
          <w:rFonts w:ascii="宋体" w:hAnsi="宋体"/>
          <w:color w:val="000000"/>
          <w:sz w:val="24"/>
        </w:rPr>
      </w:pPr>
    </w:p>
    <w:p>
      <w:pPr>
        <w:pageBreakBefore w:val="0"/>
        <w:topLinePunct w:val="0"/>
        <w:bidi w:val="0"/>
        <w:ind w:firstLine="2280" w:firstLineChars="950"/>
        <w:outlineLvl w:val="9"/>
        <w:rPr>
          <w:rFonts w:ascii="宋体" w:hAnsi="宋体"/>
          <w:color w:val="000000"/>
          <w:sz w:val="24"/>
        </w:rPr>
      </w:pPr>
      <w:r>
        <w:rPr>
          <w:rFonts w:hint="eastAsia" w:ascii="宋体" w:hAnsi="宋体"/>
          <w:color w:val="000000"/>
          <w:sz w:val="24"/>
        </w:rPr>
        <w:t>（其中：</w:t>
      </w:r>
      <w:r>
        <w:rPr>
          <w:rFonts w:ascii="宋体" w:hAnsi="宋体"/>
          <w:color w:val="000000"/>
          <w:sz w:val="24"/>
        </w:rPr>
        <w:t>课程的学分绩点＝</w:t>
      </w:r>
      <w:r>
        <w:rPr>
          <w:rFonts w:hint="eastAsia" w:ascii="宋体" w:hAnsi="宋体"/>
          <w:color w:val="000000"/>
          <w:sz w:val="24"/>
        </w:rPr>
        <w:t>学分</w:t>
      </w:r>
      <w:r>
        <w:rPr>
          <w:rFonts w:ascii="宋体" w:hAnsi="宋体"/>
          <w:color w:val="000000"/>
          <w:sz w:val="24"/>
        </w:rPr>
        <w:t>×</w:t>
      </w:r>
      <w:r>
        <w:rPr>
          <w:rFonts w:hint="eastAsia" w:ascii="宋体" w:hAnsi="宋体"/>
          <w:color w:val="000000"/>
          <w:sz w:val="24"/>
        </w:rPr>
        <w:t>绩点）</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18．学生体育成绩评定突出过程管理，主要根据考勤、课内教学、课外锻炼活动和体质健康等情况综合评定。</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19．学生参加创新创业、社会实践等活动以及发表论文、获得专利授权等与专业学习、学业要求相关的经历、成果，由二级学院审定，可以折算为创新创业教育学分，计入学业成绩。</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20．军事理论属于必修课，学生因身体疾病或某种生理缺陷，经二级甲等以上医院诊断不能正常参加军事技能的，可在军训前向所在二级学院提出缓训、免训或半训申请，并报武装部审核批准。</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21．学生旷课累计达到某门课程教学时数三分之一者，不得参加该课程的考核，必须复读该课程。</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22．为保证考试顺利进行，考试期间原则上不准请假。因故不能参加考试的学生须在考试前申请缓考，一门课程学生只准申请缓考一次，原则上补考不得申请缓考。缓考不及格者，不再予以补考，应复读该门课程。</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六、选课与免修</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23．按《学分制管理规定》的要求，学生实行选课学习。学生应按专业人才培养方案的安排修读各门课程，并在规定的学习年限内取得所学专业规定修读的所有学分。</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24．学生在每学期选课前应详细阅读本专业的人才培养方案和课程简介，根据本人的学习能力慎重选课。</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25．已修读过并取得学分的课程不得再修。</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26．除人才培养方案规定的思想政治教育、安全教育、创业创新教育、体育、劳动、艺术和实践性教学等课程外，其他课程满足以下几种情况可以申请免修并取得折算成绩，或参加考试，以考试成绩记分：</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（1）学生降级后，原已修读并取得学分的课程可以免修。</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持有高等教育自学考试单科合格证书或持有国家、上海市人力资源与社会保障部门颁发的职业资格证书或行企业职业技能等级证书的学生，可申请免修与教学标准要求相一致的课程。经审核批准后，给予相应学分，成绩以80分计，并在学籍档案中记录证书明细。</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 xml:space="preserve">（3）学生参加上海电子信息职业技术学院考点组织的高等学校英语应用能力考试，获取高等学校英语应用能力考试证书(PET)，只可抵充当学期公共英语课程补考或重修成绩，给予相应的学分，成绩以60分计，且只对获取证书的本学期有效，不得申请公共英语课程免修；参加本校考点组织的大学英语四级考试，成绩在425分（含425分）以上，可申请免修或抵充任何一学期的公共英语课程，并给予相应学分，成绩以80分计。  </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公共英语课程免修或抵充，均需在学生取得证书原件后提出申请。免修或抵充等相关手续需向外语学院提出申请，审核通过后方可给予相应学分。</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（4）学生参加上海电子信息职业技术学院考点组织的上海市高校计算机等级考试，获得一级证书，可免修或抵充计算机应用基础课程，并给予相应学分，成绩优秀的以80分计，成绩合格的以60分计。</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学生参加全国一类职业技能竞赛、世界技能大赛，取得三等奖以上成绩，或参与全国一类大赛集训、世界技能大赛集训，均可免修参加竞赛、集训所在学期的所有课程，并取得相应的学分，具体成绩折算方法可根据《上海电子信息职业技术学院学生参加校外职业技能竞赛管理办法》中具体要求执行。</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6）根据《退役士兵安置条例》（国务院令第608号）第28条规定，退役学生可以免修体育和军事理论，直接获得学分。体育以85分记，军事理论以95分记，如学生在服役期间有立功或嘉奖，各二级学院可适当上调分值。</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体育和军事理论课程免修办理流程为：退役学生在每学期开学1周内向所在二级学院提出相关课程免修申请；各二级学院在每学期开学三周内向体育和军事理论课程所在授课部门提供免修学生名单和成绩；授课部门负责通知有关任课教师按照免修办理并给予成绩。</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根据《教育部办公厅关于进一步做好高校学生参军入伍的通知》（教学厅[2015]3号）第10条规定，退役学生入伍经历可作为毕业实习经历。我校退役学生办理免听手续后，可以不用参加毕业顶岗实习，但必须撰写毕业顶岗实习报告，参加毕业顶岗实习答辩，答辩通过后方可获得学分。</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七、学业警告与降级</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27．经考核未取得所修课程的学分累计达到或超过12学分者，二级学院应向学生或家长送达《学业警告通知单》，给予其学业警告。因家庭地址或联系方式变更导致无法送达的，可通过二级学院网站以公告方式送达，公告发布时间不得少于四周。</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28．学生受到学业警告后，应及时安排好不及格课程的复读；在无力复读的情况下可申请降级继续学习。经考核未取得所修课程的学分累计达到或超过32学分者，必须降级。降级学生按降级以后所在年级的收费标准缴费、注册。</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八、补考与复读</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29．学生考核不及格的课程，可参加补考，补考只有一次。公共和公共艺术选修课一般不组织补考,学生应通过复读来完成规定的学分；复读可以选修同一门课程，也可以选修其他课程。</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补考及格的课程成绩以“60分”计，补考不及格的课程必须复读。</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30．缺交实训报告或在一学期内缺交一门课程的三分之一作业者不得参加该课程的考核，补足实训报告或作业后只能参加该门课程的补考。单列课程的大型作业、课程设计、实习、实训与毕业顶岗实习等实践性教学环节不设补考，考核不及格者必须复读。学生必须按时提交毕业顶岗实习报告并参加毕业顶岗实习答辩，因故不能按时参加答辩的，须在答辩前三天向所在二级学院提交暂缓答辩书面申请，报二级学院审核批准；无故未参加答辩的必须复读毕业顶岗实习，重新参加实习，重新撰写实习报告并参加答辩。</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31．学生应根据学校有关要求参加复读选课，选课时应避免复读课程与在读课程的时间冲突，如复读课程较多也可以选择降级学习。学生应按规定缴纳复读费用，办理复读注册手续。</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32．复读所选的课程，必修课、选修课不能相互替代。必修课程应复读人才培养方案规定的原课程；选修课程在限定选修的范围内可选择其他未修的课程代替，但复读所选课程的学分应不低于原所修课程的学分。在最长学习年限内，同一课程在考核未通过前可以复读多次。</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33．学生复读课程考核合格，在学生成绩总表中记载成绩并标注“复读”，考核不及格的可以参加补考。</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34．学生因参加竞赛、顶岗实习等学校重大教学活动，造成复读无法跟班上课的，可选择该课程在线学习；无在线课程的，应于上课前向任课教师提交《在线课程学习申请表》办理手续，经审核同意后实行在线课程修读，并按照教师要求完成相关作业提交和课程考核。</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九、考勤</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35．学生应按时参加课程学习和其他教育教学活动，并接受考勤。因故不能参加的，应当事先请假并获得批准，无故缺席者作旷课处理。其中，人才培养方案中规定的实践性教学环节，每缺勤一天按旷课6-8学时计。</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36．学生迟到、早退累计3次作旷课1学时处理。对旷课的学生，二级学院应及时予以批评教育，并按有关规定进行处理。</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十、转专业与转学</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37．学生应在被录取专业完成学业，原则上不得转专业和转学。</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十一、休学、复学、退学</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38．学生有下列情况之一者，应予休学：</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（1）因病经二级甲等以上医院诊断，须停课治疗、休养占一学期总学时三分之一以上者；</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（2）根据考勤，一学期请假、缺课超过该学期总学时三分之一者；</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（3）学生申请自主创业的；</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（4）因某种特殊原因，本人申请或学校认为应休学者。</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39．学生提出休学的，需按规定提交休学申请表和其他证明材料（因病休学的须提供医院诊断证明等材料；因自主创业申请休学的须提供创业前期准备材料和创业计划书等）报教务处审核批准。休学学生应当办理离校手续。学生休学期间具有学籍，但不享受在校生待遇，不得参加教育教学活动。因病休学学生的医疗费按国家和当地有关规定处理。对休学的学生，由学校出具休学证明并送达本人，同时报上海市教育委员会备案。</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休学一般以一年为期，原则上不得提前复学，学生休学期满需要续休的，应再次办理休学手续。学生在校期间累计休学不得超过两年；因自主创业申请休学的不得超过三年，最长学习年限不得超过九年。休学期满不办理复学手续者，作自动退学处理。</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40．学生申请复学的，应于休学期满一个月前按规定提交复学申请表和其他证明材料（因病休学的须提供医院出具的健康状况证明）报教务处审核批准，经批准后可进入原专业下一年级学习。如审核不通过的可办理继续休学或退学手续，如因专业设置调整或身体状况无法适应原专业学习的可申请转专业或办理退学手续。</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41．学生应征参加中国人民解放军、中国人民武装警察部队，需按规定提交保留学籍申请表和其他证明材料报教务处审核批准，学校为其保留其学籍至退役后两年。保留学籍学生应当办理离校手续。学生保留学籍期间，与其实际所在部队等组织建立联系、确定管理关系。</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42．学生有下列情形之一，学校可作自动退学处理：</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（1）降级两次后经考核未取得所修课程的学分累计达到或超过32学分的；</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（2）在学校规定学习年限内（含休学）未完成学业的；</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（3）休学期满，在学校规定期限内未提出复学申请或者申请复学经复查不合格的；</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（4）延长学业期满，未办理相关后续手续的；</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（5）经二级甲等以上医院诊断，患有疾病或者意外伤残无法继续在校学习的；</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（6）未经批准连续两周未参加学校规定的教学活动的；</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（7）超过学校规定期限未注册而又未履行暂缓注册手续的。</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学生本人申请退学的，由学校审核同意后，办理退学手续。</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43．符合自动退学条件的，由学生所在二级学院向学生本人或家长送达《自动退学告知书》；因家庭地址或联系方式变更导致无法送达的，可通过二级学院网站以公告方式送达，公告发布时间不得少于四周。</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对学生的退学申请或自动退学处理，由校长办公会议或者校长授权的专门会议研究决定。</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对退学的学生，由学校出具退学证明并送达本人，同时报上海市教育委员会备案。退学学生应按学校规定期限办理离校手续，档案、户口退回其户籍所在地。</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44．学生对自动退学有异议的，可以向学校学生申诉处理委员会提出书面申诉。</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45．学生在校期间死亡的，由学校出具学籍注销证明并送达学生家长。</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十二、毕业与结业</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46．学生修满人才培养方案规定的必修与选修课程，取得毕业要求的总学分数，且至少取得一种与所学专业相关的职业资格证书或职业技能等级证书，准予毕业，发给毕业证书。</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若学生修满了人才培养方案所规定的必修与选修课程，取得了毕业要求的总学分数，但未取得与所学专业相关的职业资格证书或职业技能等级证书，作结业处理，发给结业证书。结业学生在最长学习年限内取得了与所学专业相关的中级以上的职业资格证书或职业技能等级证书的，换发毕业证书。</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47．学生在进入第十学期学习之前，第一～第九学期已修学分数不少于226学分（含226学分）可列入毕业生管理范围，进入毕业教学环节；否则，暂缓进入毕业教学环节，由学生本人提出延长学业申请，经教务处审批后作延长学业处理。</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学生在第十学期未能符合毕（结）业要求的，由学生本人提出延长学业申请，经教务处审核批准后作延长学业处理。</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已满足毕（结）业要求的学生不得提出延长学业或休学申请。</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48．延长学业期限为自审核批准之日起一年，到期而未办理相关后续手续的，作自动退学处理。延长学业学生的管理由学生所在的二级学院负责安排。</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49．基本学制毕业时未修满毕业要求的总学分数，但已取得毕业要求的最低学分的92%（含92%）以上者，作结业处理，发给结业证书。</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结业学生可对原不及格课程申请复读，经考核成绩合格且取得了与所学专业相关的职业资格证书或职业技能等级证书者换发毕业证书。复读必须在最长学习年限内完成。</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对于退学学生，学校应该发给肄业证书或者写实性学习证明。</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50．学有余力的学生可在与当前所学课程时间不冲突的前提下提前修读人才培养方案中的后续课程，达到毕业要求（或结业要求）的，可以申请提前毕业（或结业）。</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学生可向所在二级学院提出提前修读课程申请，二级学院制定详细的后续课程安排计划后报教务处审核批准。</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51．对违反国家招生规定取得入学资格或者学籍的，学校应当取消其学籍，不得发给学历证书；已发的学历证书，学校应当依法予以撤销。对以作弊、剽窃、抄袭等学术不端行为或者其他不正当手段获得学历证书的，学校应当依法予以撤销。</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被撤销的学历证书已注册的，学校应当予以注销并报教育行政部门宣布无效。</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52．学历证书遗失或者损坏，经本人申请，学校核实后应当出具相应的学历证明书。学历证明书与原证书具有同等效力。</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十三、附则</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53．本规定自2021年9月1日起施行，由教务处负责解释。</w:t>
      </w:r>
    </w:p>
    <w:p>
      <w:pPr>
        <w:pageBreakBefore w:val="0"/>
        <w:topLinePunct w:val="0"/>
        <w:autoSpaceDE w:val="0"/>
        <w:autoSpaceDN w:val="0"/>
        <w:bidi w:val="0"/>
        <w:ind w:firstLine="420" w:firstLineChars="200"/>
        <w:outlineLvl w:val="9"/>
        <w:rPr>
          <w:rFonts w:ascii="宋体" w:hAnsi="宋体"/>
          <w:color w:val="000000"/>
          <w:szCs w:val="21"/>
        </w:rPr>
      </w:pPr>
    </w:p>
    <w:p>
      <w:pPr>
        <w:pageBreakBefore w:val="0"/>
        <w:topLinePunct w:val="0"/>
        <w:autoSpaceDE w:val="0"/>
        <w:autoSpaceDN w:val="0"/>
        <w:bidi w:val="0"/>
        <w:adjustRightInd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ind w:firstLine="420" w:firstLineChars="200"/>
        <w:outlineLvl w:val="9"/>
        <w:rPr>
          <w:rFonts w:ascii="宋体" w:hAnsi="宋体"/>
          <w:kern w:val="0"/>
          <w:szCs w:val="21"/>
        </w:rPr>
      </w:pPr>
    </w:p>
    <w:p>
      <w:pPr>
        <w:pageBreakBefore w:val="0"/>
        <w:topLinePunct w:val="0"/>
        <w:bidi w:val="0"/>
        <w:outlineLvl w:val="9"/>
        <w:rPr>
          <w:rFonts w:ascii="宋体" w:hAnsi="宋体"/>
          <w:kern w:val="0"/>
          <w:szCs w:val="21"/>
        </w:rPr>
      </w:pPr>
    </w:p>
    <w:p>
      <w:pPr>
        <w:pageBreakBefore w:val="0"/>
        <w:topLinePunct w:val="0"/>
        <w:bidi w:val="0"/>
        <w:outlineLvl w:val="9"/>
        <w:rPr>
          <w:rFonts w:ascii="宋体" w:hAnsi="宋体"/>
          <w:kern w:val="0"/>
          <w:szCs w:val="21"/>
        </w:rPr>
      </w:pPr>
    </w:p>
    <w:p>
      <w:pPr>
        <w:pageBreakBefore w:val="0"/>
        <w:topLinePunct w:val="0"/>
        <w:bidi w:val="0"/>
        <w:outlineLvl w:val="9"/>
        <w:rPr>
          <w:rFonts w:ascii="宋体" w:hAnsi="宋体"/>
          <w:kern w:val="0"/>
          <w:szCs w:val="21"/>
        </w:rPr>
      </w:pPr>
    </w:p>
    <w:p>
      <w:pPr>
        <w:pageBreakBefore w:val="0"/>
        <w:topLinePunct w:val="0"/>
        <w:bidi w:val="0"/>
        <w:outlineLvl w:val="9"/>
        <w:rPr>
          <w:rFonts w:ascii="宋体" w:hAnsi="宋体"/>
          <w:kern w:val="0"/>
          <w:szCs w:val="21"/>
        </w:rPr>
      </w:pPr>
    </w:p>
    <w:p>
      <w:pPr>
        <w:pageBreakBefore w:val="0"/>
        <w:topLinePunct w:val="0"/>
        <w:bidi w:val="0"/>
        <w:outlineLvl w:val="9"/>
        <w:rPr>
          <w:rFonts w:ascii="宋体" w:hAnsi="宋体"/>
          <w:kern w:val="0"/>
          <w:szCs w:val="21"/>
        </w:rPr>
      </w:pPr>
    </w:p>
    <w:p>
      <w:pPr>
        <w:pageBreakBefore w:val="0"/>
        <w:topLinePunct w:val="0"/>
        <w:bidi w:val="0"/>
        <w:outlineLvl w:val="9"/>
        <w:rPr>
          <w:rFonts w:ascii="宋体" w:hAnsi="宋体"/>
          <w:kern w:val="0"/>
          <w:szCs w:val="21"/>
        </w:rPr>
      </w:pPr>
    </w:p>
    <w:p>
      <w:pPr>
        <w:pageBreakBefore w:val="0"/>
        <w:topLinePunct w:val="0"/>
        <w:bidi w:val="0"/>
        <w:outlineLvl w:val="9"/>
        <w:rPr>
          <w:sz w:val="24"/>
        </w:rPr>
      </w:pPr>
    </w:p>
    <w:p>
      <w:pPr>
        <w:pageBreakBefore w:val="0"/>
        <w:topLinePunct w:val="0"/>
        <w:bidi w:val="0"/>
        <w:outlineLvl w:val="9"/>
        <w:rPr>
          <w:sz w:val="24"/>
        </w:rPr>
      </w:pPr>
    </w:p>
    <w:p>
      <w:pPr>
        <w:pageBreakBefore w:val="0"/>
        <w:topLinePunct w:val="0"/>
        <w:bidi w:val="0"/>
        <w:ind w:firstLine="600" w:firstLineChars="200"/>
        <w:outlineLvl w:val="9"/>
        <w:rPr>
          <w:rFonts w:ascii="仿宋_GB2312" w:eastAsia="仿宋_GB2312"/>
          <w:color w:val="000000"/>
          <w:sz w:val="30"/>
          <w:szCs w:val="30"/>
        </w:rPr>
      </w:pPr>
    </w:p>
    <w:p>
      <w:pPr>
        <w:pageBreakBefore w:val="0"/>
        <w:topLinePunct w:val="0"/>
        <w:bidi w:val="0"/>
        <w:ind w:firstLine="600" w:firstLineChars="200"/>
        <w:outlineLvl w:val="9"/>
        <w:rPr>
          <w:rFonts w:ascii="仿宋_GB2312" w:eastAsia="仿宋_GB2312"/>
          <w:color w:val="000000"/>
          <w:sz w:val="30"/>
          <w:szCs w:val="30"/>
        </w:rPr>
      </w:pPr>
    </w:p>
    <w:p>
      <w:pPr>
        <w:pageBreakBefore w:val="0"/>
        <w:topLinePunct w:val="0"/>
        <w:bidi w:val="0"/>
        <w:outlineLvl w:val="9"/>
        <w:rPr>
          <w:rFonts w:ascii="Calibri" w:hAnsi="Calibri" w:eastAsia="宋体" w:cs="Calibri"/>
          <w:b/>
          <w:sz w:val="24"/>
        </w:rPr>
      </w:pPr>
      <w:r>
        <w:rPr>
          <w:rFonts w:eastAsia="仿宋_GB2312"/>
          <w:sz w:val="30"/>
          <w:szCs w:val="30"/>
        </w:rPr>
        <w:br w:type="page"/>
      </w:r>
    </w:p>
    <w:p>
      <w:pPr>
        <w:pageBreakBefore w:val="0"/>
        <w:topLinePunct w:val="0"/>
        <w:bidi w:val="0"/>
        <w:outlineLvl w:val="9"/>
        <w:rPr>
          <w:color w:val="FF0000"/>
          <w:sz w:val="24"/>
        </w:rPr>
      </w:pPr>
    </w:p>
    <w:p>
      <w:pPr>
        <w:pageBreakBefore w:val="0"/>
        <w:topLinePunct w:val="0"/>
        <w:bidi w:val="0"/>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center"/>
        <w:outlineLvl w:val="9"/>
        <w:rPr>
          <w:color w:val="FF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color w:val="FF0000"/>
          <w:sz w:val="24"/>
        </w:rPr>
      </w:pPr>
    </w:p>
    <w:p>
      <w:pPr>
        <w:pageBreakBefore w:val="0"/>
        <w:topLinePunct w:val="0"/>
        <w:bidi w:val="0"/>
        <w:jc w:val="center"/>
        <w:outlineLvl w:val="9"/>
        <w:rPr>
          <w:sz w:val="24"/>
        </w:rPr>
      </w:pPr>
    </w:p>
    <w:p>
      <w:pPr>
        <w:pageBreakBefore w:val="0"/>
        <w:topLinePunct w:val="0"/>
        <w:bidi w:val="0"/>
        <w:spacing w:before="120" w:beforeLines="50"/>
        <w:ind w:left="-735" w:leftChars="-3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eastAsia="仿宋_GB2312"/>
          <w:color w:val="000000"/>
          <w:kern w:val="0"/>
          <w:sz w:val="32"/>
          <w:szCs w:val="28"/>
        </w:rPr>
        <w:t>20</w:t>
      </w:r>
      <w:r>
        <w:rPr>
          <w:rFonts w:hint="eastAsia" w:eastAsia="仿宋_GB2312"/>
          <w:color w:val="000000"/>
          <w:kern w:val="0"/>
          <w:sz w:val="32"/>
          <w:szCs w:val="28"/>
        </w:rPr>
        <w:t>21</w:t>
      </w:r>
      <w:r>
        <w:rPr>
          <w:rFonts w:hint="eastAsia" w:ascii="仿宋_GB2312" w:eastAsia="仿宋_GB2312"/>
          <w:color w:val="000000"/>
          <w:kern w:val="0"/>
          <w:sz w:val="32"/>
          <w:szCs w:val="28"/>
        </w:rPr>
        <w:t>〕</w:t>
      </w:r>
      <w:r>
        <w:rPr>
          <w:rFonts w:hint="eastAsia" w:ascii="仿宋_GB2312" w:eastAsia="仿宋_GB2312"/>
          <w:color w:val="000000"/>
          <w:kern w:val="0"/>
          <w:sz w:val="32"/>
          <w:szCs w:val="28"/>
          <w:lang w:val="en-US" w:eastAsia="zh-CN"/>
        </w:rPr>
        <w:t>89</w:t>
      </w:r>
      <w:r>
        <w:rPr>
          <w:rFonts w:eastAsia="仿宋_GB2312"/>
          <w:color w:val="000000"/>
          <w:kern w:val="0"/>
          <w:sz w:val="32"/>
          <w:szCs w:val="28"/>
        </w:rPr>
        <w:t>号</w:t>
      </w:r>
    </w:p>
    <w:p>
      <w:pPr>
        <w:pageBreakBefore w:val="0"/>
        <w:topLinePunct w:val="0"/>
        <w:bidi w:val="0"/>
        <w:outlineLvl w:val="9"/>
        <w:rPr>
          <w:rFonts w:ascii="华文中宋" w:hAnsi="华文中宋" w:eastAsia="华文中宋"/>
          <w:b/>
          <w:sz w:val="36"/>
          <w:szCs w:val="36"/>
        </w:rPr>
      </w:pPr>
      <w:r>
        <w:rPr>
          <w:rFonts w:eastAsia="仿宋_GB2312"/>
          <w:color w:val="FF0000"/>
          <w:sz w:val="36"/>
          <w:szCs w:val="36"/>
          <w:u w:val="thick"/>
        </w:rPr>
        <w:t xml:space="preserve">                                               </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0"/>
        <w:rPr>
          <w:rFonts w:ascii="华文中宋" w:hAnsi="华文中宋" w:eastAsia="华文中宋"/>
          <w:b/>
          <w:sz w:val="36"/>
          <w:szCs w:val="36"/>
        </w:rPr>
      </w:pPr>
      <w:bookmarkStart w:id="363" w:name="_Toc27737"/>
      <w:r>
        <w:rPr>
          <w:rFonts w:hint="eastAsia" w:ascii="华文中宋" w:hAnsi="华文中宋" w:eastAsia="华文中宋"/>
          <w:b/>
          <w:sz w:val="36"/>
          <w:szCs w:val="36"/>
        </w:rPr>
        <w:t>关于</w:t>
      </w:r>
      <w:r>
        <w:rPr>
          <w:rFonts w:ascii="华文中宋" w:hAnsi="华文中宋" w:eastAsia="华文中宋"/>
          <w:b/>
          <w:sz w:val="36"/>
          <w:szCs w:val="36"/>
        </w:rPr>
        <w:t>印发《</w:t>
      </w:r>
      <w:r>
        <w:rPr>
          <w:rFonts w:hint="eastAsia" w:ascii="华文中宋" w:hAnsi="华文中宋" w:eastAsia="华文中宋"/>
          <w:b/>
          <w:sz w:val="36"/>
          <w:szCs w:val="36"/>
        </w:rPr>
        <w:t>上海电子信息职业技术学院学生学籍管理规定》</w:t>
      </w:r>
      <w:r>
        <w:rPr>
          <w:rFonts w:ascii="华文中宋" w:hAnsi="华文中宋" w:eastAsia="华文中宋"/>
          <w:b/>
          <w:sz w:val="36"/>
          <w:szCs w:val="36"/>
        </w:rPr>
        <w:t>的</w:t>
      </w:r>
      <w:r>
        <w:rPr>
          <w:rFonts w:hint="eastAsia" w:ascii="华文中宋" w:hAnsi="华文中宋" w:eastAsia="华文中宋"/>
          <w:b/>
          <w:sz w:val="36"/>
          <w:szCs w:val="36"/>
        </w:rPr>
        <w:t>通知</w:t>
      </w:r>
      <w:bookmarkEnd w:id="363"/>
    </w:p>
    <w:p>
      <w:pPr>
        <w:pageBreakBefore w:val="0"/>
        <w:topLinePunct w:val="0"/>
        <w:bidi w:val="0"/>
        <w:spacing w:line="520" w:lineRule="exact"/>
        <w:outlineLvl w:val="9"/>
        <w:rPr>
          <w:rFonts w:ascii="仿宋_GB2312" w:eastAsia="仿宋_GB2312"/>
          <w:sz w:val="24"/>
        </w:rPr>
      </w:pPr>
    </w:p>
    <w:p>
      <w:pPr>
        <w:pageBreakBefore w:val="0"/>
        <w:topLinePunct w:val="0"/>
        <w:bidi w:val="0"/>
        <w:spacing w:line="336" w:lineRule="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各教学单位、职能部门：</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现将《上海电子信息职业技术学院学生学籍管理规定》发给你们，请结合本部门工作实际，认真研究执行。</w:t>
      </w:r>
    </w:p>
    <w:p>
      <w:pPr>
        <w:pageBreakBefore w:val="0"/>
        <w:topLinePunct w:val="0"/>
        <w:bidi w:val="0"/>
        <w:spacing w:line="336" w:lineRule="auto"/>
        <w:outlineLvl w:val="9"/>
        <w:rPr>
          <w:rFonts w:hint="eastAsia" w:ascii="仿宋_GB2312" w:hAnsi="TTEditFont" w:eastAsia="仿宋_GB2312" w:cs="仿宋_GB2312"/>
          <w:color w:val="000000"/>
          <w:sz w:val="28"/>
          <w:szCs w:val="30"/>
          <w:lang w:eastAsia="zh-CN"/>
        </w:rPr>
      </w:pP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附件：上海电子信息职业技术学院学生学籍管理规定</w:t>
      </w:r>
    </w:p>
    <w:p>
      <w:pPr>
        <w:pageBreakBefore w:val="0"/>
        <w:topLinePunct w:val="0"/>
        <w:bidi w:val="0"/>
        <w:spacing w:line="336" w:lineRule="auto"/>
        <w:outlineLvl w:val="9"/>
        <w:rPr>
          <w:rFonts w:hint="eastAsia" w:ascii="仿宋_GB2312" w:hAnsi="TTEditFont" w:eastAsia="仿宋_GB2312" w:cs="仿宋_GB2312"/>
          <w:color w:val="000000"/>
          <w:sz w:val="28"/>
          <w:szCs w:val="30"/>
          <w:lang w:eastAsia="zh-CN"/>
        </w:rPr>
      </w:pPr>
    </w:p>
    <w:p>
      <w:pPr>
        <w:pageBreakBefore w:val="0"/>
        <w:topLinePunct w:val="0"/>
        <w:bidi w:val="0"/>
        <w:spacing w:line="336" w:lineRule="auto"/>
        <w:outlineLvl w:val="9"/>
        <w:rPr>
          <w:rFonts w:hint="eastAsia" w:ascii="仿宋_GB2312" w:hAnsi="TTEditFont" w:eastAsia="仿宋_GB2312" w:cs="仿宋_GB2312"/>
          <w:color w:val="000000"/>
          <w:sz w:val="28"/>
          <w:szCs w:val="30"/>
          <w:lang w:eastAsia="zh-CN"/>
        </w:rPr>
      </w:pPr>
    </w:p>
    <w:p>
      <w:pPr>
        <w:pageBreakBefore w:val="0"/>
        <w:topLinePunct w:val="0"/>
        <w:bidi w:val="0"/>
        <w:spacing w:line="336" w:lineRule="auto"/>
        <w:ind w:firstLine="4760" w:firstLineChars="1700"/>
        <w:outlineLvl w:val="9"/>
        <w:rPr>
          <w:rFonts w:hint="eastAsia" w:ascii="仿宋_GB2312" w:hAnsi="TTEditFont" w:eastAsia="仿宋_GB2312" w:cs="仿宋_GB2312"/>
          <w:color w:val="000000"/>
          <w:sz w:val="28"/>
          <w:szCs w:val="30"/>
          <w:lang w:eastAsia="zh-CN"/>
        </w:rPr>
      </w:pPr>
    </w:p>
    <w:p>
      <w:pPr>
        <w:pageBreakBefore w:val="0"/>
        <w:topLinePunct w:val="0"/>
        <w:bidi w:val="0"/>
        <w:spacing w:line="336" w:lineRule="auto"/>
        <w:ind w:firstLine="4760" w:firstLineChars="1700"/>
        <w:outlineLvl w:val="9"/>
        <w:rPr>
          <w:rFonts w:hint="eastAsia" w:ascii="仿宋_GB2312" w:hAnsi="TTEditFont" w:eastAsia="仿宋_GB2312" w:cs="仿宋_GB2312"/>
          <w:color w:val="000000"/>
          <w:sz w:val="28"/>
          <w:szCs w:val="30"/>
          <w:lang w:eastAsia="zh-CN"/>
        </w:rPr>
      </w:pPr>
    </w:p>
    <w:p>
      <w:pPr>
        <w:pageBreakBefore w:val="0"/>
        <w:topLinePunct w:val="0"/>
        <w:bidi w:val="0"/>
        <w:spacing w:line="336" w:lineRule="auto"/>
        <w:ind w:firstLine="4760" w:firstLineChars="17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 xml:space="preserve">上海电子信息职业技术学院 </w:t>
      </w:r>
    </w:p>
    <w:p>
      <w:pPr>
        <w:pageBreakBefore w:val="0"/>
        <w:topLinePunct w:val="0"/>
        <w:bidi w:val="0"/>
        <w:spacing w:line="336" w:lineRule="auto"/>
        <w:outlineLvl w:val="9"/>
        <w:rPr>
          <w:rFonts w:eastAsia="华文中宋"/>
          <w:b/>
          <w:sz w:val="28"/>
          <w:szCs w:val="28"/>
        </w:rPr>
      </w:pPr>
      <w:r>
        <w:rPr>
          <w:rFonts w:hint="eastAsia" w:ascii="仿宋_GB2312" w:hAnsi="TTEditFont" w:eastAsia="仿宋_GB2312" w:cs="仿宋_GB2312"/>
          <w:color w:val="000000"/>
          <w:sz w:val="28"/>
          <w:szCs w:val="30"/>
          <w:lang w:eastAsia="zh-CN"/>
        </w:rPr>
        <w:t xml:space="preserve">                      </w:t>
      </w:r>
      <w:r>
        <w:rPr>
          <w:rFonts w:hint="eastAsia" w:ascii="仿宋_GB2312" w:hAnsi="TTEditFont" w:eastAsia="仿宋_GB2312" w:cs="仿宋_GB2312"/>
          <w:color w:val="000000"/>
          <w:sz w:val="28"/>
          <w:szCs w:val="30"/>
          <w:lang w:val="en-US" w:eastAsia="zh-CN"/>
        </w:rPr>
        <w:t xml:space="preserve">                </w:t>
      </w:r>
      <w:r>
        <w:rPr>
          <w:rFonts w:hint="eastAsia" w:ascii="仿宋_GB2312" w:hAnsi="TTEditFont" w:eastAsia="仿宋_GB2312" w:cs="仿宋_GB2312"/>
          <w:color w:val="000000"/>
          <w:sz w:val="28"/>
          <w:szCs w:val="30"/>
          <w:lang w:eastAsia="zh-CN"/>
        </w:rPr>
        <w:t xml:space="preserve"> 2021 年8月</w:t>
      </w:r>
      <w:r>
        <w:rPr>
          <w:rFonts w:hint="eastAsia" w:ascii="仿宋_GB2312" w:hAnsi="TTEditFont" w:eastAsia="仿宋_GB2312" w:cs="仿宋_GB2312"/>
          <w:color w:val="000000"/>
          <w:sz w:val="28"/>
          <w:szCs w:val="30"/>
          <w:lang w:val="en-US" w:eastAsia="zh-CN"/>
        </w:rPr>
        <w:t>12</w:t>
      </w:r>
      <w:r>
        <w:rPr>
          <w:rFonts w:hint="eastAsia" w:ascii="仿宋_GB2312" w:hAnsi="TTEditFont" w:eastAsia="仿宋_GB2312" w:cs="仿宋_GB2312"/>
          <w:color w:val="000000"/>
          <w:sz w:val="28"/>
          <w:szCs w:val="30"/>
          <w:lang w:eastAsia="zh-CN"/>
        </w:rPr>
        <w:t>日</w:t>
      </w:r>
    </w:p>
    <w:p>
      <w:pPr>
        <w:pageBreakBefore w:val="0"/>
        <w:topLinePunct w:val="0"/>
        <w:bidi w:val="0"/>
        <w:spacing w:line="336" w:lineRule="auto"/>
        <w:outlineLvl w:val="9"/>
        <w:rPr>
          <w:rFonts w:hint="eastAsia" w:ascii="仿宋_GB2312" w:hAnsi="TTEditFont" w:eastAsia="仿宋_GB2312" w:cs="仿宋_GB2312"/>
          <w:color w:val="000000"/>
          <w:sz w:val="28"/>
          <w:szCs w:val="30"/>
          <w:lang w:eastAsia="zh-CN"/>
        </w:rPr>
      </w:pPr>
    </w:p>
    <w:p>
      <w:pPr>
        <w:pageBreakBefore w:val="0"/>
        <w:topLinePunct w:val="0"/>
        <w:bidi w:val="0"/>
        <w:spacing w:line="336" w:lineRule="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附件：</w:t>
      </w:r>
    </w:p>
    <w:p>
      <w:pPr>
        <w:pageBreakBefore w:val="0"/>
        <w:widowControl/>
        <w:topLinePunct w:val="0"/>
        <w:bidi w:val="0"/>
        <w:adjustRightInd w:val="0"/>
        <w:snapToGrid w:val="0"/>
        <w:spacing w:line="520" w:lineRule="exact"/>
        <w:jc w:val="center"/>
        <w:outlineLvl w:val="9"/>
        <w:rPr>
          <w:rFonts w:hint="eastAsia" w:ascii="黑体" w:hAnsi="黑体" w:eastAsia="黑体" w:cs="黑体"/>
          <w:b/>
          <w:sz w:val="36"/>
          <w:szCs w:val="36"/>
        </w:rPr>
      </w:pPr>
      <w:r>
        <w:rPr>
          <w:rFonts w:hint="eastAsia" w:ascii="黑体" w:hAnsi="黑体" w:eastAsia="黑体" w:cs="黑体"/>
          <w:b/>
          <w:sz w:val="36"/>
          <w:szCs w:val="36"/>
        </w:rPr>
        <w:t>上海电子信息职业技术学院</w:t>
      </w:r>
    </w:p>
    <w:p>
      <w:pPr>
        <w:pageBreakBefore w:val="0"/>
        <w:widowControl/>
        <w:topLinePunct w:val="0"/>
        <w:bidi w:val="0"/>
        <w:adjustRightInd w:val="0"/>
        <w:snapToGrid w:val="0"/>
        <w:spacing w:line="520" w:lineRule="exact"/>
        <w:jc w:val="center"/>
        <w:outlineLvl w:val="9"/>
        <w:rPr>
          <w:rFonts w:hint="eastAsia" w:ascii="黑体" w:hAnsi="黑体" w:eastAsia="黑体" w:cs="黑体"/>
          <w:b/>
          <w:sz w:val="36"/>
          <w:szCs w:val="36"/>
        </w:rPr>
      </w:pPr>
      <w:r>
        <w:rPr>
          <w:rFonts w:hint="eastAsia" w:ascii="黑体" w:hAnsi="黑体" w:eastAsia="黑体" w:cs="黑体"/>
          <w:b/>
          <w:sz w:val="36"/>
          <w:szCs w:val="36"/>
        </w:rPr>
        <w:t>学生学籍管理规定</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一、总则</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为了全面贯彻国家教育方针，维护学校正常的教育教学秩序，保障学生合法权益，培养社会主义现代化建设需要的高素质技术技能人才，积极推进素质教育，注重能力培养，充分调动和发挥学生自主学习的积极性，使学生在德、智、体、美、劳等方面得到全面发展。根据教育部颁布的《普通高等学校学生管理规定》（教育部令第41号），对原“上海电子信息职业技术学院学生学籍管理规定”作部分修改，并制订本规定。</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二、入学与注册</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新生的录取必须符合国家有关招生规定、并经上海市教育委员会审核批准。录取的新生必须持录取通知书、身份证等有效证件，在学校规定的报到时间里到校办理入学手续。因故不能按期入学的，应在学校规定的报到时间内向学校提出书面请假申请，请假时间一般不得超过两周。未按时请假或请假期限届满未报到的，除因不可抗力等正当事由以外，视为放弃入学资格。</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学校在报到时对新生入学资格进行初步审查，审查内容包括录取材料查验、身份查验、图像采集等。审查合格的办理入学手续，予以注册学籍；审查发现新生的录取通知书、考生信息等证明材料与本人实际情况不符，或者有其他违反国家招生考试规定情形的，取消入学资格。</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新生可以申请保留入学资格，保留入学资格期间不具有学籍。对患有疾病的新生，经二级甲等以上医院诊断不宜在学校学习的，可以申请保留入学资格一年。在保留入学资格期内经治疗康复，可以向学校申请入学，由二级甲等以上医院诊断，符合体检要求，经学校复查合格后，办理入学手续。逾期不办理入学手续且未有因不可抗力延迟等正当理由的，视为放弃入学资格。</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录取新生当年参加中国人民解放军（含中国人民武装警察部队），可按照有关规定申请办理保留入学资格，学校为其保留入学资格至退役后两年，退役后可按照学校有关规定办理报到入学。</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4.学校在新生报到入学三个月内按照国家招生规定进行复查，复查内容主要包括以下方面：</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（1）录取手续及程序等是否合乎国家招生规定；</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（2）所获得的录取资格是否真实、合乎相关规定；</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（3）本人及身份证明与录取通知、考生档案等是否一致；</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（4）身心健康状况是否符合报考专业或者专业类别体检要求，能否保证在校正常学习、生活；</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（5）艺术、体育等特殊类型录取学生的专业水平是否符合录取要求。</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复查中发现学生存在弄虚作假、徇私舞弊等情形的，确定为复查不合格，学校将取消该生学籍；情节严重的，移交有关部门调查处理。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复查中发现学生身心状况不适宜在校学习，经二级甲等以上医院诊断需要在家休养的，可按照第3条规定办理保留入学资格。</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每学期开学时，学生须按学校规定在开学三周内办理注册手续。不能如期注册者，应当履行暂缓注册手续。注册、暂缓注册按照学校《学生注册管理办法》要求办理。未按学校规定缴纳学费或者有其他不符合注册条件的，不予注册。</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家庭经济困难的学生可以申请助学贷款或者其他形式资助，办妥有关手续后办理注册。</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6.凡取得我校学籍的学生，在籍期间不得报考国内外其他普通高等院校。</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三、学籍档案</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7.新生入学后，学校为学生建立学籍档案，主要包括：报名录取档案材料、学籍卡、奖惩记载、学生成绩总表、毕业生登记表等。学生学籍档案由学校指定专人管理，按有关规定使用与转移。</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8.学生毕业、结业、退学或注销学籍后，学籍卡由学校归档、保存。</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9.学生在校期间个人身份信息修改的，需向学校提交由公安机关出具的相关身份信息变更证明等材料，经学校和上海市教育委员会审核后变更其有关信息。</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10.新生按入学时的录取专业确定学号；学号一经排定，不作更改。</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四、学制与学分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11.高等职业教育基本学制为三年；中高职教育贯通培养（以下简称“贯通培养”）高职阶段基本学制为两年。</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12.学生在校最长学习年限一般不得超过六年；贯通培养学生高职阶段的最长学习年限一般不得超过四年。</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13.普通高等职业教育专业人才培养方案规定修读的学分一般不得少于144学分；贯通培养高职阶段专业人才培养方案规定修读的学分一般不得少于90学分,课程学分原则上为16-18课时1学分，集中实践性性环节课程30课时1学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五、课程考核与成绩记载</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14.各专业课程主要由公共基础必修课、专业必修课（以下简称“必修”），公共通识和公共艺术选修课、专业选修课（以下简称“选修”）等构成。学生应修读所在专业开设的所有课程，并按要求参加考核，考核成绩载入学生成绩总表，归入学生本人学籍档案。</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15.课程考核分为考试和考查两种，课程考核方式由各二级学院根据课程特点加以确定，并在人才培养方案中注明，一般建议考试课程平时成绩占40%，期末成绩占60%；考查课程平时成绩占60%，期末成绩占40%；顶岗实习过程成绩占80%，答辩成绩占20%。</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16.凡缺考或考试作弊者，不得参加补考，学生必须复读该课程，并在成绩单的相应位置录入“旷缺”或“作弊”字样。</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17.成绩包括获取方式和分值两部分：获取方式指正考、补考、复读等；分值指具体分数值，以百分制记。不同的成绩分值对应不同的绩点（考核成绩分值60分，对应成绩绩点为1.0，以后每增加1分对应增加0.1个绩点），对应关系如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eastAsia="仿宋_GB2312"/>
          <w:kern w:val="0"/>
          <w:sz w:val="24"/>
        </w:rPr>
      </w:pPr>
    </w:p>
    <w:tbl>
      <w:tblPr>
        <w:tblStyle w:val="37"/>
        <w:tblW w:w="5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2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eastAsia="仿宋_GB2312"/>
                <w:kern w:val="0"/>
                <w:sz w:val="24"/>
              </w:rPr>
            </w:pPr>
            <w:r>
              <w:rPr>
                <w:rFonts w:hint="eastAsia" w:eastAsia="仿宋_GB2312"/>
                <w:kern w:val="0"/>
                <w:sz w:val="24"/>
              </w:rPr>
              <w:t>成绩分值</w:t>
            </w:r>
          </w:p>
        </w:tc>
        <w:tc>
          <w:tcPr>
            <w:tcW w:w="262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eastAsia="仿宋_GB2312"/>
                <w:kern w:val="0"/>
                <w:sz w:val="24"/>
              </w:rPr>
            </w:pPr>
            <w:r>
              <w:rPr>
                <w:rFonts w:hint="eastAsia" w:eastAsia="仿宋_GB2312"/>
                <w:kern w:val="0"/>
                <w:sz w:val="24"/>
              </w:rPr>
              <w:t>绩点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eastAsia="仿宋_GB2312"/>
                <w:kern w:val="0"/>
                <w:sz w:val="24"/>
              </w:rPr>
            </w:pPr>
            <w:r>
              <w:rPr>
                <w:rFonts w:hint="eastAsia" w:eastAsia="仿宋_GB2312"/>
                <w:kern w:val="0"/>
                <w:sz w:val="24"/>
              </w:rPr>
              <w:t>≥90</w:t>
            </w:r>
          </w:p>
        </w:tc>
        <w:tc>
          <w:tcPr>
            <w:tcW w:w="262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eastAsia="仿宋_GB2312"/>
                <w:kern w:val="0"/>
                <w:sz w:val="24"/>
              </w:rPr>
            </w:pPr>
            <w:r>
              <w:rPr>
                <w:rFonts w:hint="eastAsia" w:eastAsia="仿宋_GB2312"/>
                <w:kern w:val="0"/>
                <w:sz w:val="24"/>
              </w:rPr>
              <w:t>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eastAsia="仿宋_GB2312"/>
                <w:kern w:val="0"/>
                <w:sz w:val="24"/>
              </w:rPr>
            </w:pPr>
            <w:r>
              <w:rPr>
                <w:rFonts w:hint="eastAsia" w:eastAsia="仿宋_GB2312"/>
                <w:kern w:val="0"/>
                <w:sz w:val="24"/>
              </w:rPr>
              <w:t>80-89</w:t>
            </w:r>
          </w:p>
        </w:tc>
        <w:tc>
          <w:tcPr>
            <w:tcW w:w="262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eastAsia="仿宋_GB2312"/>
                <w:kern w:val="0"/>
                <w:sz w:val="24"/>
              </w:rPr>
            </w:pPr>
            <w:r>
              <w:rPr>
                <w:rFonts w:hint="eastAsia" w:eastAsia="仿宋_GB2312"/>
                <w:kern w:val="0"/>
                <w:sz w:val="24"/>
              </w:rPr>
              <w:t>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eastAsia="仿宋_GB2312"/>
                <w:kern w:val="0"/>
                <w:sz w:val="24"/>
              </w:rPr>
            </w:pPr>
            <w:r>
              <w:rPr>
                <w:rFonts w:hint="eastAsia" w:eastAsia="仿宋_GB2312"/>
                <w:kern w:val="0"/>
                <w:sz w:val="24"/>
              </w:rPr>
              <w:t>70-79</w:t>
            </w:r>
          </w:p>
        </w:tc>
        <w:tc>
          <w:tcPr>
            <w:tcW w:w="262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eastAsia="仿宋_GB2312"/>
                <w:kern w:val="0"/>
                <w:sz w:val="24"/>
              </w:rPr>
            </w:pPr>
            <w:r>
              <w:rPr>
                <w:rFonts w:hint="eastAsia" w:eastAsia="仿宋_GB2312"/>
                <w:kern w:val="0"/>
                <w:sz w:val="24"/>
              </w:rPr>
              <w:t>2.0－2.9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8"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eastAsia="仿宋_GB2312"/>
                <w:kern w:val="0"/>
                <w:sz w:val="24"/>
              </w:rPr>
            </w:pPr>
            <w:r>
              <w:rPr>
                <w:rFonts w:hint="eastAsia" w:eastAsia="仿宋_GB2312"/>
                <w:kern w:val="0"/>
                <w:sz w:val="24"/>
              </w:rPr>
              <w:t>60-69</w:t>
            </w:r>
          </w:p>
        </w:tc>
        <w:tc>
          <w:tcPr>
            <w:tcW w:w="262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eastAsia="仿宋_GB2312"/>
                <w:kern w:val="0"/>
                <w:sz w:val="24"/>
              </w:rPr>
            </w:pPr>
            <w:r>
              <w:rPr>
                <w:rFonts w:hint="eastAsia" w:eastAsia="仿宋_GB2312"/>
                <w:kern w:val="0"/>
                <w:sz w:val="24"/>
              </w:rPr>
              <w:t>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628"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eastAsia="仿宋_GB2312"/>
                <w:kern w:val="0"/>
                <w:sz w:val="24"/>
              </w:rPr>
            </w:pPr>
            <w:r>
              <w:rPr>
                <w:rFonts w:hint="eastAsia" w:eastAsia="仿宋_GB2312"/>
                <w:kern w:val="0"/>
                <w:sz w:val="24"/>
              </w:rPr>
              <w:t>&lt;60</w:t>
            </w:r>
          </w:p>
        </w:tc>
        <w:tc>
          <w:tcPr>
            <w:tcW w:w="2629"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eastAsia="仿宋_GB2312"/>
                <w:kern w:val="0"/>
                <w:sz w:val="24"/>
              </w:rPr>
            </w:pPr>
            <w:r>
              <w:rPr>
                <w:rFonts w:hint="eastAsia" w:eastAsia="仿宋_GB2312"/>
                <w:kern w:val="0"/>
                <w:sz w:val="24"/>
              </w:rPr>
              <w:t>0</w:t>
            </w:r>
          </w:p>
        </w:tc>
      </w:tr>
    </w:tbl>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一门课程的成绩记载包括成绩分值、学分、绩点和课程性质（必修、选修、限选）等。学生成绩总表中还应包括学生修读学分总数和平均绩点，其中平均绩点的计算方法为：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center"/>
        <w:textAlignment w:val="auto"/>
        <w:outlineLvl w:val="9"/>
        <w:rPr>
          <w:rFonts w:eastAsia="仿宋_GB2312"/>
          <w:kern w:val="0"/>
          <w:sz w:val="24"/>
        </w:rPr>
      </w:pPr>
      <w:r>
        <w:rPr>
          <w:rFonts w:eastAsia="仿宋_GB2312"/>
          <w:kern w:val="0"/>
          <w:sz w:val="24"/>
        </w:rPr>
        <w:pict>
          <v:shape id="Object 425" o:spid="_x0000_s1301" o:spt="75" type="#_x0000_t75" style="position:absolute;left:0pt;margin-left:91.75pt;margin-top:13.4pt;height:45pt;width:108.7pt;mso-wrap-distance-bottom:0pt;mso-wrap-distance-left:9pt;mso-wrap-distance-right:9pt;mso-wrap-distance-top:0pt;z-index:251860992;mso-width-relative:page;mso-height-relative:page;" o:ole="t" filled="f" o:preferrelative="f" stroked="f" coordsize="21600,21600">
            <v:path/>
            <v:fill on="f" focussize="0,0"/>
            <v:stroke on="f" joinstyle="miter"/>
            <v:imagedata r:id="rId13" o:title=""/>
            <o:lock v:ext="edit" aspectratio="f"/>
            <w10:wrap type="square"/>
          </v:shape>
          <o:OLEObject Type="Embed" ProgID="" ShapeID="Object 425" DrawAspect="Content" ObjectID="_1468075730" r:id="rId20">
            <o:LockedField>false</o:LockedField>
          </o:OLEObject>
        </w:pic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center"/>
        <w:textAlignment w:val="auto"/>
        <w:outlineLvl w:val="9"/>
        <w:rPr>
          <w:rFonts w:eastAsia="仿宋_GB2312"/>
          <w:kern w:val="0"/>
          <w:sz w:val="24"/>
        </w:rPr>
      </w:pPr>
      <w:r>
        <w:rPr>
          <w:rFonts w:hint="eastAsia" w:eastAsia="仿宋_GB2312"/>
          <w:kern w:val="0"/>
          <w:sz w:val="24"/>
        </w:rPr>
        <w:t>平均绩点=</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center"/>
        <w:textAlignment w:val="auto"/>
        <w:outlineLvl w:val="9"/>
        <w:rPr>
          <w:rFonts w:eastAsia="仿宋_GB2312"/>
          <w:kern w:val="0"/>
          <w:sz w:val="24"/>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eastAsia="仿宋_GB2312"/>
          <w:kern w:val="0"/>
          <w:sz w:val="24"/>
        </w:rPr>
      </w:pPr>
      <w:r>
        <w:rPr>
          <w:rFonts w:hint="eastAsia" w:eastAsia="仿宋_GB2312"/>
          <w:kern w:val="0"/>
          <w:sz w:val="24"/>
        </w:rPr>
        <w:t>（其中：课程的学分绩点＝学分×绩点）</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18.学生体育成绩评定突出过程管理，主要根据考勤、课内教学、课外锻炼活动和体质健康等情况综合评定。</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19.学生参加创新创业、社会实践等活动以及发表论文、获得专利授权等与专业学习、学业要求相关的经历、成果，由二级学院审定，可以折算为创新创业教育学分，计入学业成绩。</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20.军事理论属于必修课，学生因身体疾病或某种生理缺陷，经二级甲等以上医院诊断不能正常参加军事技能的，可在军训前向所在二级学院提出缓训、免训或半训申请，并报武装部审核批准。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21.学生旷课累计达到某门课程教学时数三分之一者，不得参加该课程的考核，必须复读该课程。</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22.为保证考试顺利进行，考试期间原则上不准请假。因故不能参加考试的学生须在考试前申请缓考，一门课程学生只准申请缓考一次，原则上补考不得申请缓考。缓考不及格者，不再予以补考，应复读该门课程。</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23.学生修读第二课堂规定的20积分，可向学校团委第二课堂实施办公室申请兑换公共通识教育选修课1学分，兑换总分不得超过2学分。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六、选课与免修</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24.按《学分制管理规定》的要求，学生实行选课学习。学生应按专业人才培养方案的安排修读各门课程，并在规定的学习年限内取得所学专业规定修读的所有学分。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25.学生在每学期选课前应详细阅读本专业的人才培养方案和课程简介，根据本人的学习能力慎重选课。</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26.已修读过并取得学分的课程不得再修。</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27.除人才培养方案规定的思想政治教育、安全教育、创业创新教育、体育、劳动、艺术和实践性教学等课程外，其他课程满足以下几种情况可以申请免修并取得折算成绩，或参加考试，以考试成绩记分：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（1）学生转专业后，原已修读并取得学分的课程可以免修。</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持有高等教育自学考试单科合格证书或持有国家、上海市人力资源与社会保障部门颁发的职业资格证书或行企业职业技能等级证书的学生，可申请免修与教学标准要求相一致的课程。经审核批准后，给予相应学分，成绩以80分计，并在学籍档案中记录证书明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 xml:space="preserve">（3）学生参加上海电子信息职业技术学院考点组织的高等学校英语应用能力考试，获取高等学校英语应用能力考试证书(PET)，只可抵充获取证书当学期公共英语课程补考或重修成绩，给予相应的学分，成绩以60分计，且只对获取证书的本学期有效，不得申请公共英语课程免修；参加本校考点组织的大学英语四级考试，成绩在425分（含425分）以上，可申请免修或抵充任何一学期的公共英语课程，并给予相应学分，成绩以80分计。  </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公共英语课程免修或抵充，均需在学生取得证书原件后提出申请。上述免修细则，均不适用于高本贯通专业的学生，高本贯通专业的学生参加本校考点组织的大学英语六级考试，成绩在425分（含425分）以上，才可免修或抵充任何一学期的公共英语课程，并给予相应学分，成绩以80分计。免修或抵充等相关手续需向外语学院提出申请，审核通过后方可给予相应学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（4）学生参加上海电子信息职业技术学院考点组织的上海市高校计算机等级考试，获得一级证书，可免修或抵充计算机应用基础课程，并给予相应学分，成绩优秀的以80分计，成绩合格的以60分计。</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学生参加全国一类职业技能竞赛、世界技能大赛，取得三等奖以上成绩，或参与全国一类大赛集训、世界技能大赛集训，均可免修参加竞赛、集训所在学期的所有课程，并取得相应的学分，具体成绩折算方法可根据《上海电子信息职业技术学院学生参加校外职业技能竞赛管理办法》中具体要求执行。</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6）根据《退役士兵安置条例》（国务院令第608号）第28条规定，退役学生可以免修体育和军事理论，直接获得学分。体育以85分记，军事理论以95分记，如学生在服役期间有立功或嘉奖，各二级学院可适当上调分值。</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体育和军事理论课程免修办理流程为：退役学生在每学期开学一周内向所在二级学院提出相关课程免修申请；各二级学院在每学期开学三周内向体育和军事理论课程所在授课部门提供免修学生名单和成绩；授课部门负责通知有关任课教师按照免修办理并给予成绩。</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根据《教育部办公厅关于进一步做好高校学生参军入伍的通知》（教学厅[2015]3号）第10条规定，退役学生入伍经历可作为毕业实习经历。我校退役学生办理免听手续后，可以不用参加毕业顶岗实习，但必须撰写毕业顶岗实习报告，参加毕业顶岗实习答辩，答辩通过后方可获得学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七、学业警告</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28.一学期经考核未取得所修课程的学分累计达到或超过12学分者，二级学院应向学生或家长送达《学业警告通知单》，给予其学业警告。因家庭地址或联系方式变更导致无法送达的，可通过二级学院网站以公告方式送达，公告发布时间不得少于四周。</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29.学生受到学业警告后，应及时安排好不及格课程的复读；在无力复读的情况下可申请降级继续学习。降级学生按降级以后所在年级的收费标准缴费、注册。</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八、补考与复读</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30.学生考核不及格的课程，可参加补考，补考只有一次。公共基础选修、公共艺术选修课一般不组织补考,学生应通过复读来完成规定的学分；复读可以选修同一门课程，也可以选修其他课程。</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补考及格的课程成绩以“60分”计，补考不及格的课程必须复读。</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31.缺交实训报告或在一学期内缺交一门课程的三分之一作业者不得参加该课程的考核，补足实训报告或作业后只能参加该门课程的补考。单列课程的大型作业、课程设计、实习、实训与毕业顶岗实习等实践性教学环节不设补考，考核不及格者必须复读。学生必须按时提交毕业顶岗实习报告并参加毕业顶岗实习答辩，因故不能按时参加答辩的，须在答辩前三天向所在二级学院提交暂缓答辩书面申请，报二级学院审核批准；无故未参加答辩的必须复读毕业顶岗实习，重新参加实习，重新撰写实习报告并参加答辩。</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32.学生应根据学校有关要求参加复读选课，选课时应避免复读课程与在读课程的时间冲突，如复读课程较多也可以选择降级学习。学生应按规定缴纳复读费用，办理复读注册手续。学生在同一学期参加复读课程原则上不得超过三门。</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33.复读所选的课程，必修课、选修课不能相互替代。必修课程应复读人才培养方案规定的原课程；选修课程在限定选修的范围内可选择其他未修的课程代替，但复读所选课程的学分应不低于原所修课程的学分。在最长学习年限内，同一课程在考核未通过前可以复读多次。</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34.学生复读课程考核合格，在学生成绩总表中记载成绩并标注“复读”，考核不及格的可以参加补考。</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35.学生因参加竞赛、顶岗实习等学校重大教学活动，造成复读无法跟班上课的，可选择该课程在线学习；无在线课程的，应于上课前向任课教师提交《在线课程学习申请表》办理手续，经审核同意后实行在线课程修读，并按照教师要求完成相关作业提交和课程考核。</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九、考勤</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36.学生应按时参加课程学习和其他教育教学活动，并接受考勤。因故不能参加的，应当事先请假并获得批准，无故缺席者作旷课处理。其中，人才培养方案中规定的实践性教学环节，每缺勤一天按旷课6学时计。</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37.学生迟到、早退累计3次作旷课1学时处理。对旷课的学生，二级学院应及时予以批评教育，并按有关规定进行处理。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十、转专业与转学</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38.学生应在被录取专业完成学业，一般不得转专业。学生在学习期间对其他专业有兴趣和专长的，可以申请转专业，按照学校《学生转专业管理办法》要求办理。贯通培养的学生原则上不得转专业。学生提出转专业申请后，原则上不得撤回。</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学校按规定对转专业结果进行公示。</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39.学生一般应当在被录取学校完成学业。因患病或者有特殊困难、特别需要，无法继续在学校学习或者不适应学校学习要求的，可以申请转学。有下列情形之一，不得转学：</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（1）入学未满一学期或者毕业前一年的；</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（2）高考成绩低于拟转入学校相关专业同一生源地相应年份录取成绩的；</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（3）由低学历层次转为高学历层次的；</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（4）以定向就业招生录取的；</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（5）无正当转学理由的。</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　学生因学校培养条件改变等非本人原因需要转学的，学校应当出具证明，由所在地省级教育行政部门协调转学到同层次学校。</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40.学生转学由学生本人提出申请，说明理由，经所在学校和拟转入学校同意，由转入学校负责审核转学条件及相关证明，认为符合本校培养要求且学校有培养能力的，经学校校长办公会或者专题会议研究决定，可以转入。学校按规定对转学结果进行公示。</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跨省转学的，由转出地省级教育行政部门商转入地省级教育行政部门，按转学条件确认后办理转学手续。须转户口的由转入地省级教育行政部门将有关文件抄送转入学校所在地的公安机关。</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十一、休学、复学、退学</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41.学生有下列情况之一者，应予休学：</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（1）因病经二级甲等以上医院诊断，须停课治疗、休养占一学期总学时三分之一以上者；</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（2）根据考勤，一学期请假、缺课超过该学期总学时三分之一者；</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（3）学生申请自主创业的；</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（4）因某种特殊原因，本人申请或学校认为应休学者。</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42.学生提出休学的，需按规定提交休学申请表和其他证明材料（因病休学的须提供医院诊断证明等材料；因自主创业申请休学的须提供创业前期准备材料和创业计划书等）报教务处审核批准。休学学生应当办理离校手续。学生休学期间具有学籍，但不享受在校生待遇，不得参加教育教学活动。因病休学学生的医疗费按国家和当地有关规定处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休学一般以一年为期，原则上不得提前复学，学生休学期满需要续休的，应再次办理休学手续。学生在校期间累计休学不得超过两年；因自主创业申请休学的不得超过三年，最长学习年限不得超过七年(贯通培养学生不得超过五年)。休学期满不办理复学手续者，作自动退学处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43.学生申请复学的，应于休学期满一个月前按规定提交复学申请表和其他证明材料（因病休学的须提供医院出具的健康状况证明）报教务处审核批准，经批准后可进入原专业下一年级学习。如审核批准不通过的可办理继续休学或退学手续，如因专业设置调整或身体状况无法适应原专业学习的可申请转专业或办理退学手续。</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44.学生应征参加中国人民解放军、中国人民武装警察部队，需按规定提交保留学籍申请表和其他证明材料报教务处审核批准，学校为其保留其学籍至退役后两年。保留学籍学生应当办理离校手续。学生保留学籍期间，与其实际所在部队等组织建立联系、确定管理关系。</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45.学生有下列情形之一，学校可作自动退学处理：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（1）学业成绩未达到学校要求或者在学校规定学习年限内（含休学）未完成学业的；</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（2）休学期满，在学校规定期限内未提出复学申请或者申请复学经复查不合格的；</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（3）延长学业期满，未办理相关后续手续的；</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（4）经二级甲等以上医院诊断，患有疾病或者意外伤残无法继续在校学习的；</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（5）未经批准连续两周未参加学校规定的教学活动的；</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（6）超过学校规定期限未注册而又未履行暂缓注册手续的。</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学生本人申请退学的，由学校审核同意后，办理退学手续。</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46.符合自动退学条件的，由学生所在二级学院向学生本人或家长送达《自动退学告知书》；因家庭地址或联系方式变更导致无法送达的，可通过二级学院网站以公告方式送达，公告发布时间不得少于四周。</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对学生的退学申请或自动退学处理，由校长办公会议或者校长授权的专门会议研究决定。</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对退学的学生，由学校出具退学证明并送达本人，同时报上海市教育委员会备案。退学学生应按学校规定期限办理离校手续，档案、户口退回其户籍所在地。</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47.学生对自动退学有异议的，可以向学校学生申诉处理委员会提出书面申诉。</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48.学生在校期间死亡的，由学校出具学籍注销证明并送达学生家长。</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十二、毕业与结业</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49.学生修满人才培养方案规定的必修与选修课程，取得毕业要求的总学分数，且至少取得一种与所学专业相关的中级以上的职业资格证书或职业技能等级证书，准予毕业，发给毕业证书。</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若学生修满了人才培养方案所规定的必修与选修课程，取得了毕业要求的总学分数，但未取得与所学专业相关的职业资格证书或职业技能等级证书，作结业处理，发给结业证书。结业学生在最长学习年限内取得了与所学专业相关的职业资格证书或职业技能等级证书的，换发毕业证书。</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50.学生在进入第六学期（毕业教学环节）学习之前，第一～第五学期已修学分数不少于108学分（含108学分），可列入毕业生管理范围，进入毕业教学环节；否则，暂缓进入毕业教学环节，由学生本人提出延长学业申请，经教务处审核批准后作延长学业处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学生在第六学期未能符合毕（结）业要求的，由学生本人提出延长学业申请，经教务处审核批准后作延长学业处理。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贯通培养学生在进入第四学期（毕业教学环节）学习之前，第一～第三学期已修学分数不少于59学分（含59学分），可列入毕业生管理范围，进入毕业教学环节；否则，暂缓进入毕业教学环节，由学生本人提出延长学业申请，经教务处审核批准后作延长学业处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贯通培养学生在第四学期未能符合毕（结）业要求的，由学生本人提出延长学业申请，经教务处审核批准后作延长学业处理。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已满足毕（结）业要求的学生不得提出延长学业或休学申请。</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51.延长学业期限为自审批之日起一年，到期而未办理相关后续手续的，作自动退学处理。延长学业学生的管理由学生所在的二级学院负责安排。</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52.基本学制毕业时未修满毕业要求的总学分数，但已取得毕业要求的最低学分的92%（含92%）以上者，作结业处理，发给结业证书。</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结业学生可对原不及格课程申请复读，经考核成绩合格且取得了与所学专业相关的职业资格证书或职业技能等级证书者换发毕业证书。复读必须在最长学习年限内完成。</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对于退学学生，学校应该发给肄业证书或者写实性学习证明。</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53.学有余力的学生可在与当前所学课程时间不冲突的前提下提前修读人才培养方案中的后续课程，达到毕业要求（或结业要求）的，可以申请提前毕业（或结业）。</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学生可向所在二级学院提出提前修读课程申请，二级学院制定详细的后续课程安排计划后报教务处审核批准。</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54.对违反国家招生规定取得入学资格或者学籍的，学校应当取消其学籍，不得发给学历证书；已发的学历证书，学校应当依法予以撤销。对以作弊、剽窃、抄袭等学术不端行为或者其他不正当手段获得学历证书的，学校应当依法予以撤销。</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被撤销的学历证书已注册的，学校应当予以注销并报教育行政部门宣布无效。</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55.学历证书遗失或者损坏，经本人申请，学校核实后应当出具相应的学历证明书。学历证明书与原证书具有同等效力。</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十三、附则</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56.本规定自2021年9月1日起施行，由教务处负责解释。</w:t>
      </w:r>
    </w:p>
    <w:p>
      <w:pPr>
        <w:pageBreakBefore w:val="0"/>
        <w:widowControl/>
        <w:topLinePunct w:val="0"/>
        <w:bidi w:val="0"/>
        <w:adjustRightInd w:val="0"/>
        <w:snapToGrid w:val="0"/>
        <w:spacing w:line="500" w:lineRule="exact"/>
        <w:ind w:firstLine="480" w:firstLineChars="200"/>
        <w:jc w:val="left"/>
        <w:outlineLvl w:val="9"/>
        <w:rPr>
          <w:rFonts w:eastAsia="仿宋_GB2312"/>
          <w:kern w:val="0"/>
          <w:sz w:val="24"/>
        </w:rPr>
      </w:pPr>
    </w:p>
    <w:p>
      <w:pPr>
        <w:pageBreakBefore w:val="0"/>
        <w:widowControl/>
        <w:topLinePunct w:val="0"/>
        <w:bidi w:val="0"/>
        <w:adjustRightInd w:val="0"/>
        <w:snapToGrid w:val="0"/>
        <w:spacing w:line="500" w:lineRule="exact"/>
        <w:ind w:firstLine="480" w:firstLineChars="200"/>
        <w:jc w:val="left"/>
        <w:outlineLvl w:val="9"/>
        <w:rPr>
          <w:rFonts w:eastAsia="仿宋_GB2312"/>
          <w:kern w:val="0"/>
          <w:sz w:val="24"/>
        </w:rPr>
      </w:pPr>
    </w:p>
    <w:p>
      <w:pPr>
        <w:pageBreakBefore w:val="0"/>
        <w:widowControl/>
        <w:topLinePunct w:val="0"/>
        <w:bidi w:val="0"/>
        <w:adjustRightInd w:val="0"/>
        <w:snapToGrid w:val="0"/>
        <w:spacing w:line="500" w:lineRule="exact"/>
        <w:jc w:val="left"/>
        <w:outlineLvl w:val="9"/>
        <w:rPr>
          <w:rFonts w:eastAsia="仿宋_GB2312"/>
          <w:kern w:val="0"/>
          <w:sz w:val="24"/>
        </w:rPr>
      </w:pPr>
    </w:p>
    <w:p>
      <w:pPr>
        <w:pageBreakBefore w:val="0"/>
        <w:widowControl/>
        <w:topLinePunct w:val="0"/>
        <w:bidi w:val="0"/>
        <w:adjustRightInd w:val="0"/>
        <w:snapToGrid w:val="0"/>
        <w:spacing w:line="500" w:lineRule="exact"/>
        <w:jc w:val="left"/>
        <w:outlineLvl w:val="9"/>
        <w:rPr>
          <w:rFonts w:eastAsia="仿宋_GB2312"/>
          <w:kern w:val="0"/>
          <w:sz w:val="24"/>
        </w:rPr>
      </w:pPr>
    </w:p>
    <w:p>
      <w:pPr>
        <w:pageBreakBefore w:val="0"/>
        <w:widowControl/>
        <w:topLinePunct w:val="0"/>
        <w:bidi w:val="0"/>
        <w:adjustRightInd w:val="0"/>
        <w:snapToGrid w:val="0"/>
        <w:spacing w:line="500" w:lineRule="exact"/>
        <w:jc w:val="left"/>
        <w:outlineLvl w:val="9"/>
        <w:rPr>
          <w:rFonts w:eastAsia="仿宋_GB2312"/>
          <w:kern w:val="0"/>
          <w:sz w:val="24"/>
        </w:rPr>
      </w:pPr>
    </w:p>
    <w:p>
      <w:pPr>
        <w:pageBreakBefore w:val="0"/>
        <w:widowControl/>
        <w:topLinePunct w:val="0"/>
        <w:bidi w:val="0"/>
        <w:adjustRightInd w:val="0"/>
        <w:snapToGrid w:val="0"/>
        <w:spacing w:line="500" w:lineRule="exact"/>
        <w:jc w:val="left"/>
        <w:outlineLvl w:val="9"/>
        <w:rPr>
          <w:rFonts w:eastAsia="仿宋_GB2312"/>
          <w:kern w:val="0"/>
          <w:sz w:val="24"/>
        </w:rPr>
      </w:pPr>
    </w:p>
    <w:p>
      <w:pPr>
        <w:pageBreakBefore w:val="0"/>
        <w:widowControl/>
        <w:topLinePunct w:val="0"/>
        <w:bidi w:val="0"/>
        <w:adjustRightInd w:val="0"/>
        <w:snapToGrid w:val="0"/>
        <w:spacing w:line="500" w:lineRule="exact"/>
        <w:jc w:val="left"/>
        <w:outlineLvl w:val="9"/>
        <w:rPr>
          <w:rFonts w:eastAsia="仿宋_GB2312"/>
          <w:kern w:val="0"/>
          <w:sz w:val="24"/>
        </w:rPr>
      </w:pPr>
    </w:p>
    <w:p>
      <w:pPr>
        <w:pageBreakBefore w:val="0"/>
        <w:widowControl/>
        <w:topLinePunct w:val="0"/>
        <w:bidi w:val="0"/>
        <w:adjustRightInd w:val="0"/>
        <w:snapToGrid w:val="0"/>
        <w:spacing w:line="500" w:lineRule="exact"/>
        <w:jc w:val="left"/>
        <w:outlineLvl w:val="9"/>
        <w:rPr>
          <w:rFonts w:eastAsia="仿宋_GB2312"/>
          <w:kern w:val="0"/>
          <w:sz w:val="24"/>
        </w:rPr>
      </w:pPr>
    </w:p>
    <w:p>
      <w:pPr>
        <w:pageBreakBefore w:val="0"/>
        <w:widowControl/>
        <w:topLinePunct w:val="0"/>
        <w:bidi w:val="0"/>
        <w:adjustRightInd w:val="0"/>
        <w:snapToGrid w:val="0"/>
        <w:spacing w:line="500" w:lineRule="exact"/>
        <w:jc w:val="left"/>
        <w:outlineLvl w:val="9"/>
        <w:rPr>
          <w:rFonts w:eastAsia="仿宋_GB2312"/>
          <w:kern w:val="0"/>
          <w:sz w:val="24"/>
        </w:rPr>
      </w:pPr>
    </w:p>
    <w:p>
      <w:pPr>
        <w:pageBreakBefore w:val="0"/>
        <w:widowControl/>
        <w:topLinePunct w:val="0"/>
        <w:bidi w:val="0"/>
        <w:adjustRightInd w:val="0"/>
        <w:snapToGrid w:val="0"/>
        <w:spacing w:line="500" w:lineRule="exact"/>
        <w:jc w:val="left"/>
        <w:outlineLvl w:val="9"/>
        <w:rPr>
          <w:rFonts w:eastAsia="仿宋_GB2312"/>
          <w:kern w:val="0"/>
          <w:sz w:val="24"/>
        </w:rPr>
      </w:pPr>
    </w:p>
    <w:p>
      <w:pPr>
        <w:pageBreakBefore w:val="0"/>
        <w:widowControl/>
        <w:topLinePunct w:val="0"/>
        <w:bidi w:val="0"/>
        <w:adjustRightInd w:val="0"/>
        <w:snapToGrid w:val="0"/>
        <w:spacing w:line="500" w:lineRule="exact"/>
        <w:jc w:val="left"/>
        <w:outlineLvl w:val="9"/>
        <w:rPr>
          <w:rFonts w:eastAsia="仿宋_GB2312"/>
          <w:kern w:val="0"/>
          <w:sz w:val="24"/>
        </w:rPr>
      </w:pPr>
    </w:p>
    <w:p>
      <w:pPr>
        <w:pageBreakBefore w:val="0"/>
        <w:widowControl/>
        <w:topLinePunct w:val="0"/>
        <w:bidi w:val="0"/>
        <w:adjustRightInd w:val="0"/>
        <w:snapToGrid w:val="0"/>
        <w:spacing w:line="500" w:lineRule="exact"/>
        <w:jc w:val="left"/>
        <w:outlineLvl w:val="9"/>
        <w:rPr>
          <w:rFonts w:eastAsia="仿宋_GB2312"/>
          <w:kern w:val="0"/>
          <w:sz w:val="24"/>
        </w:rPr>
      </w:pPr>
    </w:p>
    <w:p>
      <w:pPr>
        <w:pageBreakBefore w:val="0"/>
        <w:topLinePunct w:val="0"/>
        <w:bidi w:val="0"/>
        <w:spacing w:line="360" w:lineRule="auto"/>
        <w:jc w:val="both"/>
        <w:outlineLvl w:val="9"/>
        <w:rPr>
          <w:rFonts w:hint="eastAsia"/>
          <w:b/>
          <w:bCs/>
          <w:sz w:val="30"/>
          <w:szCs w:val="30"/>
        </w:rPr>
      </w:pPr>
    </w:p>
    <w:p>
      <w:pPr>
        <w:pageBreakBefore w:val="0"/>
        <w:topLinePunct w:val="0"/>
        <w:bidi w:val="0"/>
        <w:spacing w:line="360" w:lineRule="auto"/>
        <w:jc w:val="center"/>
        <w:outlineLvl w:val="9"/>
        <w:rPr>
          <w:rFonts w:hint="eastAsia"/>
          <w:b/>
          <w:bCs/>
          <w:sz w:val="30"/>
          <w:szCs w:val="30"/>
        </w:rPr>
      </w:pPr>
    </w:p>
    <w:p>
      <w:pPr>
        <w:pageBreakBefore w:val="0"/>
        <w:topLinePunct w:val="0"/>
        <w:bidi w:val="0"/>
        <w:spacing w:line="360" w:lineRule="auto"/>
        <w:jc w:val="center"/>
        <w:outlineLvl w:val="9"/>
        <w:rPr>
          <w:rFonts w:hint="eastAsia"/>
          <w:b/>
          <w:bCs/>
          <w:sz w:val="30"/>
          <w:szCs w:val="30"/>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color w:val="FF0000"/>
          <w:sz w:val="24"/>
        </w:rPr>
      </w:pPr>
    </w:p>
    <w:p>
      <w:pPr>
        <w:pageBreakBefore w:val="0"/>
        <w:topLinePunct w:val="0"/>
        <w:bidi w:val="0"/>
        <w:jc w:val="center"/>
        <w:outlineLvl w:val="9"/>
        <w:rPr>
          <w:sz w:val="24"/>
        </w:rPr>
      </w:pPr>
    </w:p>
    <w:p>
      <w:pPr>
        <w:pageBreakBefore w:val="0"/>
        <w:topLinePunct w:val="0"/>
        <w:bidi w:val="0"/>
        <w:spacing w:before="120" w:beforeLines="50"/>
        <w:ind w:left="-735" w:leftChars="-350"/>
        <w:jc w:val="center"/>
        <w:outlineLvl w:val="9"/>
        <w:rPr>
          <w:rFonts w:hint="eastAsia" w:eastAsia="仿宋_GB2312"/>
          <w:color w:val="FF0000"/>
          <w:sz w:val="36"/>
          <w:szCs w:val="36"/>
          <w:u w:val="thick"/>
          <w:lang w:val="en-US" w:eastAsia="zh-CN"/>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eastAsia="仿宋_GB2312"/>
          <w:color w:val="000000"/>
          <w:kern w:val="0"/>
          <w:sz w:val="32"/>
          <w:szCs w:val="28"/>
        </w:rPr>
        <w:t>20</w:t>
      </w:r>
      <w:r>
        <w:rPr>
          <w:rFonts w:hint="eastAsia" w:eastAsia="仿宋_GB2312"/>
          <w:color w:val="000000"/>
          <w:kern w:val="0"/>
          <w:sz w:val="32"/>
          <w:szCs w:val="28"/>
        </w:rPr>
        <w:t>21</w:t>
      </w:r>
      <w:r>
        <w:rPr>
          <w:rFonts w:hint="eastAsia" w:ascii="仿宋_GB2312" w:eastAsia="仿宋_GB2312"/>
          <w:color w:val="000000"/>
          <w:kern w:val="0"/>
          <w:sz w:val="32"/>
          <w:szCs w:val="28"/>
        </w:rPr>
        <w:t>〕</w:t>
      </w:r>
      <w:r>
        <w:rPr>
          <w:rFonts w:hint="eastAsia" w:ascii="仿宋_GB2312" w:eastAsia="仿宋_GB2312"/>
          <w:color w:val="000000"/>
          <w:kern w:val="0"/>
          <w:sz w:val="32"/>
          <w:szCs w:val="28"/>
          <w:lang w:val="en-US" w:eastAsia="zh-CN"/>
        </w:rPr>
        <w:t>90</w:t>
      </w:r>
      <w:r>
        <w:rPr>
          <w:rFonts w:eastAsia="仿宋_GB2312"/>
          <w:color w:val="000000"/>
          <w:kern w:val="0"/>
          <w:sz w:val="32"/>
          <w:szCs w:val="28"/>
        </w:rPr>
        <w:t>号</w:t>
      </w:r>
    </w:p>
    <w:p>
      <w:pPr>
        <w:pageBreakBefore w:val="0"/>
        <w:topLinePunct w:val="0"/>
        <w:bidi w:val="0"/>
        <w:spacing w:line="360" w:lineRule="auto"/>
        <w:jc w:val="both"/>
        <w:outlineLvl w:val="9"/>
        <w:rPr>
          <w:rFonts w:hint="default" w:eastAsia="仿宋_GB2312"/>
          <w:b/>
          <w:bCs/>
          <w:sz w:val="30"/>
          <w:szCs w:val="30"/>
          <w:lang w:val="en-US" w:eastAsia="zh-CN"/>
        </w:rPr>
      </w:pPr>
      <w:r>
        <w:rPr>
          <w:rFonts w:eastAsia="仿宋_GB2312"/>
          <w:color w:val="FF0000"/>
          <w:sz w:val="36"/>
          <w:szCs w:val="36"/>
          <w:u w:val="thick"/>
        </w:rPr>
        <w:t xml:space="preserve">                                       </w:t>
      </w:r>
      <w:r>
        <w:rPr>
          <w:rFonts w:hint="eastAsia" w:eastAsia="仿宋_GB2312"/>
          <w:color w:val="FF0000"/>
          <w:sz w:val="36"/>
          <w:szCs w:val="36"/>
          <w:u w:val="thick"/>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b/>
          <w:bCs/>
          <w:color w:val="000000"/>
          <w:w w:val="90"/>
          <w:kern w:val="2"/>
          <w:sz w:val="36"/>
          <w:szCs w:val="36"/>
          <w:lang w:val="en-US" w:eastAsia="zh-CN" w:bidi="ar-SA"/>
        </w:rPr>
      </w:pPr>
      <w:bookmarkStart w:id="364" w:name="_Toc2922"/>
      <w:r>
        <w:rPr>
          <w:rFonts w:hint="eastAsia" w:ascii="黑体" w:hAnsi="黑体" w:eastAsia="黑体" w:cs="黑体"/>
          <w:b/>
          <w:bCs/>
          <w:color w:val="000000"/>
          <w:w w:val="90"/>
          <w:kern w:val="2"/>
          <w:sz w:val="36"/>
          <w:szCs w:val="36"/>
          <w:lang w:val="en-US" w:eastAsia="zh-CN" w:bidi="ar-SA"/>
        </w:rPr>
        <w:t>上海电子信息职业技术学院关于加强学籍学历档案相关管理工作的办法</w:t>
      </w:r>
      <w:bookmarkEnd w:id="364"/>
    </w:p>
    <w:p>
      <w:pPr>
        <w:pageBreakBefore w:val="0"/>
        <w:topLinePunct w:val="0"/>
        <w:bidi w:val="0"/>
        <w:spacing w:line="360" w:lineRule="auto"/>
        <w:jc w:val="both"/>
        <w:outlineLvl w:val="9"/>
        <w:rPr>
          <w:rFonts w:hint="eastAsia" w:ascii="华文中宋" w:hAnsi="华文中宋" w:eastAsia="华文中宋" w:cs="Calibri"/>
          <w:b/>
          <w:bCs/>
          <w:color w:val="000000"/>
          <w:w w:val="90"/>
          <w:kern w:val="2"/>
          <w:sz w:val="36"/>
          <w:szCs w:val="36"/>
          <w:lang w:val="en-US" w:eastAsia="zh-CN" w:bidi="ar-SA"/>
        </w:rPr>
      </w:pPr>
    </w:p>
    <w:p>
      <w:pPr>
        <w:pageBreakBefore w:val="0"/>
        <w:topLinePunct w:val="0"/>
        <w:bidi w:val="0"/>
        <w:spacing w:line="336" w:lineRule="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各教学单位、职能部门：</w:t>
      </w:r>
    </w:p>
    <w:p>
      <w:pPr>
        <w:pageBreakBefore w:val="0"/>
        <w:topLinePunct w:val="0"/>
        <w:bidi w:val="0"/>
        <w:spacing w:line="360" w:lineRule="auto"/>
        <w:ind w:firstLine="560" w:firstLineChars="200"/>
        <w:jc w:val="left"/>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现将《上海电子信息职业技术学院</w:t>
      </w:r>
      <w:r>
        <w:rPr>
          <w:rFonts w:hint="eastAsia" w:ascii="仿宋_GB2312" w:hAnsi="TTEditFont" w:eastAsia="仿宋_GB2312" w:cs="仿宋_GB2312"/>
          <w:color w:val="000000"/>
          <w:sz w:val="28"/>
          <w:szCs w:val="30"/>
          <w:lang w:val="en-US" w:eastAsia="zh-CN"/>
        </w:rPr>
        <w:t>关于加强学籍学历档案相关管理工作的办法</w:t>
      </w:r>
      <w:r>
        <w:rPr>
          <w:rFonts w:hint="eastAsia" w:ascii="仿宋_GB2312" w:hAnsi="TTEditFont" w:eastAsia="仿宋_GB2312" w:cs="仿宋_GB2312"/>
          <w:color w:val="000000"/>
          <w:sz w:val="28"/>
          <w:szCs w:val="30"/>
          <w:lang w:eastAsia="zh-CN"/>
        </w:rPr>
        <w:t>》发给你们，请结合本部门工作实际，认真研究执行。</w:t>
      </w:r>
    </w:p>
    <w:p>
      <w:pPr>
        <w:pageBreakBefore w:val="0"/>
        <w:topLinePunct w:val="0"/>
        <w:bidi w:val="0"/>
        <w:spacing w:line="336" w:lineRule="auto"/>
        <w:outlineLvl w:val="9"/>
        <w:rPr>
          <w:rFonts w:hint="eastAsia" w:ascii="仿宋_GB2312" w:hAnsi="TTEditFont" w:eastAsia="仿宋_GB2312" w:cs="仿宋_GB2312"/>
          <w:color w:val="000000"/>
          <w:sz w:val="28"/>
          <w:szCs w:val="30"/>
          <w:lang w:eastAsia="zh-CN"/>
        </w:rPr>
      </w:pP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val="en-US" w:eastAsia="zh-CN"/>
        </w:rPr>
      </w:pPr>
      <w:r>
        <w:rPr>
          <w:rFonts w:hint="eastAsia" w:ascii="仿宋_GB2312" w:hAnsi="TTEditFont" w:eastAsia="仿宋_GB2312" w:cs="仿宋_GB2312"/>
          <w:color w:val="000000"/>
          <w:sz w:val="28"/>
          <w:szCs w:val="30"/>
          <w:lang w:eastAsia="zh-CN"/>
        </w:rPr>
        <w:t>附件：上海电子信息职业技术学院</w:t>
      </w:r>
      <w:r>
        <w:rPr>
          <w:rFonts w:hint="eastAsia" w:ascii="仿宋_GB2312" w:hAnsi="TTEditFont" w:eastAsia="仿宋_GB2312" w:cs="仿宋_GB2312"/>
          <w:color w:val="000000"/>
          <w:sz w:val="28"/>
          <w:szCs w:val="30"/>
          <w:lang w:val="en-US" w:eastAsia="zh-CN"/>
        </w:rPr>
        <w:t>关于加强学籍学历档案相关管理工作的办法</w:t>
      </w:r>
    </w:p>
    <w:p>
      <w:pPr>
        <w:pageBreakBefore w:val="0"/>
        <w:topLinePunct w:val="0"/>
        <w:bidi w:val="0"/>
        <w:spacing w:line="336" w:lineRule="auto"/>
        <w:ind w:firstLine="560" w:firstLineChars="200"/>
        <w:outlineLvl w:val="9"/>
        <w:rPr>
          <w:rFonts w:hint="eastAsia" w:ascii="仿宋_GB2312" w:hAnsi="TTEditFont" w:eastAsia="仿宋_GB2312" w:cs="仿宋_GB2312"/>
          <w:color w:val="000000"/>
          <w:sz w:val="28"/>
          <w:szCs w:val="30"/>
          <w:lang w:val="en-US" w:eastAsia="zh-CN"/>
        </w:rPr>
      </w:pPr>
    </w:p>
    <w:p>
      <w:pPr>
        <w:pageBreakBefore w:val="0"/>
        <w:topLinePunct w:val="0"/>
        <w:bidi w:val="0"/>
        <w:spacing w:line="336" w:lineRule="auto"/>
        <w:ind w:firstLine="4760" w:firstLineChars="1700"/>
        <w:outlineLvl w:val="9"/>
        <w:rPr>
          <w:rFonts w:hint="eastAsia" w:ascii="仿宋_GB2312" w:hAnsi="TTEditFont" w:eastAsia="仿宋_GB2312" w:cs="仿宋_GB2312"/>
          <w:color w:val="000000"/>
          <w:sz w:val="28"/>
          <w:szCs w:val="30"/>
          <w:lang w:eastAsia="zh-CN"/>
        </w:rPr>
      </w:pPr>
    </w:p>
    <w:p>
      <w:pPr>
        <w:pageBreakBefore w:val="0"/>
        <w:topLinePunct w:val="0"/>
        <w:bidi w:val="0"/>
        <w:spacing w:line="336" w:lineRule="auto"/>
        <w:ind w:firstLine="4760" w:firstLineChars="1700"/>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 xml:space="preserve">上海电子信息职业技术学院 </w:t>
      </w:r>
    </w:p>
    <w:p>
      <w:pPr>
        <w:pageBreakBefore w:val="0"/>
        <w:topLinePunct w:val="0"/>
        <w:bidi w:val="0"/>
        <w:spacing w:line="336" w:lineRule="auto"/>
        <w:outlineLvl w:val="9"/>
        <w:rPr>
          <w:rFonts w:hint="eastAsia" w:ascii="仿宋_GB2312" w:hAnsi="TTEditFont" w:eastAsia="仿宋_GB2312" w:cs="仿宋_GB2312"/>
          <w:color w:val="000000"/>
          <w:sz w:val="28"/>
          <w:szCs w:val="30"/>
          <w:lang w:eastAsia="zh-CN"/>
        </w:rPr>
      </w:pPr>
      <w:r>
        <w:rPr>
          <w:rFonts w:hint="eastAsia" w:ascii="仿宋_GB2312" w:hAnsi="TTEditFont" w:eastAsia="仿宋_GB2312" w:cs="仿宋_GB2312"/>
          <w:color w:val="000000"/>
          <w:sz w:val="28"/>
          <w:szCs w:val="30"/>
          <w:lang w:eastAsia="zh-CN"/>
        </w:rPr>
        <w:t xml:space="preserve">                      </w:t>
      </w:r>
      <w:r>
        <w:rPr>
          <w:rFonts w:hint="eastAsia" w:ascii="仿宋_GB2312" w:hAnsi="TTEditFont" w:eastAsia="仿宋_GB2312" w:cs="仿宋_GB2312"/>
          <w:color w:val="000000"/>
          <w:sz w:val="28"/>
          <w:szCs w:val="30"/>
          <w:lang w:val="en-US" w:eastAsia="zh-CN"/>
        </w:rPr>
        <w:t xml:space="preserve">                </w:t>
      </w:r>
      <w:r>
        <w:rPr>
          <w:rFonts w:hint="eastAsia" w:ascii="仿宋_GB2312" w:hAnsi="TTEditFont" w:eastAsia="仿宋_GB2312" w:cs="仿宋_GB2312"/>
          <w:color w:val="000000"/>
          <w:sz w:val="28"/>
          <w:szCs w:val="30"/>
          <w:lang w:eastAsia="zh-CN"/>
        </w:rPr>
        <w:t xml:space="preserve"> 2021 年8月</w:t>
      </w:r>
      <w:r>
        <w:rPr>
          <w:rFonts w:hint="eastAsia" w:ascii="仿宋_GB2312" w:hAnsi="TTEditFont" w:eastAsia="仿宋_GB2312" w:cs="仿宋_GB2312"/>
          <w:color w:val="000000"/>
          <w:sz w:val="28"/>
          <w:szCs w:val="30"/>
          <w:lang w:val="en-US" w:eastAsia="zh-CN"/>
        </w:rPr>
        <w:t>12</w:t>
      </w:r>
      <w:r>
        <w:rPr>
          <w:rFonts w:hint="eastAsia" w:ascii="仿宋_GB2312" w:hAnsi="TTEditFont" w:eastAsia="仿宋_GB2312" w:cs="仿宋_GB2312"/>
          <w:color w:val="000000"/>
          <w:sz w:val="28"/>
          <w:szCs w:val="30"/>
          <w:lang w:eastAsia="zh-CN"/>
        </w:rPr>
        <w:t>日</w:t>
      </w:r>
    </w:p>
    <w:p>
      <w:pPr>
        <w:pageBreakBefore w:val="0"/>
        <w:topLinePunct w:val="0"/>
        <w:bidi w:val="0"/>
        <w:spacing w:line="360" w:lineRule="auto"/>
        <w:jc w:val="center"/>
        <w:outlineLvl w:val="9"/>
        <w:rPr>
          <w:rFonts w:hint="eastAsia" w:eastAsia="华文中宋"/>
          <w:b/>
          <w:sz w:val="28"/>
          <w:szCs w:val="28"/>
          <w:lang w:val="en-US" w:eastAsia="zh-CN"/>
        </w:rPr>
      </w:pPr>
    </w:p>
    <w:p>
      <w:pPr>
        <w:pageBreakBefore w:val="0"/>
        <w:topLinePunct w:val="0"/>
        <w:bidi w:val="0"/>
        <w:spacing w:line="360" w:lineRule="auto"/>
        <w:jc w:val="left"/>
        <w:outlineLvl w:val="9"/>
        <w:rPr>
          <w:rFonts w:hint="eastAsia" w:eastAsia="华文中宋"/>
          <w:b/>
          <w:sz w:val="28"/>
          <w:szCs w:val="28"/>
          <w:lang w:val="en-US" w:eastAsia="zh-CN"/>
        </w:rPr>
      </w:pPr>
      <w:r>
        <w:rPr>
          <w:rFonts w:hint="eastAsia" w:ascii="仿宋_GB2312" w:hAnsi="TTEditFont" w:eastAsia="仿宋_GB2312" w:cs="仿宋_GB2312"/>
          <w:color w:val="000000"/>
          <w:sz w:val="28"/>
          <w:szCs w:val="30"/>
          <w:lang w:val="en-US" w:eastAsia="zh-CN"/>
        </w:rPr>
        <w:t xml:space="preserve">附件： </w:t>
      </w:r>
      <w:r>
        <w:rPr>
          <w:rFonts w:hint="eastAsia" w:eastAsia="华文中宋"/>
          <w:b/>
          <w:sz w:val="28"/>
          <w:szCs w:val="28"/>
          <w:lang w:val="en-US" w:eastAsia="zh-CN"/>
        </w:rPr>
        <w:t xml:space="preserve">  </w:t>
      </w:r>
    </w:p>
    <w:p>
      <w:pPr>
        <w:pageBreakBefore w:val="0"/>
        <w:topLinePunct w:val="0"/>
        <w:bidi w:val="0"/>
        <w:spacing w:line="360" w:lineRule="auto"/>
        <w:jc w:val="center"/>
        <w:outlineLvl w:val="9"/>
        <w:rPr>
          <w:rFonts w:hint="eastAsia" w:ascii="黑体" w:hAnsi="黑体" w:eastAsia="黑体" w:cs="黑体"/>
          <w:b/>
          <w:sz w:val="36"/>
          <w:szCs w:val="36"/>
          <w:lang w:val="en-US" w:eastAsia="zh-CN"/>
        </w:rPr>
      </w:pPr>
      <w:r>
        <w:rPr>
          <w:rFonts w:hint="eastAsia" w:eastAsia="华文中宋"/>
          <w:b/>
          <w:sz w:val="28"/>
          <w:szCs w:val="28"/>
          <w:lang w:val="en-US" w:eastAsia="zh-CN"/>
        </w:rPr>
        <w:t xml:space="preserve"> </w:t>
      </w:r>
      <w:r>
        <w:rPr>
          <w:rFonts w:hint="eastAsia" w:ascii="黑体" w:hAnsi="黑体" w:eastAsia="黑体" w:cs="黑体"/>
          <w:b/>
          <w:sz w:val="36"/>
          <w:szCs w:val="36"/>
          <w:lang w:val="en-US" w:eastAsia="zh-CN"/>
        </w:rPr>
        <w:t>上海电子信息职业技术学院</w:t>
      </w:r>
    </w:p>
    <w:p>
      <w:pPr>
        <w:pageBreakBefore w:val="0"/>
        <w:topLinePunct w:val="0"/>
        <w:bidi w:val="0"/>
        <w:spacing w:line="360" w:lineRule="auto"/>
        <w:jc w:val="center"/>
        <w:outlineLvl w:val="9"/>
        <w:rPr>
          <w:rFonts w:hint="eastAsia" w:ascii="黑体" w:hAnsi="黑体" w:eastAsia="黑体" w:cs="黑体"/>
          <w:b/>
          <w:bCs/>
          <w:color w:val="000000"/>
          <w:w w:val="90"/>
          <w:kern w:val="2"/>
          <w:sz w:val="36"/>
          <w:szCs w:val="36"/>
          <w:lang w:val="en-US" w:eastAsia="zh-CN" w:bidi="ar-SA"/>
        </w:rPr>
      </w:pPr>
      <w:r>
        <w:rPr>
          <w:rFonts w:hint="eastAsia" w:ascii="黑体" w:hAnsi="黑体" w:eastAsia="黑体" w:cs="黑体"/>
          <w:b/>
          <w:sz w:val="36"/>
          <w:szCs w:val="36"/>
          <w:lang w:val="en-US" w:eastAsia="zh-CN"/>
        </w:rPr>
        <w:t>关于加强学籍学历档案相关管理工作的办法</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党的十八大以来，以习近平同志为核心的党中央高度重视教育公平，强调教育公平是社会公平的重要基础，以教育公平促进公平正义。为切实维护教育公平的公信力，学校以习近平新时代中国特色社会主义思想为指导，全面贯彻党的教育方针，落实立德树人根本任务，严格执行《中华人民共和国教育法》、《中华人民共和国高等教育法》等法律法规，依据《普通高等学校学生管理规定》认真落实我校学生学籍学历工作规章制度，健全和完善体制机制，特制定本办法。</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一、强化组织领导</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学校成立学籍学历档案管理工作小组，负责组织、监督、监察各类学籍学历档案相关管理工作，处理工作中出现的问题。</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工作小组成员名单：</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组  长：田  钦、赵  坚</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副组长：张  涛、方林中</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成员：李 涛、李 旺、张贯彻、陈克明、栾文飞、施嘉斌、胡  娟、周玉霞、董歆刚、邵 瑛、胡国胜、何永艳、冯江华、张峻颖、高晓昧、肖 潇、朱咏梅</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工作小组办公室设在教务处。</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以上人员岗位发生变化，由接替人员担任。</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二、认真开展新生入学资格审查和录取资格复查</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（一）对新生入学报到资格审查</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1.新生入学材料核实</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二级学院派专人仔细核对录取通知书、居民身份证、录取考生名册、迎新系统数据（高考报名数据）、考生纸质档案中的考生信息、录取专业信息是否一致。</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2.现场人像比对</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二级学院派专人通过人像识别系统对新生现场人像与迎新系统照片（高考报名照片）和居民身份证照片进行现场比对。</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3.提交新生入学报到资格审查表</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新生报到当天，二级学院将核对数据、人像比对的情况按照“新生入学报到资格审查表”格式进行填写，并请相关负责人签名确认，提交教务处。</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对审查发现弄虚作假，或者有其他违反国家招生考试规定情形的，根据有关规定，取消入学资格。</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（二）严格新生入学后复查</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所有二级学院在新生入学后3个月内，按照国家招生规定对新生报名资格、身心状态、录取成绩及程序、录取资格等进行复查。</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1.二级学院派专人对新生的有关资格、考生纸质档案等证明材料进行复核，按照“新生入学后复核审查表”格式进行填写，请相关负责人签名确认，连同新生入学后复核情况报告一起报送学工部备案。</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2.二级学院针对特殊类型录取新生制定比较详细入学专业复测实施方案，报送教务处进行备案，备案通过后实施复测，并将复测成绩报送教务处备案。</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针对新生入学资格材料的复查中发现存疑的考生，二级学院积极与学工部和教务处进行沟通与核实；教务处负责与生源地省级招生考试机构核实存疑信息；对于查实的通过弄虚作假、徇私舞弊等方式冒名顶替入学以及其他违规录取的新生，取消其学籍；情节严重的，学校应移交相关部门进行调查处理。</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三、规范和加强学籍学历管理</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（一）严格按照新生学籍电子注册</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1.二级学院在完成新生入学资格审查后，按照学籍电子注册有关要求，依照审定的新生学籍注册名单，教务处学籍管理专员及时登陆学信网完成新生学籍电子注册，确保新生学籍电子注册信息完整、真实、准确。</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2.学校学籍管理专员根据学信网学籍电子注册信息，同步更新学校的电子学籍信息库。</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3.新生学籍电子注册工作完成后，二级学院根据教务处提出的要求和信息，负责督促指导新生及时登陆学信网核查个人身份信息和学籍注册信息，对于发现的问题及时进行核实与纠正。</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4.二级学院对新生学籍电子注册的真实性和准确性负责，学校将定期开展督导检查，对于弄虚作假、徇私舞弊、造成严重后果的，将严肃追究相关领导和工作人员责任。</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（二）严格学历证书管理与电子注册</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二级学院派专人通过人像比对系统对学生毕业照片、录取照片、入学照片、 和居民身份证照片进行人像比对：对人像比对不一致，且违反招生规定、无学籍、空档学籍或不具备毕业资格的学生不得办学历证书；无合格学历证书，不得电子注册。</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一旦学历注册并提供网上查询后，将不再变更证书内容及注册信息，不再受理学生信息变更事宜。</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四、建立“三级审签”工作机制</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关于学籍学历管理过程中出现的关于学生学籍学历数据信息、电子注册数据信息、相关照片的人像比对、学生入学资格、毕业资格的审核，建立“三级审签”工作机制。</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二级学院提交相关职能部门的数据和报告，必须由二级学院的工作人员（两个人签名）、二级学院审核人员、二级学院领导共同签字确认，并盖二级学院公章。</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学校职能部门提供的数据和报告，必须由职能部门的工作人员（两个人签名）、职能部门负责人、学校分管领导签字确认，并盖学校公章。</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五、规范和加强学籍档案管理制度</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进一步加强和优化学籍档案管理制度，规范做好学籍档案收集整理、检查核对、鉴别归档、保管使用、转送移交等工作。将学生身份信息、学籍注册信息、学年注册信息、学籍变动、学籍记载（含学业考试情况、社会实践情况、奖惩情况等），学历注册信息等内容明确列入学籍档案归档目录，以确保从学生报到入学到毕业离校全过程学籍档案真实准确、规范完整；提高现代信息化技术在学籍学历管理中应用，推进学籍档案电子化，采用纸质、电子等多种保存形式，确保学籍档案长期保存。</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六、建立强化督查问责制度</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1.设立监督机构</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（1）学籍管理的所有工作开展，受学校纪检监察处的监督监察。</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（2）学校各个部门和个人如对学校学籍学历管理过程中，对相关政策法规落实和制订建设情况，对可能发生的违法违规行为进行举报和信访，纪检监察处将坚持全面从严、一严</w:t>
      </w:r>
      <w:r>
        <w:rPr>
          <w:rFonts w:hint="eastAsia" w:ascii="仿宋_GB2312" w:hAnsi="仿宋_GB2312" w:eastAsia="仿宋_GB2312" w:cs="仿宋_GB2312"/>
          <w:kern w:val="2"/>
          <w:sz w:val="28"/>
          <w:szCs w:val="28"/>
          <w:highlight w:val="none"/>
          <w:lang w:val="zh-CN" w:eastAsia="zh-CN" w:bidi="ar-SA"/>
        </w:rPr>
        <w:t>到底，</w:t>
      </w:r>
      <w:r>
        <w:rPr>
          <w:rFonts w:hint="eastAsia" w:ascii="仿宋_GB2312" w:hAnsi="仿宋_GB2312" w:eastAsia="仿宋_GB2312" w:cs="仿宋_GB2312"/>
          <w:kern w:val="2"/>
          <w:sz w:val="28"/>
          <w:szCs w:val="28"/>
          <w:highlight w:val="none"/>
          <w:lang w:val="en-US" w:eastAsia="zh-CN" w:bidi="ar-SA"/>
        </w:rPr>
        <w:t>对确实存在冒名顶替、弄虚</w:t>
      </w:r>
      <w:r>
        <w:rPr>
          <w:rFonts w:hint="eastAsia" w:ascii="仿宋_GB2312" w:hAnsi="仿宋_GB2312" w:eastAsia="仿宋_GB2312" w:cs="仿宋_GB2312"/>
          <w:kern w:val="2"/>
          <w:sz w:val="28"/>
          <w:szCs w:val="28"/>
          <w:highlight w:val="none"/>
          <w:lang w:val="zh-CN" w:eastAsia="zh-CN" w:bidi="ar-SA"/>
        </w:rPr>
        <w:t>作假、</w:t>
      </w:r>
      <w:r>
        <w:rPr>
          <w:rFonts w:hint="eastAsia" w:ascii="仿宋_GB2312" w:hAnsi="仿宋_GB2312" w:eastAsia="仿宋_GB2312" w:cs="仿宋_GB2312"/>
          <w:kern w:val="2"/>
          <w:sz w:val="28"/>
          <w:szCs w:val="28"/>
          <w:highlight w:val="none"/>
          <w:lang w:val="en-US" w:eastAsia="zh-CN" w:bidi="ar-SA"/>
        </w:rPr>
        <w:t>徇私舞弊、滥用权力等失职失责情况，</w:t>
      </w:r>
      <w:r>
        <w:rPr>
          <w:rFonts w:hint="eastAsia" w:ascii="仿宋_GB2312" w:hAnsi="仿宋_GB2312" w:eastAsia="仿宋_GB2312" w:cs="仿宋_GB2312"/>
          <w:kern w:val="2"/>
          <w:sz w:val="28"/>
          <w:szCs w:val="28"/>
          <w:highlight w:val="none"/>
          <w:lang w:val="zh-CN" w:eastAsia="zh-CN" w:bidi="ar-SA"/>
        </w:rPr>
        <w:t>一经</w:t>
      </w:r>
      <w:r>
        <w:rPr>
          <w:rFonts w:hint="eastAsia" w:ascii="仿宋_GB2312" w:hAnsi="仿宋_GB2312" w:eastAsia="仿宋_GB2312" w:cs="仿宋_GB2312"/>
          <w:kern w:val="2"/>
          <w:sz w:val="28"/>
          <w:szCs w:val="28"/>
          <w:highlight w:val="none"/>
          <w:lang w:val="en-US" w:eastAsia="zh-CN" w:bidi="ar-SA"/>
        </w:rPr>
        <w:t>查实，依规依法严肃追究有关人员和単位负责人的责任。</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2.责任终身追究制</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学籍学历管理审核环节实行专人负责，对信访举报出现的情况，一旦核实，将依法按照责任终身追究制的原则进行追责。</w:t>
      </w:r>
    </w:p>
    <w:p>
      <w:pPr>
        <w:pStyle w:val="50"/>
        <w:keepNext w:val="0"/>
        <w:keepLines w:val="0"/>
        <w:pageBreakBefore w:val="0"/>
        <w:kinsoku/>
        <w:wordWrap/>
        <w:overflowPunct/>
        <w:topLinePunct w:val="0"/>
        <w:autoSpaceDE/>
        <w:autoSpaceDN/>
        <w:bidi w:val="0"/>
        <w:spacing w:line="360" w:lineRule="auto"/>
        <w:ind w:firstLine="46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七、其他 </w:t>
      </w:r>
    </w:p>
    <w:p>
      <w:pPr>
        <w:keepNext w:val="0"/>
        <w:keepLines w:val="0"/>
        <w:pageBreakBefore w:val="0"/>
        <w:widowControl/>
        <w:kinsoku/>
        <w:wordWrap/>
        <w:overflowPunct/>
        <w:topLinePunct w:val="0"/>
        <w:autoSpaceDE/>
        <w:autoSpaceDN/>
        <w:bidi w:val="0"/>
        <w:adjustRightInd w:val="0"/>
        <w:snapToGrid w:val="0"/>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本规定自 2021 年 9 月 1 日起施行，由教务处负责解释。</w:t>
      </w:r>
    </w:p>
    <w:p>
      <w:pPr>
        <w:pStyle w:val="15"/>
        <w:keepNext w:val="0"/>
        <w:keepLines w:val="0"/>
        <w:pageBreakBefore w:val="0"/>
        <w:kinsoku/>
        <w:wordWrap/>
        <w:overflowPunct/>
        <w:topLinePunct w:val="0"/>
        <w:autoSpaceDE/>
        <w:autoSpaceDN/>
        <w:bidi w:val="0"/>
        <w:spacing w:line="360" w:lineRule="auto"/>
        <w:ind w:left="540" w:right="3906"/>
        <w:textAlignment w:val="auto"/>
        <w:outlineLvl w:val="9"/>
        <w:rPr>
          <w:rFonts w:hint="eastAsia" w:ascii="仿宋_GB2312" w:hAnsi="仿宋_GB2312" w:eastAsia="仿宋_GB2312" w:cs="仿宋_GB2312"/>
          <w:kern w:val="2"/>
          <w:sz w:val="28"/>
          <w:szCs w:val="28"/>
          <w:highlight w:val="none"/>
          <w:lang w:val="en-US" w:eastAsia="zh-CN" w:bidi="ar-SA"/>
        </w:rPr>
      </w:pPr>
    </w:p>
    <w:p>
      <w:pPr>
        <w:pStyle w:val="50"/>
        <w:keepNext w:val="0"/>
        <w:keepLines w:val="0"/>
        <w:pageBreakBefore w:val="0"/>
        <w:numPr>
          <w:ilvl w:val="0"/>
          <w:numId w:val="0"/>
        </w:numPr>
        <w:kinsoku/>
        <w:wordWrap/>
        <w:overflowPunct/>
        <w:topLinePunct w:val="0"/>
        <w:autoSpaceDE/>
        <w:autoSpaceDN/>
        <w:bidi w:val="0"/>
        <w:spacing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pStyle w:val="50"/>
        <w:keepNext w:val="0"/>
        <w:keepLines w:val="0"/>
        <w:pageBreakBefore w:val="0"/>
        <w:numPr>
          <w:ilvl w:val="0"/>
          <w:numId w:val="0"/>
        </w:numPr>
        <w:kinsoku/>
        <w:wordWrap/>
        <w:overflowPunct/>
        <w:topLinePunct w:val="0"/>
        <w:autoSpaceDE/>
        <w:autoSpaceDN/>
        <w:bidi w:val="0"/>
        <w:spacing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p>
    <w:p>
      <w:pPr>
        <w:pStyle w:val="15"/>
        <w:pageBreakBefore w:val="0"/>
        <w:topLinePunct w:val="0"/>
        <w:bidi w:val="0"/>
        <w:spacing w:before="10"/>
        <w:outlineLvl w:val="9"/>
        <w:rPr>
          <w:rFonts w:ascii="仿宋"/>
          <w:sz w:val="25"/>
        </w:rPr>
      </w:pPr>
    </w:p>
    <w:p>
      <w:pPr>
        <w:pStyle w:val="15"/>
        <w:pageBreakBefore w:val="0"/>
        <w:topLinePunct w:val="0"/>
        <w:bidi w:val="0"/>
        <w:spacing w:before="10"/>
        <w:outlineLvl w:val="9"/>
        <w:rPr>
          <w:rFonts w:ascii="仿宋"/>
          <w:sz w:val="25"/>
        </w:rPr>
      </w:pPr>
    </w:p>
    <w:p>
      <w:pPr>
        <w:pStyle w:val="15"/>
        <w:pageBreakBefore w:val="0"/>
        <w:topLinePunct w:val="0"/>
        <w:bidi w:val="0"/>
        <w:spacing w:before="10"/>
        <w:outlineLvl w:val="9"/>
        <w:rPr>
          <w:rFonts w:ascii="仿宋"/>
          <w:sz w:val="25"/>
        </w:rPr>
      </w:pPr>
    </w:p>
    <w:p>
      <w:pPr>
        <w:pStyle w:val="15"/>
        <w:pageBreakBefore w:val="0"/>
        <w:topLinePunct w:val="0"/>
        <w:bidi w:val="0"/>
        <w:spacing w:before="10"/>
        <w:outlineLvl w:val="9"/>
        <w:rPr>
          <w:rFonts w:ascii="仿宋"/>
          <w:sz w:val="25"/>
        </w:rPr>
      </w:pPr>
    </w:p>
    <w:p>
      <w:pPr>
        <w:pStyle w:val="15"/>
        <w:pageBreakBefore w:val="0"/>
        <w:topLinePunct w:val="0"/>
        <w:bidi w:val="0"/>
        <w:spacing w:before="10"/>
        <w:outlineLvl w:val="9"/>
        <w:rPr>
          <w:rFonts w:ascii="仿宋"/>
          <w:sz w:val="25"/>
        </w:rPr>
      </w:pPr>
    </w:p>
    <w:p>
      <w:pPr>
        <w:pStyle w:val="15"/>
        <w:pageBreakBefore w:val="0"/>
        <w:topLinePunct w:val="0"/>
        <w:bidi w:val="0"/>
        <w:spacing w:before="10"/>
        <w:outlineLvl w:val="9"/>
        <w:rPr>
          <w:rFonts w:ascii="仿宋"/>
          <w:sz w:val="25"/>
        </w:rPr>
      </w:pPr>
    </w:p>
    <w:p>
      <w:pPr>
        <w:pStyle w:val="15"/>
        <w:pageBreakBefore w:val="0"/>
        <w:topLinePunct w:val="0"/>
        <w:bidi w:val="0"/>
        <w:spacing w:before="10"/>
        <w:outlineLvl w:val="9"/>
        <w:rPr>
          <w:rFonts w:ascii="仿宋"/>
          <w:sz w:val="25"/>
        </w:rPr>
      </w:pPr>
    </w:p>
    <w:p>
      <w:pPr>
        <w:pStyle w:val="15"/>
        <w:pageBreakBefore w:val="0"/>
        <w:topLinePunct w:val="0"/>
        <w:bidi w:val="0"/>
        <w:spacing w:before="10"/>
        <w:outlineLvl w:val="9"/>
        <w:rPr>
          <w:rFonts w:ascii="仿宋"/>
          <w:sz w:val="25"/>
        </w:rPr>
      </w:pPr>
    </w:p>
    <w:p>
      <w:pPr>
        <w:pStyle w:val="15"/>
        <w:pageBreakBefore w:val="0"/>
        <w:topLinePunct w:val="0"/>
        <w:bidi w:val="0"/>
        <w:spacing w:before="10"/>
        <w:outlineLvl w:val="9"/>
        <w:rPr>
          <w:rFonts w:ascii="仿宋"/>
          <w:sz w:val="25"/>
        </w:rPr>
      </w:pPr>
    </w:p>
    <w:p>
      <w:pPr>
        <w:pStyle w:val="15"/>
        <w:pageBreakBefore w:val="0"/>
        <w:topLinePunct w:val="0"/>
        <w:bidi w:val="0"/>
        <w:spacing w:before="10"/>
        <w:outlineLvl w:val="9"/>
        <w:rPr>
          <w:rFonts w:ascii="仿宋"/>
          <w:sz w:val="25"/>
        </w:rPr>
      </w:pPr>
    </w:p>
    <w:p>
      <w:pPr>
        <w:pStyle w:val="15"/>
        <w:pageBreakBefore w:val="0"/>
        <w:topLinePunct w:val="0"/>
        <w:bidi w:val="0"/>
        <w:spacing w:before="10"/>
        <w:outlineLvl w:val="9"/>
        <w:rPr>
          <w:rFonts w:ascii="仿宋"/>
          <w:sz w:val="25"/>
        </w:rPr>
      </w:pPr>
    </w:p>
    <w:p>
      <w:pPr>
        <w:pStyle w:val="15"/>
        <w:pageBreakBefore w:val="0"/>
        <w:topLinePunct w:val="0"/>
        <w:bidi w:val="0"/>
        <w:spacing w:before="10"/>
        <w:outlineLvl w:val="9"/>
        <w:rPr>
          <w:rFonts w:ascii="仿宋"/>
          <w:sz w:val="25"/>
        </w:rPr>
      </w:pPr>
    </w:p>
    <w:p>
      <w:pPr>
        <w:pStyle w:val="15"/>
        <w:pageBreakBefore w:val="0"/>
        <w:topLinePunct w:val="0"/>
        <w:bidi w:val="0"/>
        <w:spacing w:before="10"/>
        <w:outlineLvl w:val="9"/>
        <w:rPr>
          <w:rFonts w:ascii="仿宋"/>
          <w:sz w:val="25"/>
        </w:rPr>
      </w:pPr>
    </w:p>
    <w:p>
      <w:pPr>
        <w:pStyle w:val="15"/>
        <w:pageBreakBefore w:val="0"/>
        <w:topLinePunct w:val="0"/>
        <w:bidi w:val="0"/>
        <w:spacing w:before="10"/>
        <w:outlineLvl w:val="9"/>
        <w:rPr>
          <w:rFonts w:ascii="仿宋"/>
          <w:sz w:val="25"/>
        </w:rPr>
      </w:pPr>
    </w:p>
    <w:p>
      <w:pPr>
        <w:pStyle w:val="15"/>
        <w:pageBreakBefore w:val="0"/>
        <w:topLinePunct w:val="0"/>
        <w:bidi w:val="0"/>
        <w:spacing w:before="10"/>
        <w:outlineLvl w:val="9"/>
        <w:rPr>
          <w:rFonts w:ascii="仿宋"/>
          <w:sz w:val="25"/>
        </w:rPr>
      </w:pPr>
    </w:p>
    <w:p>
      <w:pPr>
        <w:pStyle w:val="15"/>
        <w:pageBreakBefore w:val="0"/>
        <w:topLinePunct w:val="0"/>
        <w:bidi w:val="0"/>
        <w:spacing w:before="10"/>
        <w:outlineLvl w:val="9"/>
        <w:rPr>
          <w:rFonts w:ascii="仿宋"/>
          <w:sz w:val="25"/>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color w:val="FF0000"/>
          <w:sz w:val="24"/>
        </w:rPr>
      </w:pPr>
    </w:p>
    <w:p>
      <w:pPr>
        <w:pageBreakBefore w:val="0"/>
        <w:topLinePunct w:val="0"/>
        <w:bidi w:val="0"/>
        <w:jc w:val="center"/>
        <w:outlineLvl w:val="9"/>
        <w:rPr>
          <w:sz w:val="24"/>
        </w:rPr>
      </w:pPr>
    </w:p>
    <w:p>
      <w:pPr>
        <w:pageBreakBefore w:val="0"/>
        <w:topLinePunct w:val="0"/>
        <w:bidi w:val="0"/>
        <w:spacing w:before="120" w:beforeLines="50"/>
        <w:ind w:left="-735" w:leftChars="-350"/>
        <w:jc w:val="center"/>
        <w:outlineLvl w:val="9"/>
        <w:rPr>
          <w:rFonts w:eastAsia="仿宋_GB2312"/>
          <w:sz w:val="32"/>
          <w:szCs w:val="32"/>
        </w:rPr>
      </w:pPr>
      <w:r>
        <w:rPr>
          <w:rFonts w:hint="eastAsia" w:eastAsia="仿宋_GB2312"/>
          <w:color w:val="000000"/>
          <w:sz w:val="32"/>
          <w:szCs w:val="28"/>
          <w:lang w:val="en-US"/>
        </w:rPr>
        <w:t xml:space="preserve">  </w:t>
      </w:r>
      <w:r>
        <w:rPr>
          <w:rFonts w:eastAsia="仿宋_GB2312"/>
          <w:color w:val="000000"/>
          <w:sz w:val="32"/>
          <w:szCs w:val="28"/>
        </w:rPr>
        <w:t>沪电信职院</w:t>
      </w:r>
      <w:r>
        <w:rPr>
          <w:rFonts w:hint="eastAsia" w:ascii="仿宋_GB2312" w:eastAsia="仿宋_GB2312"/>
          <w:color w:val="000000"/>
          <w:sz w:val="32"/>
          <w:szCs w:val="28"/>
        </w:rPr>
        <w:t>〔</w:t>
      </w:r>
      <w:r>
        <w:rPr>
          <w:rFonts w:eastAsia="仿宋_GB2312"/>
          <w:color w:val="000000"/>
          <w:sz w:val="32"/>
          <w:szCs w:val="28"/>
        </w:rPr>
        <w:t>20</w:t>
      </w:r>
      <w:r>
        <w:rPr>
          <w:rFonts w:hint="eastAsia" w:eastAsia="仿宋_GB2312"/>
          <w:color w:val="000000"/>
          <w:sz w:val="32"/>
          <w:szCs w:val="28"/>
        </w:rPr>
        <w:t>21</w:t>
      </w:r>
      <w:r>
        <w:rPr>
          <w:rFonts w:hint="eastAsia" w:ascii="仿宋_GB2312" w:eastAsia="仿宋_GB2312"/>
          <w:color w:val="000000"/>
          <w:sz w:val="32"/>
          <w:szCs w:val="28"/>
        </w:rPr>
        <w:t>〕</w:t>
      </w:r>
      <w:r>
        <w:rPr>
          <w:rFonts w:hint="eastAsia" w:ascii="仿宋_GB2312" w:eastAsia="仿宋_GB2312"/>
          <w:color w:val="000000"/>
          <w:sz w:val="32"/>
          <w:szCs w:val="28"/>
          <w:lang w:val="en-US"/>
        </w:rPr>
        <w:t>91</w:t>
      </w:r>
      <w:r>
        <w:rPr>
          <w:rFonts w:eastAsia="仿宋_GB2312"/>
          <w:color w:val="000000"/>
          <w:sz w:val="32"/>
          <w:szCs w:val="28"/>
        </w:rPr>
        <w:t>号</w:t>
      </w:r>
    </w:p>
    <w:p>
      <w:pPr>
        <w:pageBreakBefore w:val="0"/>
        <w:topLinePunct w:val="0"/>
        <w:bidi w:val="0"/>
        <w:outlineLvl w:val="9"/>
        <w:rPr>
          <w:rFonts w:ascii="华文中宋" w:hAnsi="华文中宋" w:eastAsia="华文中宋"/>
          <w:b/>
          <w:sz w:val="36"/>
          <w:szCs w:val="36"/>
        </w:rPr>
      </w:pPr>
      <w:r>
        <w:rPr>
          <w:rFonts w:eastAsia="仿宋_GB2312"/>
          <w:color w:val="FF0000"/>
          <w:sz w:val="36"/>
          <w:szCs w:val="36"/>
          <w:u w:val="thick"/>
        </w:rPr>
        <w:t xml:space="preserve">                                                </w:t>
      </w:r>
    </w:p>
    <w:p>
      <w:pPr>
        <w:pStyle w:val="15"/>
        <w:pageBreakBefore w:val="0"/>
        <w:topLinePunct w:val="0"/>
        <w:bidi w:val="0"/>
        <w:spacing w:before="10"/>
        <w:outlineLvl w:val="9"/>
        <w:rPr>
          <w:rFonts w:ascii="仿宋"/>
          <w:sz w:val="25"/>
        </w:rPr>
      </w:pPr>
    </w:p>
    <w:p>
      <w:pPr>
        <w:keepNext w:val="0"/>
        <w:keepLines w:val="0"/>
        <w:pageBreakBefore w:val="0"/>
        <w:widowControl w:val="0"/>
        <w:numPr>
          <w:ilvl w:val="0"/>
          <w:numId w:val="0"/>
        </w:numPr>
        <w:kinsoku/>
        <w:wordWrap/>
        <w:overflowPunct/>
        <w:topLinePunct w:val="0"/>
        <w:autoSpaceDE/>
        <w:autoSpaceDN/>
        <w:bidi w:val="0"/>
        <w:adjustRightInd/>
        <w:snapToGrid/>
        <w:ind w:firstLine="723" w:firstLineChars="200"/>
        <w:jc w:val="center"/>
        <w:textAlignment w:val="auto"/>
        <w:outlineLvl w:val="0"/>
        <w:rPr>
          <w:rFonts w:hint="eastAsia" w:ascii="黑体" w:hAnsi="黑体" w:eastAsia="黑体" w:cs="黑体"/>
          <w:b/>
          <w:kern w:val="2"/>
          <w:sz w:val="36"/>
          <w:szCs w:val="36"/>
          <w:lang w:val="en-US" w:bidi="ar-SA"/>
        </w:rPr>
      </w:pPr>
      <w:bookmarkStart w:id="365" w:name="_Toc27873"/>
      <w:r>
        <w:rPr>
          <w:rFonts w:hint="eastAsia" w:ascii="黑体" w:hAnsi="黑体" w:eastAsia="黑体" w:cs="黑体"/>
          <w:b/>
          <w:kern w:val="2"/>
          <w:sz w:val="36"/>
          <w:szCs w:val="36"/>
          <w:lang w:val="en-US" w:bidi="ar-SA"/>
        </w:rPr>
        <w:t>关于印发《上海电机学院、上海电机学院高职学院、上海电子信息职业技术学院高本贯通培养学生学籍管理暂行规定》的通知</w:t>
      </w:r>
      <w:bookmarkEnd w:id="365"/>
    </w:p>
    <w:p>
      <w:pPr>
        <w:pageBreakBefore w:val="0"/>
        <w:topLinePunct w:val="0"/>
        <w:autoSpaceDE/>
        <w:autoSpaceDN/>
        <w:bidi w:val="0"/>
        <w:spacing w:line="336" w:lineRule="auto"/>
        <w:jc w:val="both"/>
        <w:outlineLvl w:val="9"/>
        <w:rPr>
          <w:rFonts w:hint="eastAsia" w:ascii="仿宋_GB2312" w:hAnsi="TTEditFont" w:eastAsia="仿宋_GB2312" w:cs="仿宋_GB2312"/>
          <w:color w:val="000000"/>
          <w:kern w:val="2"/>
          <w:sz w:val="28"/>
          <w:szCs w:val="30"/>
          <w:lang w:val="en-US" w:bidi="ar-SA"/>
        </w:rPr>
      </w:pPr>
      <w:r>
        <w:rPr>
          <w:rFonts w:hint="eastAsia" w:ascii="仿宋_GB2312" w:hAnsi="TTEditFont" w:eastAsia="仿宋_GB2312" w:cs="仿宋_GB2312"/>
          <w:color w:val="000000"/>
          <w:kern w:val="2"/>
          <w:sz w:val="28"/>
          <w:szCs w:val="30"/>
          <w:lang w:val="en-US" w:bidi="ar-SA"/>
        </w:rPr>
        <w:t>各教学单位、职能部门：</w:t>
      </w:r>
    </w:p>
    <w:p>
      <w:pPr>
        <w:pageBreakBefore w:val="0"/>
        <w:topLinePunct w:val="0"/>
        <w:autoSpaceDE/>
        <w:autoSpaceDN/>
        <w:bidi w:val="0"/>
        <w:spacing w:line="336" w:lineRule="auto"/>
        <w:ind w:firstLine="560" w:firstLineChars="200"/>
        <w:jc w:val="both"/>
        <w:outlineLvl w:val="9"/>
        <w:rPr>
          <w:rFonts w:hint="eastAsia" w:ascii="仿宋_GB2312" w:hAnsi="TTEditFont" w:eastAsia="仿宋_GB2312" w:cs="仿宋_GB2312"/>
          <w:color w:val="000000"/>
          <w:kern w:val="2"/>
          <w:sz w:val="28"/>
          <w:szCs w:val="30"/>
          <w:lang w:val="en-US" w:bidi="ar-SA"/>
        </w:rPr>
      </w:pPr>
      <w:r>
        <w:rPr>
          <w:rFonts w:hint="eastAsia" w:ascii="仿宋_GB2312" w:hAnsi="TTEditFont" w:eastAsia="仿宋_GB2312" w:cs="仿宋_GB2312"/>
          <w:color w:val="000000"/>
          <w:kern w:val="2"/>
          <w:sz w:val="28"/>
          <w:szCs w:val="30"/>
          <w:lang w:val="en-US" w:bidi="ar-SA"/>
        </w:rPr>
        <w:t>现将《上海电机学院、上海电机学院高职学院、上海电子信息职业技术学院高本贯通培养学生学籍管理暂行规定》印发给你们，请认真研读，遵照执行。</w:t>
      </w:r>
    </w:p>
    <w:p>
      <w:pPr>
        <w:pageBreakBefore w:val="0"/>
        <w:topLinePunct w:val="0"/>
        <w:autoSpaceDE/>
        <w:autoSpaceDN/>
        <w:bidi w:val="0"/>
        <w:spacing w:line="336" w:lineRule="auto"/>
        <w:jc w:val="both"/>
        <w:outlineLvl w:val="9"/>
        <w:rPr>
          <w:rFonts w:hint="eastAsia" w:ascii="仿宋_GB2312" w:hAnsi="TTEditFont" w:eastAsia="仿宋_GB2312" w:cs="仿宋_GB2312"/>
          <w:color w:val="000000"/>
          <w:kern w:val="2"/>
          <w:sz w:val="28"/>
          <w:szCs w:val="30"/>
          <w:lang w:val="en-US" w:bidi="ar-SA"/>
        </w:rPr>
      </w:pPr>
    </w:p>
    <w:p>
      <w:pPr>
        <w:pageBreakBefore w:val="0"/>
        <w:topLinePunct w:val="0"/>
        <w:autoSpaceDE/>
        <w:autoSpaceDN/>
        <w:bidi w:val="0"/>
        <w:spacing w:line="336" w:lineRule="auto"/>
        <w:ind w:firstLine="560" w:firstLineChars="200"/>
        <w:jc w:val="both"/>
        <w:outlineLvl w:val="9"/>
        <w:rPr>
          <w:rFonts w:hint="eastAsia" w:ascii="仿宋_GB2312" w:hAnsi="TTEditFont" w:eastAsia="仿宋_GB2312" w:cs="仿宋_GB2312"/>
          <w:color w:val="000000"/>
          <w:kern w:val="2"/>
          <w:sz w:val="28"/>
          <w:szCs w:val="30"/>
          <w:lang w:val="en-US" w:bidi="ar-SA"/>
        </w:rPr>
      </w:pPr>
      <w:r>
        <w:rPr>
          <w:rFonts w:hint="eastAsia" w:ascii="仿宋_GB2312" w:hAnsi="TTEditFont" w:eastAsia="仿宋_GB2312" w:cs="仿宋_GB2312"/>
          <w:color w:val="000000"/>
          <w:kern w:val="2"/>
          <w:sz w:val="28"/>
          <w:szCs w:val="30"/>
          <w:lang w:val="en-US" w:bidi="ar-SA"/>
        </w:rPr>
        <w:t>附件：上海电机学院、上海电机学院高职学院、上海电信息职业技术学院高本贯通培养学生学籍管理暂行规定</w:t>
      </w:r>
    </w:p>
    <w:p>
      <w:pPr>
        <w:pageBreakBefore w:val="0"/>
        <w:topLinePunct w:val="0"/>
        <w:autoSpaceDE/>
        <w:autoSpaceDN/>
        <w:bidi w:val="0"/>
        <w:spacing w:line="336" w:lineRule="auto"/>
        <w:jc w:val="both"/>
        <w:outlineLvl w:val="9"/>
        <w:rPr>
          <w:rFonts w:hint="eastAsia" w:ascii="仿宋_GB2312" w:hAnsi="TTEditFont" w:eastAsia="仿宋_GB2312" w:cs="仿宋_GB2312"/>
          <w:color w:val="000000"/>
          <w:kern w:val="2"/>
          <w:sz w:val="28"/>
          <w:szCs w:val="30"/>
          <w:lang w:val="en-US" w:bidi="ar-SA"/>
        </w:rPr>
      </w:pPr>
    </w:p>
    <w:p>
      <w:pPr>
        <w:pageBreakBefore w:val="0"/>
        <w:topLinePunct w:val="0"/>
        <w:autoSpaceDE/>
        <w:autoSpaceDN/>
        <w:bidi w:val="0"/>
        <w:spacing w:line="336" w:lineRule="auto"/>
        <w:ind w:firstLine="4760" w:firstLineChars="1700"/>
        <w:jc w:val="both"/>
        <w:outlineLvl w:val="9"/>
        <w:rPr>
          <w:rFonts w:hint="eastAsia" w:ascii="仿宋_GB2312" w:hAnsi="TTEditFont" w:eastAsia="仿宋_GB2312" w:cs="仿宋_GB2312"/>
          <w:color w:val="000000"/>
          <w:kern w:val="2"/>
          <w:sz w:val="28"/>
          <w:szCs w:val="30"/>
          <w:lang w:val="en-US" w:bidi="ar-SA"/>
        </w:rPr>
      </w:pPr>
      <w:r>
        <w:rPr>
          <w:rFonts w:hint="eastAsia" w:ascii="仿宋_GB2312" w:hAnsi="TTEditFont" w:eastAsia="仿宋_GB2312" w:cs="仿宋_GB2312"/>
          <w:color w:val="000000"/>
          <w:kern w:val="2"/>
          <w:sz w:val="28"/>
          <w:szCs w:val="30"/>
          <w:lang w:val="en-US" w:bidi="ar-SA"/>
        </w:rPr>
        <w:t>上海电子信息职业技术学院</w:t>
      </w:r>
    </w:p>
    <w:p>
      <w:pPr>
        <w:pageBreakBefore w:val="0"/>
        <w:topLinePunct w:val="0"/>
        <w:autoSpaceDE/>
        <w:autoSpaceDN/>
        <w:bidi w:val="0"/>
        <w:spacing w:line="336" w:lineRule="auto"/>
        <w:ind w:firstLine="5320" w:firstLineChars="1900"/>
        <w:jc w:val="both"/>
        <w:outlineLvl w:val="9"/>
        <w:rPr>
          <w:rFonts w:hint="eastAsia" w:ascii="仿宋_GB2312" w:hAnsi="TTEditFont" w:eastAsia="仿宋_GB2312" w:cs="仿宋_GB2312"/>
          <w:color w:val="000000"/>
          <w:kern w:val="2"/>
          <w:sz w:val="28"/>
          <w:szCs w:val="30"/>
          <w:lang w:val="en-US" w:bidi="ar-SA"/>
        </w:rPr>
      </w:pPr>
      <w:r>
        <w:rPr>
          <w:rFonts w:hint="eastAsia" w:ascii="仿宋_GB2312" w:hAnsi="TTEditFont" w:eastAsia="仿宋_GB2312" w:cs="仿宋_GB2312"/>
          <w:color w:val="000000"/>
          <w:kern w:val="2"/>
          <w:sz w:val="28"/>
          <w:szCs w:val="30"/>
          <w:lang w:val="en-US" w:bidi="ar-SA"/>
        </w:rPr>
        <w:t>2021年8月12日</w:t>
      </w:r>
    </w:p>
    <w:p>
      <w:pPr>
        <w:pageBreakBefore w:val="0"/>
        <w:kinsoku w:val="0"/>
        <w:overflowPunct w:val="0"/>
        <w:topLinePunct w:val="0"/>
        <w:bidi w:val="0"/>
        <w:adjustRightInd w:val="0"/>
        <w:snapToGrid w:val="0"/>
        <w:spacing w:before="52" w:line="400" w:lineRule="exact"/>
        <w:jc w:val="center"/>
        <w:outlineLvl w:val="9"/>
        <w:rPr>
          <w:rFonts w:hint="eastAsia" w:ascii="黑体" w:eastAsia="黑体"/>
          <w:snapToGrid w:val="0"/>
          <w:kern w:val="24"/>
          <w:sz w:val="30"/>
          <w:szCs w:val="30"/>
        </w:rPr>
      </w:pPr>
    </w:p>
    <w:p>
      <w:pPr>
        <w:pageBreakBefore w:val="0"/>
        <w:kinsoku w:val="0"/>
        <w:overflowPunct w:val="0"/>
        <w:topLinePunct w:val="0"/>
        <w:bidi w:val="0"/>
        <w:adjustRightInd w:val="0"/>
        <w:snapToGrid w:val="0"/>
        <w:spacing w:before="52" w:line="400" w:lineRule="exact"/>
        <w:jc w:val="center"/>
        <w:outlineLvl w:val="9"/>
        <w:rPr>
          <w:rFonts w:hint="eastAsia" w:ascii="黑体" w:eastAsia="黑体"/>
          <w:snapToGrid w:val="0"/>
          <w:kern w:val="24"/>
          <w:sz w:val="36"/>
          <w:szCs w:val="36"/>
        </w:rPr>
      </w:pPr>
    </w:p>
    <w:p>
      <w:pPr>
        <w:pageBreakBefore w:val="0"/>
        <w:kinsoku w:val="0"/>
        <w:overflowPunct w:val="0"/>
        <w:topLinePunct w:val="0"/>
        <w:bidi w:val="0"/>
        <w:adjustRightInd w:val="0"/>
        <w:snapToGrid w:val="0"/>
        <w:spacing w:before="52" w:line="400" w:lineRule="exact"/>
        <w:jc w:val="center"/>
        <w:outlineLvl w:val="9"/>
        <w:rPr>
          <w:rFonts w:hint="eastAsia" w:ascii="黑体" w:eastAsia="黑体"/>
          <w:snapToGrid w:val="0"/>
          <w:kern w:val="24"/>
          <w:sz w:val="36"/>
          <w:szCs w:val="36"/>
        </w:rPr>
      </w:pPr>
      <w:r>
        <w:rPr>
          <w:rFonts w:hint="eastAsia" w:ascii="黑体" w:eastAsia="黑体"/>
          <w:snapToGrid w:val="0"/>
          <w:kern w:val="24"/>
          <w:sz w:val="36"/>
          <w:szCs w:val="36"/>
        </w:rPr>
        <w:t>上海电机学院、上海电机学院高职学院、上海电子信息职业技术学院高本贯通培养学生学籍管理暂行规定（试行）</w:t>
      </w:r>
    </w:p>
    <w:p>
      <w:pPr>
        <w:pStyle w:val="15"/>
        <w:pageBreakBefore w:val="0"/>
        <w:kinsoku w:val="0"/>
        <w:overflowPunct w:val="0"/>
        <w:topLinePunct w:val="0"/>
        <w:bidi w:val="0"/>
        <w:adjustRightInd w:val="0"/>
        <w:snapToGrid w:val="0"/>
        <w:spacing w:before="5" w:line="400" w:lineRule="exact"/>
        <w:outlineLvl w:val="9"/>
        <w:rPr>
          <w:rFonts w:ascii="黑体"/>
          <w:snapToGrid w:val="0"/>
          <w:kern w:val="24"/>
        </w:rPr>
      </w:pPr>
    </w:p>
    <w:p>
      <w:pPr>
        <w:keepNext w:val="0"/>
        <w:keepLines w:val="0"/>
        <w:pageBreakBefore w:val="0"/>
        <w:widowControl w:val="0"/>
        <w:numPr>
          <w:ilvl w:val="0"/>
          <w:numId w:val="21"/>
        </w:numPr>
        <w:kinsoku w:val="0"/>
        <w:wordWrap/>
        <w:overflowPunct w:val="0"/>
        <w:topLinePunct w:val="0"/>
        <w:autoSpaceDE w:val="0"/>
        <w:autoSpaceDN w:val="0"/>
        <w:bidi w:val="0"/>
        <w:adjustRightInd w:val="0"/>
        <w:snapToGrid w:val="0"/>
        <w:spacing w:line="360" w:lineRule="auto"/>
        <w:ind w:left="0" w:leftChars="0" w:right="0"/>
        <w:jc w:val="center"/>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总则</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第一条 为维护学校正常的教学工作和生活秩序，加强和完善学生的学籍管理，保障学生合法权益，促进学生德智体全面发展，根据教育部颁布的《普通高等学校学生管理规定》（教育部令第41号），以及上海市教育委员会《上海“专科高职-应用型本科”人才贯通培养试点实施方案》文件精神，特制订“专科高职-应用型本科”人才贯通培养（以下简称“高本贯通培养”）学生学籍管理规定。</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第二条 高本贯通培养学生学籍管理分段实施，前三年由高职学院作为主体实施，后两年由本科院校作为主体实施。</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第三条 本规定适用于上海电机学院高职学院、上海电子信息职业技术学院、上海电机学院高本贯通培养的全部学生。入学与注册</w:t>
      </w:r>
    </w:p>
    <w:p>
      <w:pPr>
        <w:keepNext w:val="0"/>
        <w:keepLines w:val="0"/>
        <w:pageBreakBefore w:val="0"/>
        <w:widowControl w:val="0"/>
        <w:tabs>
          <w:tab w:val="left" w:pos="1082"/>
        </w:tabs>
        <w:kinsoku w:val="0"/>
        <w:wordWrap/>
        <w:overflowPunct w:val="0"/>
        <w:topLinePunct w:val="0"/>
        <w:autoSpaceDE w:val="0"/>
        <w:autoSpaceDN w:val="0"/>
        <w:bidi w:val="0"/>
        <w:adjustRightInd w:val="0"/>
        <w:snapToGrid w:val="0"/>
        <w:spacing w:line="360" w:lineRule="auto"/>
        <w:ind w:left="0" w:leftChars="0" w:right="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第四条 按招生规定由本校录取的新生，持录取通知书和学校规定的有关证件，按期到校办理入学手续。因故不能按期入学者，应当事先向所属二级学院请假，假期一般不得超过两周。新生返校后，病假应提供二级甲等以上医院证明，事假应提供单位或居住地街道、乡镇证明。未请假或假期逾期者，除因不可抗力等正当事由外，视为放弃入学资格。</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第五条 学校在报到时对新生入学资格进行初步审查，审查合格的办理入学手续，予以注册学籍；审查发现新生的录取通知书、考生信息等证明材料，与本人实际情况不符，或者有其他违反国家招生考试规定情形的，取消入学资格。</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第六条 学校在新生报到入学3个月内按照国家招生规定进行复查，复查内容主要包括以下方面：</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（1）录取手续及程序等是否合乎国家招生规定；</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（2）所获得的录取资格是否真实、合乎相关规定；</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（3）本人及身份证明与录取通知、考生档案等是否一致；</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（4）身心健康状况是否符合报考专业或者专业类别体检要求，能否保证在校正常学习、生活。</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（5）复查中发现学生存在弄虚作假、徇私舞弊等情形的，确定为复查不合格，应当取消学籍；情节严重的，学校应当移交有关部门调查处理。</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复查中发现学生身心状况不适宜在校学习，经学校指定的二级甲等以上医院诊断，需要在家休养的，学校可保留其入学资格一年，保留入学资格者不具有学籍。期间，该生应回家治疗。在保留入学资格期内经治疗康复的学生，可以在下学年开学前向学校申请入学。由二级甲等以上医院诊断，符合体检要求，经学校复查合格后，重新办理入学手续。复查不合格或逾期不办理入学手续者，取消入学资格。</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第七条 每学期开学时，学生须本人按学校规定，在开学2周内所在二级学院办理注册手续。因故不能如期到校者，应当事先履行请假手续。未请假或请假未获准，擅自不按期到校报到注册者，按旷课论处。无正当理由逾期两周不注册者，按退学处理。</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第八条 未按学校规定缴纳学费或者其他不符合注册条件的不予注册。家庭经济困难的学生可以申请贷款或者其他形式资助，办理有关手续后注册。</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第九条 凡取得本校学籍的学生，在校期间不得报考其他普通高等院校。</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numPr>
          <w:ilvl w:val="0"/>
          <w:numId w:val="21"/>
        </w:numPr>
        <w:kinsoku w:val="0"/>
        <w:wordWrap/>
        <w:overflowPunct w:val="0"/>
        <w:topLinePunct w:val="0"/>
        <w:autoSpaceDE w:val="0"/>
        <w:autoSpaceDN w:val="0"/>
        <w:bidi w:val="0"/>
        <w:adjustRightInd w:val="0"/>
        <w:snapToGrid w:val="0"/>
        <w:spacing w:line="360" w:lineRule="auto"/>
        <w:ind w:left="0" w:leftChars="0" w:right="0"/>
        <w:jc w:val="center"/>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修业年限</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第十条 高本贯通专业基本学制为5年，前3年主要在上海电机学院高职学院、上海电子信息职业技术学院学习，后2年主要在上海电机学院学习。</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第十一条 学生根据自身情况，可以申请适当延长修业年限完成学业。在高职阶段允许延长两年，本科阶段，允许延长一年；延长修业年限的，应当提前一学期办理申请手续。学生不论修满专业培养计划规定的学分的年限是多少，毕业时均以其基本修业年限（高职基本学制为3年、高本贯通本科阶段基本学制为2年）记入毕业文凭中设定的学历层次年限。延长修业的年限包括休学的时间。</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numPr>
          <w:ilvl w:val="0"/>
          <w:numId w:val="21"/>
        </w:numPr>
        <w:kinsoku w:val="0"/>
        <w:wordWrap/>
        <w:overflowPunct w:val="0"/>
        <w:topLinePunct w:val="0"/>
        <w:autoSpaceDE w:val="0"/>
        <w:autoSpaceDN w:val="0"/>
        <w:bidi w:val="0"/>
        <w:adjustRightInd w:val="0"/>
        <w:snapToGrid w:val="0"/>
        <w:spacing w:line="360" w:lineRule="auto"/>
        <w:ind w:left="0" w:leftChars="0" w:right="0"/>
        <w:jc w:val="center"/>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考核与成绩记载</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第十二条 根据学分制教学管理办法，每门课程都有相应的学分。学生每学期所修读的课程，均需经过考核，成绩合格才能取得学分。</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第十三条 学生应当参加本专业人才培养计划规定的课程及各类实践性教学环节（如实习、实验、课程设计、毕业设计（论文）等）的考核，取得考核成绩及相应学分。考核成绩及学分载入学业成绩总表，归入学生本人学籍档案。</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第十四条 课程考核分为考试和考查两种。课程考核方式由各二级学院根据课程特点加以确定，并在人才培养方案中注明。</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第十五条 成绩包括获取方式和分值两部分，获取方式指正考、补考、重修等，分值指具体分数值，以百分制记。</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第十六条 学生体育成绩评定要突出过程管理，可以根据考勤、课内教学、课外锻炼活动和体质健康等情况综合评定。</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第十七条 学生缺课累计达到某门课程教学时数三分之一者，不得参加该课程的考核，必须重修该课程。</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第十八条 为保证考试顺利进行，考试期间原则上不准请假。因故不能参加考试的学生须在考试前按照有关规定申请缓考，一门课程学生只准申请缓考一次，原则上补考不得申请缓考。缓考不及格者，不再予以补考，应重修该门课程。</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第十九条 凡擅自缺考或考试作弊者，在学籍档案的相应位置上注明“旷缺”或“作弊”字样，不准补考，学生必须重修该课程。对考试作弊者，予以相应的纪律处分。</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第二十条 国防教育课包括军事理论课和军训，属必修课。因身体疾病或某种生理缺陷，经二级甲等医院证明不能正常参加军训者，经军训领导小组批准可不参加军训。入伍退役复学的学生免修军事理论课、军训和体育课。</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numPr>
          <w:ilvl w:val="0"/>
          <w:numId w:val="21"/>
        </w:numPr>
        <w:kinsoku w:val="0"/>
        <w:wordWrap/>
        <w:overflowPunct w:val="0"/>
        <w:topLinePunct w:val="0"/>
        <w:autoSpaceDE w:val="0"/>
        <w:autoSpaceDN w:val="0"/>
        <w:bidi w:val="0"/>
        <w:adjustRightInd w:val="0"/>
        <w:snapToGrid w:val="0"/>
        <w:spacing w:line="360" w:lineRule="auto"/>
        <w:ind w:left="0" w:leftChars="0" w:right="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学业警告</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第二十一条 一学期经考核未取得所修课程的学分累计达到或超过14学分者，二级学院应向学生及家长送达《学业警告通知单》，给予其学业警告。</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第二十二条 学生在受到学业警告后，应及时安排好不及格课程的重修；在无力重修的情况下可申请降级继续学习。降级学生按降级以后所在年级的收费标准缴费注册。</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right="0"/>
        <w:jc w:val="center"/>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第六章 补考与重修</w:t>
      </w:r>
    </w:p>
    <w:p>
      <w:pPr>
        <w:keepNext w:val="0"/>
        <w:keepLines w:val="0"/>
        <w:pageBreakBefore w:val="0"/>
        <w:widowControl w:val="0"/>
        <w:tabs>
          <w:tab w:val="left" w:pos="1082"/>
        </w:tabs>
        <w:kinsoku w:val="0"/>
        <w:wordWrap/>
        <w:overflowPunct w:val="0"/>
        <w:topLinePunct w:val="0"/>
        <w:autoSpaceDE w:val="0"/>
        <w:autoSpaceDN w:val="0"/>
        <w:bidi w:val="0"/>
        <w:adjustRightInd w:val="0"/>
        <w:snapToGrid w:val="0"/>
        <w:spacing w:line="360" w:lineRule="auto"/>
        <w:ind w:left="0" w:leftChars="0" w:right="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第二十三条 学生考核不及格的课程，高职阶段，可参加补考，补考只有一次。通识教育选修课一般不组织补考，学生应通过重修来完成规定的学分；重修可以选修同一门课程，也可以选修其他课程。补考及格的课程成绩以“60分”记，补考不及格的课程必须重修。</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本科阶段，考试不及格及对考试成绩不满意者都可申请二考，成绩以最高计。</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第二十四条 缺交实训报告或在一学期内缺交一门课程的三分之一作业者不得参加该课程的考核，补足实训报告或作业后只能参加该门课程的补考。单列课程的大型作业、课程设计、实习、实训与毕业顶岗实习等实践性教学环节不设补考，考核不及格者必须重修。</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第二十五条 学生应根据学校有关要求参加重修选课，选课时应避免重修课程与在读课程的时间冲突，如重修课程较多也可以选择降级学习。学生应按规定缴纳重修费用，办理重修注册手续。</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第二十六条 重修所选的课程，必修课、选修课不能相互替代。必修课程应重修人才培养方案规定的原课程；选修课程在限定选修的范围内可选择其他未修的课程代替，但重修所选课程的学分应不低于原所修课程的学分。在最长学习年限内，同一课程在考核未通过前可以重修多次。</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第二十七条 学生重修课程考核合格，在学生成绩总表中记载成绩并标注“重修”，考核不及格的可以参加补考。</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right="0"/>
        <w:jc w:val="center"/>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第七章 考勤</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3640" w:firstLineChars="130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第二十八条 学生应按时参加课程学习和其他教育教学活动，并接受考勤。因故不能参加的，应当事先请假并获得批准，无故缺席者作旷课处理。其中，人才培养方案中规定的实践性教学环节，每缺勤一天按旷课6学时计。</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第二十九条 学生迟到、早退累计三次作旷课1学时处理，对旷课的学生，二级学院应及时予以批评教育，并按有关规定进行处理。</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42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right="0"/>
        <w:jc w:val="center"/>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第八章 休学与复学</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第三十条 学生有下列情况之一者，应予休学。</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（1）因病经指定医院诊断，须停课治疗、休养占一学期总学时三分之一以上者；</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（2）根据考勤，一学期请假、缺课超过该学期总学时三分之一者；</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（3）因某种特殊原因，本人申请或学校认为应休学者。</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第三十一条 学生提出休学的，需按规定提交休学申请表和其他证明材料（因病休学的须提供医院诊断证明等材料）报学校教务处审批。休学学生应当办理离校手续。学生休学期间，拥有学籍，但不享受在校学习学生待遇。因病休学学生的医疗费按国家和当地有关规定处理。休学一般以1年为期，学生休学期满需要续休的，应再次办理休学手续，在校期间累计休学不得超过2年。休学期满不办理复学手续者，作退学处理。</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第三十二条 学生申请复学的，应于休学期满1个月前按规定提交复学申请表和其他证明材料（因病休学的须提供医院出具的健康状况证明等）报学院教务处审批，经批准后可进入原专业下一年级学习。如审批不通过的可办理续休或退学，如因专业设置调整或身体状况无法适应原专业学习的可办理转专业或退学。</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第三十三条 学生应征参加中国人民解放军（含中国人民武装警察部队），需按规定提交保留学籍申请表和其他证明材料报学校教务处审批，学校保留其学籍至退役后2年。保留学籍学生应当办理离校手续。学生保留学籍期间，与其实际所在部队等组织建立管理关系。</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right="0"/>
        <w:jc w:val="center"/>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第九章 转学</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第三十四条 高本贯通学生在校期间一般不能转学。</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right="0"/>
        <w:jc w:val="center"/>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第十章 甄别及转段</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第三十五条 高本贯通培养的学生入学一年后由高职院校组织考核，凡教学计划规定的课程累计不及格三门及以上者，经学校审核同意，予以转入平行专业或相近专业学习，不再进行高本贯通培养。（取消高等数学不及格的作为不能甄别的条件）</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第三十六条 学生自愿提出申请，不愿继续在高本贯通专业学习者，经学校审核同意，予以转入平行专业或相近专业学习，不再进行高本贯通培养。</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第三十七条 学生修满教学计划所设定的高职阶段课程、学习成绩合格、能力水平达到相关要求，并通过“高本贯通”转段考试后（采用“专升本”考试方式），转入本科阶段学习。</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3360" w:firstLineChars="1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第十一章 退学</w:t>
      </w:r>
    </w:p>
    <w:p>
      <w:pPr>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第三十八条 学生有下列情形之一，可予退学。</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（1）在学校规定学习年限内（含休学）未完成学业的；</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（2）休学期满，在学校规定期限内未提出复学申请或者申请复学经复查不合格的；</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（3）延长学业期满，未办理相关后续手续的；</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（4）经学校指定医院诊断，患有疾病或者意外伤残无法继续在院学习的；</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（5）未经批准连续两周未参加学校规定的教学活动的；</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（6）超过学校规定期限未注册而又未履行暂缓注册手续的；</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（7）学生申请退学的。</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第三十九条 对学生的退学处理，由校长办公会议或者校长授权的专门会议研究决定。对退学的学生，由学校出具退学证明并送达本人，同时报省级教育行政部门备案。因学生自身原因无法将退学决定书送交本人的，则在校内发布公告，自公告之日起15天，即视为送达。</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第四十条 学生对退学处理有异议的，可在接到学校处理决定书之日起10日内，向学校学生申诉处理委员会提出书面申诉。</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第四十一条 学生申诉处理委员会对学生提出的申诉进行复查，并在接到书面申诉之日起15日内，做出复查结论并告知申诉人。需要改变原处分决定的，由学生申诉处理委员会提交学校重新研究决定。</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第四十二条 从处理决定或者复查决定送达之日起，学生超过规定期限提出的申诉，学校不再受理。</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第四十三条 在退学决定生效后，学生应按学校规定期限办理离校手续，档案、户口退回其户籍所在地。</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第四十四条 学生在校期间死亡的，由学校出具学籍注销证明并送达学生家长。</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2520" w:firstLineChars="9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第十二章 毕业、结业和肄业</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第四十五条 未能转入本科阶段学习的学生，如完成前三年专业教学计划规定课程、考试成绩合格，且完成毕业设计，符合专科高等教育毕业条件的学生，发给相应高职院校专科毕业证书。</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第四十六条 对修满“高本贯通”培养计划所有学分、考试成绩均合格，且符合上海电机学院毕业要求和学位授予条件者，颁发本科毕业证书和学位证书。</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第四十七条 学生在学校规定学习年限内，未达到学校毕业要求的，学校可以准予结业，发给结业证书。</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第四十八条 结业学生可对原不及格课程申请重修，经考核成绩合格且取得了与所学专业相关的职业资格证书或技能等级证书者换发毕业证书。重修必须在最长学习年限内完成。合格后颁发的毕业证书、学位证书，毕业时间、获得学位时间按发证日期填写。</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第四十九条 对退学学生，学校发给肄业证书或者写实性学习证明。</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2931" w:firstLineChars="1047"/>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第十三章  附</w:t>
      </w:r>
      <w:r>
        <w:rPr>
          <w:rFonts w:hint="eastAsia" w:ascii="仿宋_GB2312" w:hAnsi="仿宋_GB2312" w:eastAsia="仿宋_GB2312" w:cs="仿宋_GB2312"/>
          <w:kern w:val="2"/>
          <w:sz w:val="28"/>
          <w:szCs w:val="28"/>
          <w:highlight w:val="none"/>
          <w:lang w:val="en-US" w:eastAsia="zh-CN" w:bidi="ar-SA"/>
        </w:rPr>
        <w:tab/>
      </w:r>
      <w:r>
        <w:rPr>
          <w:rFonts w:hint="eastAsia" w:ascii="仿宋_GB2312" w:hAnsi="仿宋_GB2312" w:eastAsia="仿宋_GB2312" w:cs="仿宋_GB2312"/>
          <w:kern w:val="2"/>
          <w:sz w:val="28"/>
          <w:szCs w:val="28"/>
          <w:highlight w:val="none"/>
          <w:lang w:val="en-US" w:eastAsia="zh-CN" w:bidi="ar-SA"/>
        </w:rPr>
        <w:t>则</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jc w:val="left"/>
        <w:textAlignment w:val="top"/>
        <w:outlineLvl w:val="9"/>
        <w:rPr>
          <w:rFonts w:hint="eastAsia" w:ascii="仿宋_GB2312" w:hAnsi="仿宋_GB2312" w:eastAsia="仿宋_GB2312" w:cs="仿宋_GB2312"/>
          <w:kern w:val="2"/>
          <w:sz w:val="28"/>
          <w:szCs w:val="28"/>
          <w:highlight w:val="none"/>
          <w:lang w:val="en-US" w:eastAsia="zh-CN" w:bidi="ar-SA"/>
        </w:rPr>
      </w:pP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第五十条 本规定自2021年9月1日起施行。</w:t>
      </w:r>
    </w:p>
    <w:p>
      <w:pPr>
        <w:pStyle w:val="15"/>
        <w:keepNext w:val="0"/>
        <w:keepLines w:val="0"/>
        <w:pageBreakBefore w:val="0"/>
        <w:widowControl w:val="0"/>
        <w:kinsoku w:val="0"/>
        <w:wordWrap/>
        <w:overflowPunct w:val="0"/>
        <w:topLinePunct w:val="0"/>
        <w:autoSpaceDE w:val="0"/>
        <w:autoSpaceDN w:val="0"/>
        <w:bidi w:val="0"/>
        <w:adjustRightInd w:val="0"/>
        <w:snapToGrid w:val="0"/>
        <w:spacing w:line="360" w:lineRule="auto"/>
        <w:ind w:left="0" w:leftChars="0" w:right="0" w:firstLine="560" w:firstLineChars="200"/>
        <w:jc w:val="left"/>
        <w:textAlignment w:val="top"/>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第五十一条 本规定的解释权属教务处。</w:t>
      </w:r>
    </w:p>
    <w:p>
      <w:pPr>
        <w:pageBreakBefore w:val="0"/>
        <w:topLinePunct w:val="0"/>
        <w:bidi w:val="0"/>
        <w:spacing w:line="360" w:lineRule="auto"/>
        <w:ind w:firstLine="560"/>
        <w:jc w:val="center"/>
        <w:outlineLvl w:val="9"/>
        <w:rPr>
          <w:rFonts w:hint="eastAsia" w:eastAsia="华文中宋"/>
          <w:b/>
          <w:sz w:val="28"/>
          <w:szCs w:val="28"/>
          <w:lang w:val="en-US" w:eastAsia="zh-CN"/>
        </w:rPr>
      </w:pPr>
    </w:p>
    <w:p>
      <w:pPr>
        <w:pageBreakBefore w:val="0"/>
        <w:topLinePunct w:val="0"/>
        <w:bidi w:val="0"/>
        <w:spacing w:line="360" w:lineRule="auto"/>
        <w:ind w:firstLine="560"/>
        <w:jc w:val="center"/>
        <w:outlineLvl w:val="9"/>
        <w:rPr>
          <w:rFonts w:hint="eastAsia" w:eastAsia="华文中宋"/>
          <w:b/>
          <w:sz w:val="28"/>
          <w:szCs w:val="28"/>
          <w:lang w:val="en-US" w:eastAsia="zh-CN"/>
        </w:rPr>
      </w:pPr>
    </w:p>
    <w:p>
      <w:pPr>
        <w:pageBreakBefore w:val="0"/>
        <w:topLinePunct w:val="0"/>
        <w:bidi w:val="0"/>
        <w:spacing w:line="360" w:lineRule="auto"/>
        <w:ind w:firstLine="560"/>
        <w:jc w:val="center"/>
        <w:outlineLvl w:val="9"/>
        <w:rPr>
          <w:rFonts w:hint="eastAsia" w:eastAsia="华文中宋"/>
          <w:b/>
          <w:sz w:val="28"/>
          <w:szCs w:val="28"/>
          <w:lang w:val="en-US" w:eastAsia="zh-CN"/>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spacing w:line="420" w:lineRule="exact"/>
        <w:outlineLvl w:val="9"/>
        <w:rPr>
          <w:rFonts w:eastAsia="黑体"/>
          <w:color w:val="FF0000"/>
          <w:sz w:val="30"/>
          <w:szCs w:val="30"/>
        </w:rPr>
      </w:pPr>
    </w:p>
    <w:p>
      <w:pPr>
        <w:pageBreakBefore w:val="0"/>
        <w:topLinePunct w:val="0"/>
        <w:bidi w:val="0"/>
        <w:spacing w:line="420" w:lineRule="exact"/>
        <w:outlineLvl w:val="9"/>
        <w:rPr>
          <w:rFonts w:eastAsia="黑体"/>
          <w:color w:val="FF0000"/>
          <w:sz w:val="30"/>
          <w:szCs w:val="30"/>
        </w:rPr>
      </w:pPr>
    </w:p>
    <w:p>
      <w:pPr>
        <w:pageBreakBefore w:val="0"/>
        <w:topLinePunct w:val="0"/>
        <w:bidi w:val="0"/>
        <w:spacing w:before="143" w:beforeLines="50"/>
        <w:jc w:val="center"/>
        <w:outlineLvl w:val="9"/>
        <w:rPr>
          <w:rFonts w:eastAsia="华文仿宋"/>
          <w:color w:val="000000"/>
          <w:sz w:val="32"/>
          <w:szCs w:val="32"/>
        </w:rPr>
      </w:pPr>
      <w:r>
        <w:rPr>
          <w:rFonts w:hAnsi="华文仿宋" w:eastAsia="华文仿宋"/>
          <w:color w:val="000000"/>
          <w:kern w:val="0"/>
          <w:sz w:val="32"/>
          <w:szCs w:val="28"/>
        </w:rPr>
        <w:t>沪</w:t>
      </w:r>
      <w:r>
        <w:rPr>
          <w:rFonts w:eastAsia="华文仿宋"/>
          <w:color w:val="000000"/>
          <w:kern w:val="0"/>
          <w:sz w:val="32"/>
          <w:szCs w:val="28"/>
        </w:rPr>
        <w:t>电信职院〔</w:t>
      </w:r>
      <w:r>
        <w:rPr>
          <w:rFonts w:hint="eastAsia" w:eastAsia="华文仿宋"/>
          <w:color w:val="000000"/>
          <w:kern w:val="0"/>
          <w:sz w:val="32"/>
          <w:szCs w:val="28"/>
        </w:rPr>
        <w:t>202</w:t>
      </w:r>
      <w:r>
        <w:rPr>
          <w:rFonts w:hint="eastAsia" w:eastAsia="华文仿宋"/>
          <w:color w:val="000000"/>
          <w:kern w:val="0"/>
          <w:sz w:val="32"/>
          <w:szCs w:val="28"/>
          <w:lang w:val="en-US" w:eastAsia="zh-CN"/>
        </w:rPr>
        <w:t>1</w:t>
      </w:r>
      <w:r>
        <w:rPr>
          <w:rFonts w:eastAsia="华文仿宋"/>
          <w:color w:val="000000"/>
          <w:kern w:val="0"/>
          <w:sz w:val="32"/>
          <w:szCs w:val="28"/>
        </w:rPr>
        <w:t>〕</w:t>
      </w:r>
      <w:r>
        <w:rPr>
          <w:rFonts w:hint="eastAsia" w:eastAsia="华文仿宋"/>
          <w:color w:val="000000"/>
          <w:kern w:val="0"/>
          <w:sz w:val="32"/>
          <w:szCs w:val="28"/>
          <w:lang w:val="en-US" w:eastAsia="zh-CN"/>
        </w:rPr>
        <w:t>98</w:t>
      </w:r>
      <w:r>
        <w:rPr>
          <w:rFonts w:eastAsia="华文仿宋"/>
          <w:color w:val="000000"/>
          <w:kern w:val="0"/>
          <w:sz w:val="32"/>
          <w:szCs w:val="28"/>
        </w:rPr>
        <w:t xml:space="preserve">号    </w:t>
      </w:r>
    </w:p>
    <w:p>
      <w:pPr>
        <w:pageBreakBefore w:val="0"/>
        <w:topLinePunct w:val="0"/>
        <w:bidi w:val="0"/>
        <w:spacing w:line="360" w:lineRule="auto"/>
        <w:outlineLvl w:val="9"/>
        <w:rPr>
          <w:rFonts w:eastAsia="仿宋_GB2312"/>
          <w:b/>
          <w:color w:val="FF0000"/>
          <w:kern w:val="0"/>
          <w:sz w:val="36"/>
          <w:szCs w:val="36"/>
        </w:rPr>
      </w:pPr>
      <w:r>
        <w:rPr>
          <w:rFonts w:eastAsia="仿宋_GB2312"/>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61"/>
        <w:jc w:val="center"/>
        <w:textAlignment w:val="auto"/>
        <w:outlineLvl w:val="0"/>
        <w:rPr>
          <w:rFonts w:hint="eastAsia" w:ascii="黑体" w:hAnsi="黑体" w:eastAsia="黑体" w:cs="黑体"/>
          <w:b/>
          <w:bCs w:val="0"/>
          <w:kern w:val="0"/>
          <w:sz w:val="36"/>
          <w:szCs w:val="36"/>
          <w:lang w:val="en-US" w:eastAsia="zh-CN" w:bidi="ar-SA"/>
        </w:rPr>
      </w:pPr>
      <w:bookmarkStart w:id="366" w:name="_Toc5829"/>
      <w:r>
        <w:rPr>
          <w:rFonts w:hint="eastAsia" w:ascii="黑体" w:hAnsi="黑体" w:eastAsia="黑体" w:cs="黑体"/>
          <w:b/>
          <w:bCs w:val="0"/>
          <w:kern w:val="0"/>
          <w:sz w:val="36"/>
          <w:szCs w:val="36"/>
          <w:lang w:val="en-US" w:eastAsia="zh-CN" w:bidi="ar-SA"/>
        </w:rPr>
        <w:t>关于印发《上海电子信息职业技术学院新生入学资格审查和录取资格审查工作的实施方案》的通知</w:t>
      </w:r>
      <w:bookmarkEnd w:id="366"/>
    </w:p>
    <w:p>
      <w:pPr>
        <w:pageBreakBefore w:val="0"/>
        <w:topLinePunct w:val="0"/>
        <w:bidi w:val="0"/>
        <w:spacing w:before="143" w:beforeLines="50" w:line="54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现将《上海电子信息职业技术学院新生入学资格审查和录取资格审查工作的实施方案》印发给你们，请结合本部门工作实际，认真研究执行。</w:t>
      </w:r>
    </w:p>
    <w:p>
      <w:pPr>
        <w:pageBreakBefore w:val="0"/>
        <w:topLinePunct w:val="0"/>
        <w:bidi w:val="0"/>
        <w:spacing w:line="56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spacing w:line="560" w:lineRule="exact"/>
        <w:ind w:left="1478" w:leftChars="304" w:hanging="840" w:hangingChars="30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附件：上海电子信息职业技术学院新生入学资格审查和录取资格审查工作的实施方案</w:t>
      </w:r>
    </w:p>
    <w:p>
      <w:pPr>
        <w:pageBreakBefore w:val="0"/>
        <w:topLinePunct w:val="0"/>
        <w:bidi w:val="0"/>
        <w:spacing w:line="560" w:lineRule="exact"/>
        <w:ind w:firstLine="555"/>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w:t>
      </w:r>
    </w:p>
    <w:p>
      <w:pPr>
        <w:pageBreakBefore w:val="0"/>
        <w:topLinePunct w:val="0"/>
        <w:bidi w:val="0"/>
        <w:spacing w:line="560" w:lineRule="exact"/>
        <w:ind w:firstLine="555"/>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firstLine="3536" w:firstLineChars="1263"/>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60" w:lineRule="exact"/>
        <w:ind w:firstLine="555"/>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2021年9月14日</w:t>
      </w:r>
    </w:p>
    <w:p>
      <w:pPr>
        <w:pageBreakBefore w:val="0"/>
        <w:topLinePunct w:val="0"/>
        <w:bidi w:val="0"/>
        <w:spacing w:line="360" w:lineRule="auto"/>
        <w:jc w:val="both"/>
        <w:outlineLvl w:val="9"/>
        <w:rPr>
          <w:rFonts w:hint="eastAsia" w:eastAsia="华文中宋"/>
          <w:b/>
          <w:sz w:val="28"/>
          <w:szCs w:val="28"/>
          <w:lang w:val="en-US" w:eastAsia="zh-CN"/>
        </w:rPr>
      </w:pPr>
    </w:p>
    <w:p>
      <w:pPr>
        <w:pageBreakBefore w:val="0"/>
        <w:topLinePunct w:val="0"/>
        <w:bidi w:val="0"/>
        <w:spacing w:line="360" w:lineRule="auto"/>
        <w:jc w:val="both"/>
        <w:outlineLvl w:val="9"/>
        <w:rPr>
          <w:rFonts w:hint="eastAsia" w:eastAsia="华文中宋"/>
          <w:b/>
          <w:sz w:val="28"/>
          <w:szCs w:val="28"/>
          <w:lang w:val="en-US" w:eastAsia="zh-CN"/>
        </w:rPr>
      </w:pPr>
      <w:r>
        <w:rPr>
          <w:rFonts w:hint="eastAsia" w:ascii="仿宋_GB2312" w:hAnsi="仿宋_GB2312" w:eastAsia="仿宋_GB2312" w:cs="仿宋_GB2312"/>
          <w:kern w:val="2"/>
          <w:sz w:val="28"/>
          <w:szCs w:val="28"/>
          <w:highlight w:val="none"/>
          <w:lang w:val="en-US" w:eastAsia="zh-CN" w:bidi="ar-SA"/>
        </w:rPr>
        <w:t>附件：</w:t>
      </w:r>
      <w:r>
        <w:rPr>
          <w:rFonts w:hint="eastAsia" w:eastAsia="华文中宋"/>
          <w:b/>
          <w:sz w:val="28"/>
          <w:szCs w:val="28"/>
          <w:lang w:val="en-US" w:eastAsia="zh-CN"/>
        </w:rPr>
        <w:t xml:space="preserve">              </w:t>
      </w:r>
    </w:p>
    <w:p>
      <w:pPr>
        <w:pageBreakBefore w:val="0"/>
        <w:topLinePunct w:val="0"/>
        <w:bidi w:val="0"/>
        <w:spacing w:line="360" w:lineRule="auto"/>
        <w:jc w:val="center"/>
        <w:outlineLvl w:val="9"/>
        <w:rPr>
          <w:rFonts w:hint="eastAsia" w:ascii="黑体" w:hAnsi="黑体" w:eastAsia="黑体" w:cs="黑体"/>
          <w:b/>
          <w:sz w:val="36"/>
          <w:szCs w:val="36"/>
          <w:lang w:val="en-US" w:eastAsia="zh-CN"/>
        </w:rPr>
      </w:pPr>
      <w:r>
        <w:rPr>
          <w:rFonts w:hint="eastAsia" w:ascii="黑体" w:hAnsi="黑体" w:eastAsia="黑体" w:cs="黑体"/>
          <w:b/>
          <w:sz w:val="36"/>
          <w:szCs w:val="36"/>
          <w:lang w:val="en-US" w:eastAsia="zh-CN"/>
        </w:rPr>
        <w:t>上海电子信息职业技术学院</w:t>
      </w:r>
    </w:p>
    <w:p>
      <w:pPr>
        <w:pageBreakBefore w:val="0"/>
        <w:topLinePunct w:val="0"/>
        <w:bidi w:val="0"/>
        <w:spacing w:line="360" w:lineRule="auto"/>
        <w:jc w:val="both"/>
        <w:outlineLvl w:val="9"/>
        <w:rPr>
          <w:rFonts w:hint="eastAsia" w:ascii="黑体" w:hAnsi="黑体" w:eastAsia="黑体" w:cs="黑体"/>
          <w:b/>
          <w:bCs/>
          <w:color w:val="000000"/>
          <w:w w:val="90"/>
          <w:kern w:val="2"/>
          <w:sz w:val="36"/>
          <w:szCs w:val="36"/>
          <w:lang w:val="en-US" w:eastAsia="zh-CN" w:bidi="ar-SA"/>
        </w:rPr>
      </w:pPr>
      <w:r>
        <w:rPr>
          <w:rFonts w:hint="eastAsia" w:ascii="黑体" w:hAnsi="黑体" w:eastAsia="黑体" w:cs="黑体"/>
          <w:b/>
          <w:sz w:val="36"/>
          <w:szCs w:val="36"/>
          <w:lang w:val="en-US" w:eastAsia="zh-CN"/>
        </w:rPr>
        <w:t>新生入学资格审查和录取资格审查工作的实施方案</w:t>
      </w:r>
    </w:p>
    <w:p>
      <w:pPr>
        <w:pStyle w:val="50"/>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加强和规范学籍学历管理，对于全面贯彻党和国家的教育方针、政策，稳定学校教育教学秩序，充分调动学生学习的积极性、主动性和创造性，提高人才培养质量有着十分重要的意义。学校充分认识学籍学历管理工作的重要性，为加强对新生入学资格和录取资格的审查工作，特制定本实施方案。</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一、建立“三级审签”工作机制</w:t>
      </w:r>
    </w:p>
    <w:p>
      <w:pPr>
        <w:pStyle w:val="50"/>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1.学校成立学籍学历档案管理工作小组，负责组织、监督、监察各类学籍学历档案相关管理工作，处理工作中出现的问题。</w:t>
      </w:r>
    </w:p>
    <w:p>
      <w:pPr>
        <w:pStyle w:val="50"/>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2.关于学籍学历管理过程中出现的关于学生学籍学历数据信息、电子注册数据信息、相关照片的人像比对、学生入学资格、毕业资格的审核，建立“三级审签”工作机制。</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二、工作要求与责任分工</w:t>
      </w:r>
    </w:p>
    <w:p>
      <w:pPr>
        <w:pStyle w:val="50"/>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1.新生入学报到资格审查</w:t>
      </w:r>
    </w:p>
    <w:p>
      <w:pPr>
        <w:pStyle w:val="50"/>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（1）新生入学材料核实:二级学院派专人仔细核对录取通知书、居民身份证、录取考生名册、迎新系统数据（高考报名数据）、考生纸质档案中的考生信息、录取专业信息是否一致。</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（2）现场人像比对：二级学院派专人通过人像识别系统对新生现场人像与迎新系统照片（高考报名照片）和居民身份证照片进行现场比对。</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提交新生入学报到资格审查表：新生报到当天，二级学院将核对数据、人像比对的情况按照“新生入学报到资格审查表”格式进行填写，并请相关负责人签名确认，提交教务处。对审查发现弄虚作假，或者有其他违反国家招生考试规定情形的，根据有关规定，取消入学资格。</w:t>
      </w:r>
    </w:p>
    <w:p>
      <w:pPr>
        <w:pStyle w:val="50"/>
        <w:keepNext w:val="0"/>
        <w:keepLines w:val="0"/>
        <w:pageBreakBefore w:val="0"/>
        <w:widowControl w:val="0"/>
        <w:kinsoku/>
        <w:wordWrap/>
        <w:overflowPunct/>
        <w:topLinePunct w:val="0"/>
        <w:autoSpaceDE/>
        <w:autoSpaceDN/>
        <w:bidi w:val="0"/>
        <w:adjustRightInd/>
        <w:snapToGrid/>
        <w:spacing w:line="440" w:lineRule="exact"/>
        <w:ind w:left="0" w:leftChars="0"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2.新生入学后复查</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所有二级学院在新生入学后3个月内，按照国家招生规定对新生报名资格、身心状态、录取成绩及程序、录取资格等进行复查。</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（1）二级学院派专人对新生的有关资格、考生纸质档案等证明材料进行复核，按照“新生入学后复核审查表”格式进行填写，请相关负责人签名确认，连同新生入学后复核情况报告一起报送学工部备案。</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（2）二级学院针对特殊类型录取新生制定比较详细入学专业复测实施方案，报送教务处进行备案，备案通过后实施复测，并将复测成绩报送教务处备案。</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针对新生入学资格材料的复查中发现存疑的考生，二级学院积极与学工部和教务处进行沟通与核实；教务处负责与生源地省级招生考试机构核实存疑信息；对于查实的通过弄虚作假、徇私舞弊等方式冒名顶替入学以及其他违规录取的新生，取消其学籍；情节严重的，学校应移交相关部门进行调查处理。</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3.新生学籍电子注册</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二级学院在完成新生入学资格审查后，按照学籍电子注册有关要求，依照审定的新生学籍注册名单，教务处学籍管理专员及时登陆学信网完成新生学籍电子注册，确保新生学籍电子注册信息完整、真实、准确。</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（2）学校学籍管理专员根据学信网学籍电子注册信息，同步更新学校的电子学籍信息库。</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（3）新生学籍电子注册工作完成后，二级学院根据教务处提出的要求和信息，负责督促指导新生及时登陆学信网核查个人身份信息和学籍注册信息，对于发现的问题及时进行核实与纠正。</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（4）二级学院对新生学籍电子注册的真实性和准确性负责，学校将定期开展督导检查，对于弄虚作假、徇私舞弊、造成严重后果的，将严肃追究相关领导和工作人员责任。</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三、保障和强化督查问责</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1.学校将强化工作保障，配齐配强工作人员，做到专人专职专岗；</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2.设立监督机构</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（1）新生入学资格审查和录取资格审查工作开展，受学校纪检监察处的监督监察。</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（2）学校各个部门和个人如对新生入学资格审查和录取资格审查工作过程中，对可能发生的违法违规行为进行举报和信访，纪检监察处将坚持全面从严、一严</w:t>
      </w:r>
      <w:r>
        <w:rPr>
          <w:rFonts w:hint="eastAsia" w:ascii="仿宋_GB2312" w:hAnsi="仿宋_GB2312" w:eastAsia="仿宋_GB2312" w:cs="仿宋_GB2312"/>
          <w:kern w:val="2"/>
          <w:sz w:val="28"/>
          <w:szCs w:val="28"/>
          <w:highlight w:val="none"/>
          <w:lang w:val="zh-CN" w:eastAsia="zh-CN" w:bidi="ar-SA"/>
        </w:rPr>
        <w:t>到底，</w:t>
      </w:r>
      <w:r>
        <w:rPr>
          <w:rFonts w:hint="eastAsia" w:ascii="仿宋_GB2312" w:hAnsi="仿宋_GB2312" w:eastAsia="仿宋_GB2312" w:cs="仿宋_GB2312"/>
          <w:kern w:val="2"/>
          <w:sz w:val="28"/>
          <w:szCs w:val="28"/>
          <w:highlight w:val="none"/>
          <w:lang w:val="en-US" w:eastAsia="zh-CN" w:bidi="ar-SA"/>
        </w:rPr>
        <w:t>对确实存在冒名顶替、弄虚</w:t>
      </w:r>
      <w:r>
        <w:rPr>
          <w:rFonts w:hint="eastAsia" w:ascii="仿宋_GB2312" w:hAnsi="仿宋_GB2312" w:eastAsia="仿宋_GB2312" w:cs="仿宋_GB2312"/>
          <w:kern w:val="2"/>
          <w:sz w:val="28"/>
          <w:szCs w:val="28"/>
          <w:highlight w:val="none"/>
          <w:lang w:val="zh-CN" w:eastAsia="zh-CN" w:bidi="ar-SA"/>
        </w:rPr>
        <w:t>作假、</w:t>
      </w:r>
      <w:r>
        <w:rPr>
          <w:rFonts w:hint="eastAsia" w:ascii="仿宋_GB2312" w:hAnsi="仿宋_GB2312" w:eastAsia="仿宋_GB2312" w:cs="仿宋_GB2312"/>
          <w:kern w:val="2"/>
          <w:sz w:val="28"/>
          <w:szCs w:val="28"/>
          <w:highlight w:val="none"/>
          <w:lang w:val="en-US" w:eastAsia="zh-CN" w:bidi="ar-SA"/>
        </w:rPr>
        <w:t>徇私舞弊、滥用权力等失职失责情况，</w:t>
      </w:r>
      <w:r>
        <w:rPr>
          <w:rFonts w:hint="eastAsia" w:ascii="仿宋_GB2312" w:hAnsi="仿宋_GB2312" w:eastAsia="仿宋_GB2312" w:cs="仿宋_GB2312"/>
          <w:kern w:val="2"/>
          <w:sz w:val="28"/>
          <w:szCs w:val="28"/>
          <w:highlight w:val="none"/>
          <w:lang w:val="zh-CN" w:eastAsia="zh-CN" w:bidi="ar-SA"/>
        </w:rPr>
        <w:t>一经</w:t>
      </w:r>
      <w:r>
        <w:rPr>
          <w:rFonts w:hint="eastAsia" w:ascii="仿宋_GB2312" w:hAnsi="仿宋_GB2312" w:eastAsia="仿宋_GB2312" w:cs="仿宋_GB2312"/>
          <w:kern w:val="2"/>
          <w:sz w:val="28"/>
          <w:szCs w:val="28"/>
          <w:highlight w:val="none"/>
          <w:lang w:val="en-US" w:eastAsia="zh-CN" w:bidi="ar-SA"/>
        </w:rPr>
        <w:t>查实，依规依法严肃追究有关人员和単位负责人的责任。</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default"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（3）举报电话：57132760。</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3.责任终身追究制</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TTEditFont" w:eastAsia="仿宋_GB2312" w:cs="仿宋_GB2312"/>
          <w:color w:val="000000"/>
          <w:kern w:val="2"/>
          <w:sz w:val="28"/>
          <w:szCs w:val="30"/>
          <w:lang w:val="en-US" w:eastAsia="zh-CN" w:bidi="ar-SA"/>
        </w:rPr>
      </w:pPr>
      <w:r>
        <w:rPr>
          <w:rFonts w:hint="eastAsia" w:ascii="仿宋_GB2312" w:hAnsi="仿宋_GB2312" w:eastAsia="仿宋_GB2312" w:cs="仿宋_GB2312"/>
          <w:kern w:val="2"/>
          <w:sz w:val="28"/>
          <w:szCs w:val="28"/>
          <w:highlight w:val="none"/>
          <w:lang w:val="en-US" w:eastAsia="zh-CN" w:bidi="ar-SA"/>
        </w:rPr>
        <w:t>审查工作审核环节实行专人负责，对信访举报出现的情况，一旦核实，将依法按照责任终身追究制的原则进行追责。</w:t>
      </w: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TTEditFont" w:eastAsia="仿宋_GB2312" w:cs="仿宋_GB2312"/>
          <w:color w:val="000000"/>
          <w:kern w:val="2"/>
          <w:sz w:val="28"/>
          <w:szCs w:val="30"/>
          <w:lang w:val="en-US" w:eastAsia="zh-CN" w:bidi="ar-SA"/>
        </w:rPr>
      </w:pP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TTEditFont" w:eastAsia="仿宋_GB2312" w:cs="仿宋_GB2312"/>
          <w:color w:val="000000"/>
          <w:kern w:val="2"/>
          <w:sz w:val="28"/>
          <w:szCs w:val="30"/>
          <w:lang w:val="en-US" w:eastAsia="zh-CN" w:bidi="ar-SA"/>
        </w:rPr>
      </w:pP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TTEditFont" w:eastAsia="仿宋_GB2312" w:cs="仿宋_GB2312"/>
          <w:color w:val="000000"/>
          <w:kern w:val="2"/>
          <w:sz w:val="28"/>
          <w:szCs w:val="30"/>
          <w:lang w:val="en-US" w:eastAsia="zh-CN" w:bidi="ar-SA"/>
        </w:rPr>
      </w:pP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TTEditFont" w:eastAsia="仿宋_GB2312" w:cs="仿宋_GB2312"/>
          <w:color w:val="000000"/>
          <w:kern w:val="2"/>
          <w:sz w:val="28"/>
          <w:szCs w:val="30"/>
          <w:lang w:val="en-US" w:eastAsia="zh-CN" w:bidi="ar-SA"/>
        </w:rPr>
      </w:pP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TTEditFont" w:eastAsia="仿宋_GB2312" w:cs="仿宋_GB2312"/>
          <w:color w:val="000000"/>
          <w:kern w:val="2"/>
          <w:sz w:val="28"/>
          <w:szCs w:val="30"/>
          <w:lang w:val="en-US" w:eastAsia="zh-CN" w:bidi="ar-SA"/>
        </w:rPr>
      </w:pP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TTEditFont" w:eastAsia="仿宋_GB2312" w:cs="仿宋_GB2312"/>
          <w:color w:val="000000"/>
          <w:kern w:val="2"/>
          <w:sz w:val="28"/>
          <w:szCs w:val="30"/>
          <w:lang w:val="en-US" w:eastAsia="zh-CN" w:bidi="ar-SA"/>
        </w:rPr>
      </w:pP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TTEditFont" w:eastAsia="仿宋_GB2312" w:cs="仿宋_GB2312"/>
          <w:color w:val="000000"/>
          <w:kern w:val="2"/>
          <w:sz w:val="28"/>
          <w:szCs w:val="30"/>
          <w:lang w:val="en-US" w:eastAsia="zh-CN" w:bidi="ar-SA"/>
        </w:rPr>
      </w:pP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TTEditFont" w:eastAsia="仿宋_GB2312" w:cs="仿宋_GB2312"/>
          <w:color w:val="000000"/>
          <w:kern w:val="2"/>
          <w:sz w:val="28"/>
          <w:szCs w:val="30"/>
          <w:lang w:val="en-US" w:eastAsia="zh-CN" w:bidi="ar-SA"/>
        </w:rPr>
      </w:pPr>
    </w:p>
    <w:p>
      <w:pPr>
        <w:pStyle w:val="50"/>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outlineLvl w:val="9"/>
        <w:rPr>
          <w:rFonts w:hint="eastAsia" w:ascii="仿宋_GB2312" w:hAnsi="TTEditFont" w:eastAsia="仿宋_GB2312" w:cs="仿宋_GB2312"/>
          <w:color w:val="000000"/>
          <w:kern w:val="2"/>
          <w:sz w:val="28"/>
          <w:szCs w:val="30"/>
          <w:lang w:val="en-US" w:eastAsia="zh-CN" w:bidi="ar-SA"/>
        </w:rPr>
      </w:pPr>
    </w:p>
    <w:p>
      <w:pPr>
        <w:pageBreakBefore w:val="0"/>
        <w:topLinePunct w:val="0"/>
        <w:bidi w:val="0"/>
        <w:spacing w:line="360" w:lineRule="auto"/>
        <w:outlineLvl w:val="9"/>
        <w:rPr>
          <w:rFonts w:hint="eastAsia" w:ascii="宋体" w:hAnsi="宋体" w:cs="宋体"/>
          <w:sz w:val="28"/>
          <w:szCs w:val="28"/>
        </w:rPr>
      </w:pPr>
    </w:p>
    <w:p>
      <w:pPr>
        <w:pageBreakBefore w:val="0"/>
        <w:topLinePunct w:val="0"/>
        <w:bidi w:val="0"/>
        <w:spacing w:line="360" w:lineRule="auto"/>
        <w:outlineLvl w:val="9"/>
        <w:rPr>
          <w:rFonts w:hint="eastAsia" w:ascii="宋体" w:hAnsi="宋体" w:cs="宋体"/>
          <w:sz w:val="28"/>
          <w:szCs w:val="28"/>
        </w:rPr>
      </w:pPr>
    </w:p>
    <w:p>
      <w:pPr>
        <w:pageBreakBefore w:val="0"/>
        <w:topLinePunct w:val="0"/>
        <w:bidi w:val="0"/>
        <w:jc w:val="center"/>
        <w:outlineLvl w:val="9"/>
        <w:rPr>
          <w:color w:val="000000"/>
          <w:sz w:val="24"/>
        </w:rPr>
      </w:pPr>
    </w:p>
    <w:p>
      <w:pPr>
        <w:pageBreakBefore w:val="0"/>
        <w:topLinePunct w:val="0"/>
        <w:bidi w:val="0"/>
        <w:jc w:val="center"/>
        <w:outlineLvl w:val="9"/>
        <w:rPr>
          <w:color w:val="000000"/>
          <w:sz w:val="24"/>
        </w:rPr>
      </w:pPr>
    </w:p>
    <w:p>
      <w:pPr>
        <w:pageBreakBefore w:val="0"/>
        <w:topLinePunct w:val="0"/>
        <w:bidi w:val="0"/>
        <w:jc w:val="center"/>
        <w:outlineLvl w:val="9"/>
        <w:rPr>
          <w:color w:val="000000"/>
          <w:sz w:val="24"/>
        </w:rPr>
      </w:pPr>
    </w:p>
    <w:p>
      <w:pPr>
        <w:pageBreakBefore w:val="0"/>
        <w:topLinePunct w:val="0"/>
        <w:bidi w:val="0"/>
        <w:jc w:val="center"/>
        <w:outlineLvl w:val="9"/>
        <w:rPr>
          <w:color w:val="000000"/>
          <w:sz w:val="24"/>
        </w:rPr>
      </w:pPr>
    </w:p>
    <w:p>
      <w:pPr>
        <w:pageBreakBefore w:val="0"/>
        <w:topLinePunct w:val="0"/>
        <w:bidi w:val="0"/>
        <w:jc w:val="center"/>
        <w:outlineLvl w:val="9"/>
        <w:rPr>
          <w:color w:val="00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17" w:leftChars="-200" w:right="-158" w:rightChars="-75" w:hanging="103" w:hangingChars="43"/>
        <w:jc w:val="center"/>
        <w:outlineLvl w:val="9"/>
        <w:rPr>
          <w:color w:val="000000"/>
          <w:sz w:val="24"/>
        </w:rPr>
      </w:pPr>
      <w:r>
        <w:rPr>
          <w:color w:val="000000"/>
          <w:sz w:val="24"/>
        </w:rPr>
        <w:t xml:space="preserve"> </w:t>
      </w:r>
    </w:p>
    <w:p>
      <w:pPr>
        <w:pageBreakBefore w:val="0"/>
        <w:topLinePunct w:val="0"/>
        <w:bidi w:val="0"/>
        <w:outlineLvl w:val="9"/>
        <w:rPr>
          <w:color w:val="000000"/>
          <w:sz w:val="24"/>
        </w:rPr>
      </w:pP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ab/>
      </w:r>
      <w:r>
        <w:rPr>
          <w:color w:val="000000"/>
          <w:sz w:val="24"/>
        </w:rPr>
        <w:t xml:space="preserve">   </w:t>
      </w:r>
    </w:p>
    <w:p>
      <w:pPr>
        <w:pageBreakBefore w:val="0"/>
        <w:topLinePunct w:val="0"/>
        <w:bidi w:val="0"/>
        <w:spacing w:before="178" w:beforeLines="50"/>
        <w:jc w:val="center"/>
        <w:outlineLvl w:val="9"/>
        <w:rPr>
          <w:rFonts w:eastAsia="仿宋_GB2312"/>
          <w:color w:val="000000"/>
          <w:sz w:val="32"/>
          <w:szCs w:val="32"/>
        </w:rPr>
      </w:pPr>
      <w:r>
        <w:rPr>
          <w:rFonts w:eastAsia="仿宋_GB2312"/>
          <w:color w:val="000000"/>
          <w:kern w:val="0"/>
          <w:sz w:val="32"/>
          <w:szCs w:val="28"/>
        </w:rPr>
        <w:t>沪电信职院〔20</w:t>
      </w:r>
      <w:r>
        <w:rPr>
          <w:rFonts w:hint="eastAsia" w:eastAsia="仿宋_GB2312"/>
          <w:color w:val="000000"/>
          <w:kern w:val="0"/>
          <w:sz w:val="32"/>
          <w:szCs w:val="28"/>
        </w:rPr>
        <w:t>21</w:t>
      </w:r>
      <w:r>
        <w:rPr>
          <w:rFonts w:eastAsia="仿宋_GB2312"/>
          <w:color w:val="000000"/>
          <w:kern w:val="0"/>
          <w:sz w:val="32"/>
          <w:szCs w:val="28"/>
        </w:rPr>
        <w:t>〕</w:t>
      </w:r>
      <w:r>
        <w:rPr>
          <w:rFonts w:hint="eastAsia" w:eastAsia="仿宋_GB2312"/>
          <w:color w:val="000000"/>
          <w:kern w:val="0"/>
          <w:sz w:val="32"/>
          <w:szCs w:val="28"/>
          <w:lang w:val="en-US" w:eastAsia="zh-CN"/>
        </w:rPr>
        <w:t>109</w:t>
      </w:r>
      <w:r>
        <w:rPr>
          <w:rFonts w:eastAsia="仿宋_GB2312"/>
          <w:color w:val="000000"/>
          <w:kern w:val="0"/>
          <w:sz w:val="32"/>
          <w:szCs w:val="28"/>
        </w:rPr>
        <w:t>号</w:t>
      </w:r>
    </w:p>
    <w:p>
      <w:pPr>
        <w:pageBreakBefore w:val="0"/>
        <w:topLinePunct w:val="0"/>
        <w:bidi w:val="0"/>
        <w:outlineLvl w:val="9"/>
        <w:rPr>
          <w:rFonts w:eastAsia="黑体"/>
          <w:color w:val="FF0000"/>
          <w:sz w:val="28"/>
          <w:szCs w:val="28"/>
          <w:u w:val="thick"/>
        </w:rPr>
      </w:pPr>
      <w:r>
        <w:rPr>
          <w:rFonts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178" w:beforeLines="50" w:line="640" w:lineRule="exact"/>
        <w:jc w:val="center"/>
        <w:textAlignment w:val="auto"/>
        <w:outlineLvl w:val="0"/>
        <w:rPr>
          <w:rFonts w:hint="eastAsia" w:ascii="黑体" w:hAnsi="黑体" w:eastAsia="黑体" w:cs="黑体"/>
          <w:b/>
          <w:kern w:val="0"/>
          <w:sz w:val="36"/>
          <w:szCs w:val="36"/>
        </w:rPr>
      </w:pPr>
      <w:bookmarkStart w:id="367" w:name="_Toc5701"/>
      <w:r>
        <w:rPr>
          <w:rFonts w:hint="eastAsia" w:ascii="黑体" w:hAnsi="黑体" w:eastAsia="黑体" w:cs="黑体"/>
          <w:b/>
          <w:kern w:val="0"/>
          <w:sz w:val="36"/>
          <w:szCs w:val="36"/>
        </w:rPr>
        <w:t>关于印发《上海电子信息职业技术学院兼课教师管理规定》的通知</w:t>
      </w:r>
      <w:bookmarkEnd w:id="367"/>
    </w:p>
    <w:p>
      <w:pPr>
        <w:pageBreakBefore w:val="0"/>
        <w:topLinePunct w:val="0"/>
        <w:bidi w:val="0"/>
        <w:spacing w:line="640" w:lineRule="exact"/>
        <w:jc w:val="center"/>
        <w:outlineLvl w:val="9"/>
        <w:rPr>
          <w:rFonts w:eastAsia="华文中宋"/>
          <w:b/>
          <w:kern w:val="0"/>
          <w:sz w:val="44"/>
          <w:szCs w:val="44"/>
        </w:rPr>
      </w:pPr>
    </w:p>
    <w:p>
      <w:pPr>
        <w:pageBreakBefore w:val="0"/>
        <w:tabs>
          <w:tab w:val="left" w:pos="4160"/>
        </w:tabs>
        <w:topLinePunct w:val="0"/>
        <w:bidi w:val="0"/>
        <w:spacing w:before="178" w:beforeLines="50" w:line="560" w:lineRule="exac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各教学单位、职能部门：</w:t>
      </w:r>
      <w:r>
        <w:rPr>
          <w:rFonts w:hint="eastAsia" w:ascii="仿宋_GB2312" w:hAnsi="仿宋_GB2312" w:eastAsia="仿宋_GB2312" w:cs="仿宋_GB2312"/>
          <w:kern w:val="2"/>
          <w:sz w:val="28"/>
          <w:szCs w:val="28"/>
          <w:highlight w:val="none"/>
          <w:lang w:val="en-US" w:eastAsia="zh-CN" w:bidi="ar-SA"/>
        </w:rPr>
        <w:tab/>
      </w:r>
    </w:p>
    <w:p>
      <w:pPr>
        <w:pageBreakBefore w:val="0"/>
        <w:widowControl/>
        <w:topLinePunct w:val="0"/>
        <w:bidi w:val="0"/>
        <w:adjustRightInd w:val="0"/>
        <w:snapToGrid w:val="0"/>
        <w:spacing w:line="56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现将《上海电子信息职业技术学院兼课教师管理规定》 印发给你们， 请结合本部门工作实际， 认真研究执行。</w:t>
      </w:r>
    </w:p>
    <w:p>
      <w:pPr>
        <w:pageBreakBefore w:val="0"/>
        <w:widowControl/>
        <w:topLinePunct w:val="0"/>
        <w:bidi w:val="0"/>
        <w:adjustRightInd w:val="0"/>
        <w:snapToGrid w:val="0"/>
        <w:spacing w:line="56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特此通知。</w:t>
      </w:r>
    </w:p>
    <w:p>
      <w:pPr>
        <w:pageBreakBefore w:val="0"/>
        <w:widowControl/>
        <w:topLinePunct w:val="0"/>
        <w:bidi w:val="0"/>
        <w:adjustRightInd w:val="0"/>
        <w:snapToGrid w:val="0"/>
        <w:spacing w:line="560" w:lineRule="exact"/>
        <w:ind w:left="1341" w:leftChars="308" w:hanging="694" w:hangingChars="248"/>
        <w:jc w:val="left"/>
        <w:outlineLvl w:val="9"/>
        <w:rPr>
          <w:rFonts w:hint="eastAsia" w:ascii="仿宋_GB2312" w:hAnsi="仿宋_GB2312" w:eastAsia="仿宋_GB2312" w:cs="仿宋_GB2312"/>
          <w:kern w:val="2"/>
          <w:sz w:val="28"/>
          <w:szCs w:val="28"/>
          <w:highlight w:val="none"/>
          <w:lang w:val="en-US" w:eastAsia="zh-CN" w:bidi="ar-SA"/>
        </w:rPr>
      </w:pPr>
    </w:p>
    <w:p>
      <w:pPr>
        <w:pageBreakBefore w:val="0"/>
        <w:widowControl/>
        <w:topLinePunct w:val="0"/>
        <w:bidi w:val="0"/>
        <w:adjustRightInd w:val="0"/>
        <w:snapToGrid w:val="0"/>
        <w:spacing w:line="560" w:lineRule="exact"/>
        <w:ind w:left="1341" w:leftChars="308" w:hanging="694" w:hangingChars="248"/>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附件：上海电子信息职业技术学院兼课教师管理规定</w:t>
      </w:r>
    </w:p>
    <w:p>
      <w:pPr>
        <w:pageBreakBefore w:val="0"/>
        <w:topLinePunct w:val="0"/>
        <w:bidi w:val="0"/>
        <w:spacing w:line="560" w:lineRule="exact"/>
        <w:ind w:firstLine="3718" w:firstLineChars="1328"/>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firstLine="3718" w:firstLineChars="1328"/>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firstLine="3718" w:firstLineChars="1328"/>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firstLine="3718" w:firstLineChars="1328"/>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line="560" w:lineRule="exact"/>
        <w:ind w:firstLine="3718" w:firstLineChars="1328"/>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上海电子信息职业技术学院</w:t>
      </w:r>
    </w:p>
    <w:p>
      <w:pPr>
        <w:pageBreakBefore w:val="0"/>
        <w:topLinePunct w:val="0"/>
        <w:bidi w:val="0"/>
        <w:spacing w:line="560" w:lineRule="exact"/>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2021年10月14日</w:t>
      </w:r>
    </w:p>
    <w:p>
      <w:pPr>
        <w:pageBreakBefore w:val="0"/>
        <w:topLinePunct w:val="0"/>
        <w:bidi w:val="0"/>
        <w:spacing w:line="56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w:t>
      </w:r>
    </w:p>
    <w:p>
      <w:pPr>
        <w:pageBreakBefore w:val="0"/>
        <w:widowControl/>
        <w:topLinePunct w:val="0"/>
        <w:bidi w:val="0"/>
        <w:adjustRightInd w:val="0"/>
        <w:snapToGrid w:val="0"/>
        <w:spacing w:line="520" w:lineRule="exact"/>
        <w:ind w:firstLine="721" w:firstLineChars="200"/>
        <w:jc w:val="center"/>
        <w:outlineLvl w:val="9"/>
        <w:rPr>
          <w:rFonts w:eastAsia="华文中宋"/>
          <w:b/>
          <w:sz w:val="36"/>
          <w:szCs w:val="36"/>
        </w:rPr>
      </w:pPr>
      <w:r>
        <w:rPr>
          <w:rFonts w:eastAsia="华文中宋"/>
          <w:b/>
          <w:sz w:val="36"/>
          <w:szCs w:val="36"/>
        </w:rPr>
        <w:t>上海电子信息职业技术学院</w:t>
      </w:r>
    </w:p>
    <w:p>
      <w:pPr>
        <w:pageBreakBefore w:val="0"/>
        <w:widowControl/>
        <w:topLinePunct w:val="0"/>
        <w:bidi w:val="0"/>
        <w:adjustRightInd w:val="0"/>
        <w:snapToGrid w:val="0"/>
        <w:spacing w:line="520" w:lineRule="exact"/>
        <w:ind w:firstLine="721" w:firstLineChars="200"/>
        <w:jc w:val="center"/>
        <w:outlineLvl w:val="9"/>
        <w:rPr>
          <w:rFonts w:eastAsia="华文中宋"/>
          <w:b/>
          <w:sz w:val="32"/>
          <w:szCs w:val="32"/>
        </w:rPr>
      </w:pPr>
      <w:r>
        <w:rPr>
          <w:rFonts w:eastAsia="华文中宋"/>
          <w:b/>
          <w:sz w:val="36"/>
          <w:szCs w:val="36"/>
        </w:rPr>
        <w:t>兼课教师管理规定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为做好兼课教师的聘任与管理工作，建立一支高素质、高水平、相对稳定的兼课教师队伍，实现教育资源共享，保证教学质量，规范管理，结合我院实际情况，现修订兼课教师管理规定。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一、兼课教师的聘任条件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1．校外兼课教师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（1）热爱教育事业，治学严谨，具有良好的政治思想品质和职业道德；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w:t>
      </w:r>
      <w:r>
        <w:rPr>
          <w:rFonts w:hint="eastAsia" w:ascii="仿宋_GB2312" w:hAnsi="仿宋_GB2312" w:eastAsia="仿宋_GB2312" w:cs="仿宋_GB2312"/>
          <w:kern w:val="2"/>
          <w:sz w:val="28"/>
          <w:szCs w:val="28"/>
          <w:highlight w:val="none"/>
          <w:lang w:val="en-US" w:eastAsia="zh-CN" w:bidi="ar-SA"/>
        </w:rPr>
        <w:t>2）应具有高校教师资格证；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（3）兼课教师年龄一般不超过65周岁，身体健康。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2．校内兼课教师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（1）具有高校教师资格证；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（2）在本岗位工作一年以上，且符合教学能力要求。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二、兼课教师的聘用程序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1．聘用部门根据实际需要制订聘用计划；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2．兼课教师应填写《兼课教师基本情况备案表》，聘用部门对拟聘任人选进行资格审核，审核内容包括：毕业证、学位证书、身份证、教师资格证、专业技术职务任职资格证书等（证书复印件均应存档）；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3．校内行政人员兼课需由聘用部门提出，经被聘者所在部门领导同意后报学院教务处；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4．首次兼课或者另上新课（一般从专业角度考虑）者必须通过说课；由教务处组织初级及以下职称者的说课，由二级学院组织中级及以上职称者的说课。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5．聘用部门应在规定时间内填写《兼课教师审批表》，报教务处核准；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 聘用部门在规定时间内（一般在当前学期结束前四周）将《兼课教师基本情况表》 、《兼课教师授课情况表》 报教务处备案；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7．学期结束前一周，聘用部门下发教学任务书（以此作为聘任依据）；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8．学期中途兼课教师若发生变化，新聘教师应及时办理审核手续。</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三、兼课教师的工作职责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1．完成聘用部门安排的教学任务，并按学院有关规定做好授课计划、期末考试考核命题、阅卷、成绩录入以及进行考试考核分析等教学工作；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2．参与教学部门组织的教研活动，填写教学检查表；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3．严格执行教学计划规定的教学时数，如需变动或请假，按学院规定的审批程序执行。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四、兼课教师的管理与考核</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1．各教学单位外聘兼课教师人数原则上控制在专任教师总数的20％以内；</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2．聘用部门负责对兼课教师进行日常管理，向其提供承担课程的课程标准（教学大纲）和学校对教学环节的各项要求。受聘兼课教师应履行职责；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3．聘用部门按照学校教学管理规定采取学生测评、审查教案及组织听课等形式对兼课教师教学质量进行抽查考核，并记入《兼课教师教学档案》；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4．兼课教师聘用期满后，若需办理续聘手续，仍应按聘用程序办理；对教学质量考核不合格者，应及时终止其授课，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并予以解聘；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5．按兼课教师实际完成的教学时数计发课时津贴。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五、兼课教师课酬发放标准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宋体" w:hAnsi="宋体" w:eastAsia="宋体" w:cs="宋体"/>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1．校外兼课教师（含退休返聘人员，单位：元 / 课时）</w:t>
      </w:r>
    </w:p>
    <w:tbl>
      <w:tblPr>
        <w:tblStyle w:val="37"/>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795"/>
        <w:gridCol w:w="767"/>
        <w:gridCol w:w="800"/>
        <w:gridCol w:w="889"/>
        <w:gridCol w:w="744"/>
        <w:gridCol w:w="3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00" w:type="dxa"/>
            <w:tcBorders>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职 称</w:t>
            </w:r>
          </w:p>
        </w:tc>
        <w:tc>
          <w:tcPr>
            <w:tcW w:w="795" w:type="dxa"/>
            <w:tcBorders>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无职称</w:t>
            </w:r>
          </w:p>
        </w:tc>
        <w:tc>
          <w:tcPr>
            <w:tcW w:w="767" w:type="dxa"/>
            <w:tcBorders>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初 级</w:t>
            </w:r>
          </w:p>
        </w:tc>
        <w:tc>
          <w:tcPr>
            <w:tcW w:w="800" w:type="dxa"/>
            <w:tcBorders>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中 级</w:t>
            </w:r>
          </w:p>
        </w:tc>
        <w:tc>
          <w:tcPr>
            <w:tcW w:w="889" w:type="dxa"/>
            <w:tcBorders>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副 高</w:t>
            </w:r>
          </w:p>
        </w:tc>
        <w:tc>
          <w:tcPr>
            <w:tcW w:w="744" w:type="dxa"/>
            <w:tcBorders>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正 高</w:t>
            </w:r>
          </w:p>
        </w:tc>
        <w:tc>
          <w:tcPr>
            <w:tcW w:w="3570" w:type="dxa"/>
            <w:tcBorders>
              <w:bottom w:val="single" w:color="auto" w:sz="4" w:space="0"/>
            </w:tcBorders>
            <w:noWrap/>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附注说明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00" w:type="dxa"/>
            <w:noWrap/>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课酬标准</w:t>
            </w:r>
          </w:p>
        </w:tc>
        <w:tc>
          <w:tcPr>
            <w:tcW w:w="1562" w:type="dxa"/>
            <w:gridSpan w:val="2"/>
            <w:noWrap/>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原则上不聘；若聘，标准为50元。</w:t>
            </w:r>
          </w:p>
        </w:tc>
        <w:tc>
          <w:tcPr>
            <w:tcW w:w="800" w:type="dxa"/>
            <w:noWrap/>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95</w:t>
            </w:r>
          </w:p>
        </w:tc>
        <w:tc>
          <w:tcPr>
            <w:tcW w:w="889" w:type="dxa"/>
            <w:noWrap/>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115</w:t>
            </w:r>
          </w:p>
        </w:tc>
        <w:tc>
          <w:tcPr>
            <w:tcW w:w="744" w:type="dxa"/>
            <w:noWrap/>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135</w:t>
            </w:r>
          </w:p>
        </w:tc>
        <w:tc>
          <w:tcPr>
            <w:tcW w:w="3570" w:type="dxa"/>
            <w:noWrap/>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高级讲师教授高职课程，按照中级标准计算课时费，教授中职课程，可以按照副高标准计算课时费；无职称但有博士毕业证书或学位证书，可以按照中级标准计算课时费。</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2．校内兼课教师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依照学院教师教学工作量计算办法及课酬发放标准执行。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六、附则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本规定自公布之日起实行， 原《上海电子信息职业技术学院兼课教师管理规定（修订）》（沪电信职院[2019]23号）废止， 由上海电子信息职业技术学院教务处负责解释。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1．上海电子信息职业技术学院兼课教师基本情况备案表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2．上海电子信息职业技术学院兼课教师审批表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3．上海电子信息职业技术学院兼课教师基本情况</w:t>
      </w:r>
      <w:r>
        <w:rPr>
          <w:rFonts w:hint="eastAsia" w:ascii="仿宋_GB2312" w:hAnsi="仿宋_GB2312" w:eastAsia="仿宋_GB2312" w:cs="仿宋_GB2312"/>
          <w:kern w:val="2"/>
          <w:sz w:val="28"/>
          <w:szCs w:val="28"/>
          <w:highlight w:val="none"/>
          <w:lang w:val="en-US" w:eastAsia="zh-CN" w:bidi="ar-SA"/>
        </w:rPr>
        <w:br w:type="textWrapping"/>
      </w:r>
      <w:r>
        <w:rPr>
          <w:rFonts w:hint="eastAsia" w:ascii="仿宋_GB2312" w:hAnsi="仿宋_GB2312" w:eastAsia="仿宋_GB2312" w:cs="仿宋_GB2312"/>
          <w:kern w:val="2"/>
          <w:sz w:val="28"/>
          <w:szCs w:val="28"/>
          <w:highlight w:val="none"/>
          <w:lang w:val="en-US" w:eastAsia="zh-CN" w:bidi="ar-SA"/>
        </w:rPr>
        <w:t>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 上海电子信息职业技术学院兼课教师授课情况</w:t>
      </w:r>
      <w:r>
        <w:rPr>
          <w:rFonts w:hint="eastAsia" w:ascii="仿宋_GB2312" w:hAnsi="仿宋_GB2312" w:eastAsia="仿宋_GB2312" w:cs="仿宋_GB2312"/>
          <w:kern w:val="2"/>
          <w:sz w:val="28"/>
          <w:szCs w:val="28"/>
          <w:highlight w:val="none"/>
          <w:lang w:val="en-US" w:eastAsia="zh-CN" w:bidi="ar-SA"/>
        </w:rPr>
        <w:br w:type="textWrapping"/>
      </w:r>
      <w:r>
        <w:rPr>
          <w:rFonts w:hint="eastAsia" w:ascii="仿宋_GB2312" w:hAnsi="仿宋_GB2312" w:eastAsia="仿宋_GB2312" w:cs="仿宋_GB2312"/>
          <w:kern w:val="2"/>
          <w:sz w:val="28"/>
          <w:szCs w:val="28"/>
          <w:highlight w:val="none"/>
          <w:lang w:val="en-US" w:eastAsia="zh-CN" w:bidi="ar-SA"/>
        </w:rPr>
        <w:t>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5．兼课教师聘用流程图</w:t>
      </w:r>
    </w:p>
    <w:p>
      <w:pPr>
        <w:pageBreakBefore w:val="0"/>
        <w:topLinePunct w:val="0"/>
        <w:bidi w:val="0"/>
        <w:outlineLvl w:val="9"/>
        <w:rPr>
          <w:rFonts w:eastAsia="黑体"/>
          <w:bCs/>
          <w:sz w:val="30"/>
          <w:szCs w:val="30"/>
        </w:rPr>
      </w:pPr>
    </w:p>
    <w:p>
      <w:pPr>
        <w:pageBreakBefore w:val="0"/>
        <w:topLinePunct w:val="0"/>
        <w:bidi w:val="0"/>
        <w:outlineLvl w:val="9"/>
        <w:rPr>
          <w:rFonts w:eastAsia="黑体"/>
          <w:bCs/>
          <w:sz w:val="30"/>
          <w:szCs w:val="30"/>
        </w:rPr>
      </w:pPr>
    </w:p>
    <w:p>
      <w:pPr>
        <w:pageBreakBefore w:val="0"/>
        <w:topLinePunct w:val="0"/>
        <w:bidi w:val="0"/>
        <w:outlineLvl w:val="9"/>
        <w:rPr>
          <w:rFonts w:eastAsia="黑体"/>
          <w:bCs/>
          <w:sz w:val="30"/>
          <w:szCs w:val="30"/>
        </w:rPr>
      </w:pPr>
    </w:p>
    <w:p>
      <w:pPr>
        <w:pageBreakBefore w:val="0"/>
        <w:topLinePunct w:val="0"/>
        <w:bidi w:val="0"/>
        <w:outlineLvl w:val="9"/>
        <w:rPr>
          <w:rFonts w:eastAsia="黑体"/>
          <w:bCs/>
          <w:sz w:val="30"/>
          <w:szCs w:val="30"/>
        </w:rPr>
      </w:pPr>
    </w:p>
    <w:p>
      <w:pPr>
        <w:pageBreakBefore w:val="0"/>
        <w:topLinePunct w:val="0"/>
        <w:bidi w:val="0"/>
        <w:outlineLvl w:val="9"/>
        <w:rPr>
          <w:rFonts w:eastAsia="黑体"/>
          <w:bCs/>
          <w:sz w:val="30"/>
          <w:szCs w:val="30"/>
        </w:rPr>
      </w:pPr>
    </w:p>
    <w:p>
      <w:pPr>
        <w:pageBreakBefore w:val="0"/>
        <w:topLinePunct w:val="0"/>
        <w:bidi w:val="0"/>
        <w:outlineLvl w:val="9"/>
        <w:rPr>
          <w:rFonts w:eastAsia="黑体"/>
          <w:bCs/>
          <w:sz w:val="30"/>
          <w:szCs w:val="30"/>
        </w:rPr>
      </w:pPr>
    </w:p>
    <w:p>
      <w:pPr>
        <w:pageBreakBefore w:val="0"/>
        <w:topLinePunct w:val="0"/>
        <w:bidi w:val="0"/>
        <w:outlineLvl w:val="9"/>
        <w:rPr>
          <w:rFonts w:eastAsia="黑体"/>
          <w:bCs/>
          <w:sz w:val="30"/>
          <w:szCs w:val="30"/>
        </w:rPr>
      </w:pPr>
    </w:p>
    <w:p>
      <w:pPr>
        <w:pageBreakBefore w:val="0"/>
        <w:topLinePunct w:val="0"/>
        <w:bidi w:val="0"/>
        <w:outlineLvl w:val="9"/>
        <w:rPr>
          <w:rFonts w:eastAsia="黑体"/>
          <w:bCs/>
          <w:sz w:val="30"/>
          <w:szCs w:val="30"/>
        </w:rPr>
      </w:pPr>
    </w:p>
    <w:p>
      <w:pPr>
        <w:pageBreakBefore w:val="0"/>
        <w:topLinePunct w:val="0"/>
        <w:bidi w:val="0"/>
        <w:outlineLvl w:val="9"/>
        <w:rPr>
          <w:rFonts w:eastAsia="黑体"/>
          <w:bCs/>
          <w:sz w:val="30"/>
          <w:szCs w:val="30"/>
        </w:rPr>
      </w:pPr>
    </w:p>
    <w:p>
      <w:pPr>
        <w:pageBreakBefore w:val="0"/>
        <w:topLinePunct w:val="0"/>
        <w:bidi w:val="0"/>
        <w:outlineLvl w:val="9"/>
        <w:rPr>
          <w:rFonts w:eastAsia="黑体"/>
          <w:bCs/>
          <w:sz w:val="30"/>
          <w:szCs w:val="30"/>
        </w:rPr>
      </w:pPr>
    </w:p>
    <w:p>
      <w:pPr>
        <w:pageBreakBefore w:val="0"/>
        <w:topLinePunct w:val="0"/>
        <w:bidi w:val="0"/>
        <w:outlineLvl w:val="9"/>
        <w:rPr>
          <w:rFonts w:eastAsia="黑体"/>
          <w:bCs/>
          <w:sz w:val="30"/>
          <w:szCs w:val="30"/>
        </w:rPr>
      </w:pPr>
    </w:p>
    <w:p>
      <w:pPr>
        <w:pageBreakBefore w:val="0"/>
        <w:topLinePunct w:val="0"/>
        <w:bidi w:val="0"/>
        <w:outlineLvl w:val="9"/>
        <w:rPr>
          <w:rFonts w:eastAsia="黑体"/>
          <w:bCs/>
          <w:sz w:val="30"/>
          <w:szCs w:val="30"/>
        </w:rPr>
      </w:pPr>
    </w:p>
    <w:p>
      <w:pPr>
        <w:pageBreakBefore w:val="0"/>
        <w:topLinePunct w:val="0"/>
        <w:bidi w:val="0"/>
        <w:outlineLvl w:val="9"/>
        <w:rPr>
          <w:rFonts w:eastAsia="黑体"/>
          <w:bCs/>
          <w:sz w:val="30"/>
          <w:szCs w:val="30"/>
        </w:rPr>
      </w:pPr>
    </w:p>
    <w:p>
      <w:pPr>
        <w:pageBreakBefore w:val="0"/>
        <w:topLinePunct w:val="0"/>
        <w:bidi w:val="0"/>
        <w:outlineLvl w:val="9"/>
        <w:rPr>
          <w:rFonts w:eastAsia="方正舒体"/>
          <w:bCs/>
          <w:sz w:val="30"/>
          <w:szCs w:val="30"/>
        </w:rPr>
      </w:pPr>
      <w:r>
        <w:rPr>
          <w:rFonts w:hint="eastAsia" w:ascii="仿宋_GB2312" w:hAnsi="仿宋_GB2312" w:eastAsia="仿宋_GB2312" w:cs="仿宋_GB2312"/>
          <w:kern w:val="2"/>
          <w:sz w:val="28"/>
          <w:szCs w:val="28"/>
          <w:highlight w:val="none"/>
          <w:lang w:val="en-US" w:eastAsia="zh-CN" w:bidi="ar-SA"/>
        </w:rPr>
        <w:t xml:space="preserve">附件1 </w:t>
      </w:r>
      <w:r>
        <w:rPr>
          <w:rFonts w:eastAsia="方正舒体"/>
          <w:bCs/>
          <w:sz w:val="30"/>
          <w:szCs w:val="30"/>
        </w:rPr>
        <w:t xml:space="preserve">        </w:t>
      </w:r>
    </w:p>
    <w:p>
      <w:pPr>
        <w:pageBreakBefore w:val="0"/>
        <w:topLinePunct w:val="0"/>
        <w:bidi w:val="0"/>
        <w:jc w:val="center"/>
        <w:outlineLvl w:val="9"/>
        <w:rPr>
          <w:b/>
          <w:bCs/>
          <w:sz w:val="30"/>
          <w:szCs w:val="30"/>
        </w:rPr>
      </w:pPr>
      <w:r>
        <w:rPr>
          <w:b/>
          <w:bCs/>
          <w:sz w:val="30"/>
          <w:szCs w:val="30"/>
        </w:rPr>
        <w:t>兼课教师基本情况备案表</w:t>
      </w:r>
    </w:p>
    <w:tbl>
      <w:tblPr>
        <w:tblStyle w:val="37"/>
        <w:tblW w:w="9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1162"/>
        <w:gridCol w:w="812"/>
        <w:gridCol w:w="846"/>
        <w:gridCol w:w="1132"/>
        <w:gridCol w:w="216"/>
        <w:gridCol w:w="1552"/>
        <w:gridCol w:w="1144"/>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top w:val="double" w:color="auto" w:sz="4" w:space="0"/>
              <w:left w:val="double" w:color="auto" w:sz="4" w:space="0"/>
            </w:tcBorders>
            <w:noWrap w:val="0"/>
            <w:vAlign w:val="center"/>
          </w:tcPr>
          <w:p>
            <w:pPr>
              <w:pageBreakBefore w:val="0"/>
              <w:topLinePunct w:val="0"/>
              <w:bidi w:val="0"/>
              <w:jc w:val="center"/>
              <w:outlineLvl w:val="9"/>
              <w:rPr>
                <w:szCs w:val="21"/>
              </w:rPr>
            </w:pPr>
            <w:r>
              <w:t>姓名</w:t>
            </w:r>
          </w:p>
        </w:tc>
        <w:tc>
          <w:tcPr>
            <w:tcW w:w="1162" w:type="dxa"/>
            <w:tcBorders>
              <w:top w:val="double" w:color="auto" w:sz="4" w:space="0"/>
            </w:tcBorders>
            <w:noWrap w:val="0"/>
            <w:vAlign w:val="center"/>
          </w:tcPr>
          <w:p>
            <w:pPr>
              <w:pageBreakBefore w:val="0"/>
              <w:topLinePunct w:val="0"/>
              <w:bidi w:val="0"/>
              <w:outlineLvl w:val="9"/>
            </w:pPr>
          </w:p>
        </w:tc>
        <w:tc>
          <w:tcPr>
            <w:tcW w:w="812" w:type="dxa"/>
            <w:tcBorders>
              <w:top w:val="double" w:color="auto" w:sz="4" w:space="0"/>
            </w:tcBorders>
            <w:noWrap w:val="0"/>
            <w:vAlign w:val="center"/>
          </w:tcPr>
          <w:p>
            <w:pPr>
              <w:pageBreakBefore w:val="0"/>
              <w:topLinePunct w:val="0"/>
              <w:bidi w:val="0"/>
              <w:jc w:val="center"/>
              <w:outlineLvl w:val="9"/>
            </w:pPr>
            <w:r>
              <w:t>性别</w:t>
            </w:r>
          </w:p>
        </w:tc>
        <w:tc>
          <w:tcPr>
            <w:tcW w:w="846" w:type="dxa"/>
            <w:tcBorders>
              <w:top w:val="double" w:color="auto" w:sz="4" w:space="0"/>
            </w:tcBorders>
            <w:noWrap w:val="0"/>
            <w:vAlign w:val="center"/>
          </w:tcPr>
          <w:p>
            <w:pPr>
              <w:pageBreakBefore w:val="0"/>
              <w:topLinePunct w:val="0"/>
              <w:bidi w:val="0"/>
              <w:jc w:val="center"/>
              <w:outlineLvl w:val="9"/>
            </w:pPr>
          </w:p>
        </w:tc>
        <w:tc>
          <w:tcPr>
            <w:tcW w:w="1132" w:type="dxa"/>
            <w:tcBorders>
              <w:top w:val="double" w:color="auto" w:sz="4" w:space="0"/>
            </w:tcBorders>
            <w:noWrap w:val="0"/>
            <w:vAlign w:val="center"/>
          </w:tcPr>
          <w:p>
            <w:pPr>
              <w:pageBreakBefore w:val="0"/>
              <w:topLinePunct w:val="0"/>
              <w:bidi w:val="0"/>
              <w:jc w:val="center"/>
              <w:outlineLvl w:val="9"/>
            </w:pPr>
            <w:r>
              <w:t>出生年月</w:t>
            </w:r>
          </w:p>
        </w:tc>
        <w:tc>
          <w:tcPr>
            <w:tcW w:w="1768" w:type="dxa"/>
            <w:gridSpan w:val="2"/>
            <w:tcBorders>
              <w:top w:val="double" w:color="auto" w:sz="4" w:space="0"/>
            </w:tcBorders>
            <w:noWrap w:val="0"/>
            <w:vAlign w:val="center"/>
          </w:tcPr>
          <w:p>
            <w:pPr>
              <w:pageBreakBefore w:val="0"/>
              <w:topLinePunct w:val="0"/>
              <w:bidi w:val="0"/>
              <w:jc w:val="center"/>
              <w:outlineLvl w:val="9"/>
            </w:pPr>
          </w:p>
        </w:tc>
        <w:tc>
          <w:tcPr>
            <w:tcW w:w="1144" w:type="dxa"/>
            <w:tcBorders>
              <w:top w:val="double" w:color="auto" w:sz="4" w:space="0"/>
              <w:right w:val="single" w:color="auto" w:sz="4" w:space="0"/>
            </w:tcBorders>
            <w:noWrap w:val="0"/>
            <w:vAlign w:val="center"/>
          </w:tcPr>
          <w:p>
            <w:pPr>
              <w:pageBreakBefore w:val="0"/>
              <w:topLinePunct w:val="0"/>
              <w:bidi w:val="0"/>
              <w:jc w:val="center"/>
              <w:outlineLvl w:val="9"/>
            </w:pPr>
            <w:r>
              <w:t>学历/学位</w:t>
            </w:r>
          </w:p>
        </w:tc>
        <w:tc>
          <w:tcPr>
            <w:tcW w:w="1562" w:type="dxa"/>
            <w:tcBorders>
              <w:top w:val="double" w:color="auto" w:sz="4" w:space="0"/>
              <w:left w:val="single" w:color="auto" w:sz="4" w:space="0"/>
              <w:right w:val="double" w:color="auto" w:sz="4" w:space="0"/>
            </w:tcBorders>
            <w:noWrap w:val="0"/>
            <w:vAlign w:val="center"/>
          </w:tcPr>
          <w:p>
            <w:pPr>
              <w:pageBreakBefore w:val="0"/>
              <w:topLinePunct w:val="0"/>
              <w:bidi w:val="0"/>
              <w:jc w:val="center"/>
              <w:outlineLvl w:val="9"/>
              <w:rPr>
                <w:b/>
              </w:rPr>
            </w:pPr>
            <w:r>
              <w:rPr>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jc w:val="center"/>
              <w:outlineLvl w:val="9"/>
            </w:pPr>
            <w:r>
              <w:t>职称/职业资格</w:t>
            </w:r>
          </w:p>
        </w:tc>
        <w:tc>
          <w:tcPr>
            <w:tcW w:w="2820" w:type="dxa"/>
            <w:gridSpan w:val="3"/>
            <w:noWrap w:val="0"/>
            <w:vAlign w:val="center"/>
          </w:tcPr>
          <w:p>
            <w:pPr>
              <w:pageBreakBefore w:val="0"/>
              <w:topLinePunct w:val="0"/>
              <w:bidi w:val="0"/>
              <w:jc w:val="center"/>
              <w:outlineLvl w:val="9"/>
            </w:pPr>
          </w:p>
        </w:tc>
        <w:tc>
          <w:tcPr>
            <w:tcW w:w="1132" w:type="dxa"/>
            <w:noWrap w:val="0"/>
            <w:vAlign w:val="center"/>
          </w:tcPr>
          <w:p>
            <w:pPr>
              <w:pageBreakBefore w:val="0"/>
              <w:topLinePunct w:val="0"/>
              <w:bidi w:val="0"/>
              <w:jc w:val="center"/>
              <w:outlineLvl w:val="9"/>
            </w:pPr>
            <w:r>
              <w:t>发证单位</w:t>
            </w:r>
          </w:p>
        </w:tc>
        <w:tc>
          <w:tcPr>
            <w:tcW w:w="1768" w:type="dxa"/>
            <w:gridSpan w:val="2"/>
            <w:noWrap w:val="0"/>
            <w:vAlign w:val="center"/>
          </w:tcPr>
          <w:p>
            <w:pPr>
              <w:pageBreakBefore w:val="0"/>
              <w:topLinePunct w:val="0"/>
              <w:bidi w:val="0"/>
              <w:jc w:val="center"/>
              <w:outlineLvl w:val="9"/>
            </w:pPr>
          </w:p>
        </w:tc>
        <w:tc>
          <w:tcPr>
            <w:tcW w:w="1144" w:type="dxa"/>
            <w:tcBorders>
              <w:bottom w:val="nil"/>
              <w:right w:val="single" w:color="auto" w:sz="4" w:space="0"/>
            </w:tcBorders>
            <w:noWrap w:val="0"/>
            <w:vAlign w:val="center"/>
          </w:tcPr>
          <w:p>
            <w:pPr>
              <w:pageBreakBefore w:val="0"/>
              <w:topLinePunct w:val="0"/>
              <w:bidi w:val="0"/>
              <w:jc w:val="center"/>
              <w:outlineLvl w:val="9"/>
            </w:pPr>
            <w:r>
              <w:t>获取时间</w:t>
            </w:r>
          </w:p>
        </w:tc>
        <w:tc>
          <w:tcPr>
            <w:tcW w:w="1562" w:type="dxa"/>
            <w:tcBorders>
              <w:left w:val="single" w:color="auto" w:sz="4" w:space="0"/>
              <w:bottom w:val="nil"/>
              <w:right w:val="double" w:color="auto" w:sz="4" w:space="0"/>
            </w:tcBorders>
            <w:noWrap w:val="0"/>
            <w:vAlign w:val="center"/>
          </w:tcPr>
          <w:p>
            <w:pPr>
              <w:pageBreakBefore w:val="0"/>
              <w:topLinePunct w:val="0"/>
              <w:bidi w:val="0"/>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jc w:val="center"/>
              <w:outlineLvl w:val="9"/>
            </w:pPr>
            <w:r>
              <w:t>毕业学校</w:t>
            </w:r>
          </w:p>
        </w:tc>
        <w:tc>
          <w:tcPr>
            <w:tcW w:w="2820" w:type="dxa"/>
            <w:gridSpan w:val="3"/>
            <w:tcBorders>
              <w:top w:val="single" w:color="auto" w:sz="4" w:space="0"/>
              <w:right w:val="single" w:color="auto" w:sz="4" w:space="0"/>
            </w:tcBorders>
            <w:noWrap w:val="0"/>
            <w:vAlign w:val="center"/>
          </w:tcPr>
          <w:p>
            <w:pPr>
              <w:pageBreakBefore w:val="0"/>
              <w:topLinePunct w:val="0"/>
              <w:bidi w:val="0"/>
              <w:jc w:val="center"/>
              <w:outlineLvl w:val="9"/>
            </w:pPr>
          </w:p>
        </w:tc>
        <w:tc>
          <w:tcPr>
            <w:tcW w:w="1132" w:type="dxa"/>
            <w:tcBorders>
              <w:top w:val="single" w:color="auto" w:sz="4" w:space="0"/>
              <w:left w:val="single" w:color="auto" w:sz="4" w:space="0"/>
              <w:right w:val="single" w:color="auto" w:sz="4" w:space="0"/>
            </w:tcBorders>
            <w:noWrap w:val="0"/>
            <w:vAlign w:val="center"/>
          </w:tcPr>
          <w:p>
            <w:pPr>
              <w:pageBreakBefore w:val="0"/>
              <w:topLinePunct w:val="0"/>
              <w:bidi w:val="0"/>
              <w:jc w:val="center"/>
              <w:outlineLvl w:val="9"/>
            </w:pPr>
            <w:r>
              <w:t>专业</w:t>
            </w:r>
          </w:p>
        </w:tc>
        <w:tc>
          <w:tcPr>
            <w:tcW w:w="1768" w:type="dxa"/>
            <w:gridSpan w:val="2"/>
            <w:tcBorders>
              <w:top w:val="single" w:color="auto" w:sz="4" w:space="0"/>
              <w:left w:val="single" w:color="auto" w:sz="4" w:space="0"/>
              <w:right w:val="single" w:color="auto" w:sz="4" w:space="0"/>
            </w:tcBorders>
            <w:noWrap w:val="0"/>
            <w:vAlign w:val="center"/>
          </w:tcPr>
          <w:p>
            <w:pPr>
              <w:pageBreakBefore w:val="0"/>
              <w:topLinePunct w:val="0"/>
              <w:bidi w:val="0"/>
              <w:jc w:val="center"/>
              <w:outlineLvl w:val="9"/>
            </w:pPr>
          </w:p>
        </w:tc>
        <w:tc>
          <w:tcPr>
            <w:tcW w:w="1144" w:type="dxa"/>
            <w:tcBorders>
              <w:top w:val="single" w:color="auto" w:sz="4" w:space="0"/>
              <w:left w:val="single" w:color="auto" w:sz="4" w:space="0"/>
              <w:right w:val="single" w:color="auto" w:sz="4" w:space="0"/>
            </w:tcBorders>
            <w:noWrap w:val="0"/>
            <w:vAlign w:val="center"/>
          </w:tcPr>
          <w:p>
            <w:pPr>
              <w:pageBreakBefore w:val="0"/>
              <w:topLinePunct w:val="0"/>
              <w:bidi w:val="0"/>
              <w:jc w:val="center"/>
              <w:outlineLvl w:val="9"/>
            </w:pPr>
            <w:r>
              <w:t>专业特长</w:t>
            </w:r>
          </w:p>
        </w:tc>
        <w:tc>
          <w:tcPr>
            <w:tcW w:w="1562" w:type="dxa"/>
            <w:tcBorders>
              <w:top w:val="single" w:color="auto" w:sz="4" w:space="0"/>
              <w:left w:val="single" w:color="auto" w:sz="4" w:space="0"/>
              <w:right w:val="double" w:color="auto" w:sz="4" w:space="0"/>
            </w:tcBorders>
            <w:noWrap w:val="0"/>
            <w:vAlign w:val="center"/>
          </w:tcPr>
          <w:p>
            <w:pPr>
              <w:pageBreakBefore w:val="0"/>
              <w:topLinePunct w:val="0"/>
              <w:bidi w:val="0"/>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716" w:type="dxa"/>
            <w:gridSpan w:val="2"/>
            <w:vMerge w:val="restart"/>
            <w:tcBorders>
              <w:left w:val="double" w:color="auto" w:sz="4" w:space="0"/>
            </w:tcBorders>
            <w:noWrap w:val="0"/>
            <w:vAlign w:val="center"/>
          </w:tcPr>
          <w:p>
            <w:pPr>
              <w:pageBreakBefore w:val="0"/>
              <w:topLinePunct w:val="0"/>
              <w:bidi w:val="0"/>
              <w:jc w:val="center"/>
              <w:outlineLvl w:val="9"/>
            </w:pPr>
            <w:r>
              <w:t>现（原）工作单位、部门</w:t>
            </w:r>
          </w:p>
          <w:p>
            <w:pPr>
              <w:pageBreakBefore w:val="0"/>
              <w:topLinePunct w:val="0"/>
              <w:bidi w:val="0"/>
              <w:jc w:val="center"/>
              <w:outlineLvl w:val="9"/>
            </w:pPr>
            <w:r>
              <w:t>(□在职□退休)</w:t>
            </w:r>
          </w:p>
        </w:tc>
        <w:tc>
          <w:tcPr>
            <w:tcW w:w="4558" w:type="dxa"/>
            <w:gridSpan w:val="5"/>
            <w:vMerge w:val="restart"/>
            <w:tcBorders>
              <w:top w:val="nil"/>
              <w:right w:val="single" w:color="auto" w:sz="4" w:space="0"/>
            </w:tcBorders>
            <w:noWrap w:val="0"/>
            <w:vAlign w:val="center"/>
          </w:tcPr>
          <w:p>
            <w:pPr>
              <w:pageBreakBefore w:val="0"/>
              <w:topLinePunct w:val="0"/>
              <w:bidi w:val="0"/>
              <w:jc w:val="center"/>
              <w:outlineLvl w:val="9"/>
            </w:pPr>
          </w:p>
        </w:tc>
        <w:tc>
          <w:tcPr>
            <w:tcW w:w="1144" w:type="dxa"/>
            <w:tcBorders>
              <w:top w:val="nil"/>
              <w:left w:val="single" w:color="auto" w:sz="4" w:space="0"/>
              <w:right w:val="single" w:color="auto" w:sz="4" w:space="0"/>
            </w:tcBorders>
            <w:noWrap w:val="0"/>
            <w:vAlign w:val="center"/>
          </w:tcPr>
          <w:p>
            <w:pPr>
              <w:pageBreakBefore w:val="0"/>
              <w:topLinePunct w:val="0"/>
              <w:bidi w:val="0"/>
              <w:jc w:val="center"/>
              <w:outlineLvl w:val="9"/>
            </w:pPr>
            <w:r>
              <w:t>联系电话</w:t>
            </w:r>
          </w:p>
        </w:tc>
        <w:tc>
          <w:tcPr>
            <w:tcW w:w="1562" w:type="dxa"/>
            <w:tcBorders>
              <w:top w:val="nil"/>
              <w:left w:val="single" w:color="auto" w:sz="4" w:space="0"/>
              <w:right w:val="double" w:color="auto" w:sz="4" w:space="0"/>
            </w:tcBorders>
            <w:noWrap w:val="0"/>
            <w:vAlign w:val="center"/>
          </w:tcPr>
          <w:p>
            <w:pPr>
              <w:pageBreakBefore w:val="0"/>
              <w:topLinePunct w:val="0"/>
              <w:bidi w:val="0"/>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716" w:type="dxa"/>
            <w:gridSpan w:val="2"/>
            <w:vMerge w:val="continue"/>
            <w:tcBorders>
              <w:left w:val="double" w:color="auto" w:sz="4" w:space="0"/>
            </w:tcBorders>
            <w:noWrap w:val="0"/>
            <w:vAlign w:val="center"/>
          </w:tcPr>
          <w:p>
            <w:pPr>
              <w:pageBreakBefore w:val="0"/>
              <w:topLinePunct w:val="0"/>
              <w:bidi w:val="0"/>
              <w:jc w:val="center"/>
              <w:outlineLvl w:val="9"/>
            </w:pPr>
          </w:p>
        </w:tc>
        <w:tc>
          <w:tcPr>
            <w:tcW w:w="4558" w:type="dxa"/>
            <w:gridSpan w:val="5"/>
            <w:vMerge w:val="continue"/>
            <w:tcBorders>
              <w:right w:val="single" w:color="auto" w:sz="4" w:space="0"/>
            </w:tcBorders>
            <w:noWrap w:val="0"/>
            <w:vAlign w:val="center"/>
          </w:tcPr>
          <w:p>
            <w:pPr>
              <w:pageBreakBefore w:val="0"/>
              <w:topLinePunct w:val="0"/>
              <w:bidi w:val="0"/>
              <w:jc w:val="center"/>
              <w:outlineLvl w:val="9"/>
            </w:pPr>
          </w:p>
        </w:tc>
        <w:tc>
          <w:tcPr>
            <w:tcW w:w="1144" w:type="dxa"/>
            <w:tcBorders>
              <w:top w:val="nil"/>
              <w:left w:val="single" w:color="auto" w:sz="4" w:space="0"/>
              <w:right w:val="single" w:color="auto" w:sz="4" w:space="0"/>
            </w:tcBorders>
            <w:noWrap w:val="0"/>
            <w:vAlign w:val="center"/>
          </w:tcPr>
          <w:p>
            <w:pPr>
              <w:pageBreakBefore w:val="0"/>
              <w:topLinePunct w:val="0"/>
              <w:bidi w:val="0"/>
              <w:jc w:val="center"/>
              <w:outlineLvl w:val="9"/>
            </w:pPr>
            <w:r>
              <w:rPr>
                <w:bCs/>
                <w:sz w:val="24"/>
              </w:rPr>
              <w:t>E-mail</w:t>
            </w:r>
          </w:p>
        </w:tc>
        <w:tc>
          <w:tcPr>
            <w:tcW w:w="1562" w:type="dxa"/>
            <w:tcBorders>
              <w:left w:val="single" w:color="auto" w:sz="4" w:space="0"/>
              <w:right w:val="double" w:color="auto" w:sz="4" w:space="0"/>
            </w:tcBorders>
            <w:noWrap w:val="0"/>
            <w:vAlign w:val="center"/>
          </w:tcPr>
          <w:p>
            <w:pPr>
              <w:pageBreakBefore w:val="0"/>
              <w:topLinePunct w:val="0"/>
              <w:bidi w:val="0"/>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716" w:type="dxa"/>
            <w:gridSpan w:val="2"/>
            <w:tcBorders>
              <w:left w:val="double" w:color="auto" w:sz="4" w:space="0"/>
            </w:tcBorders>
            <w:noWrap w:val="0"/>
            <w:vAlign w:val="center"/>
          </w:tcPr>
          <w:p>
            <w:pPr>
              <w:pageBreakBefore w:val="0"/>
              <w:topLinePunct w:val="0"/>
              <w:bidi w:val="0"/>
              <w:jc w:val="center"/>
              <w:outlineLvl w:val="9"/>
            </w:pPr>
            <w:r>
              <w:t>高校教师资格证书</w:t>
            </w:r>
          </w:p>
        </w:tc>
        <w:tc>
          <w:tcPr>
            <w:tcW w:w="1658" w:type="dxa"/>
            <w:gridSpan w:val="2"/>
            <w:noWrap w:val="0"/>
            <w:vAlign w:val="center"/>
          </w:tcPr>
          <w:p>
            <w:pPr>
              <w:pageBreakBefore w:val="0"/>
              <w:topLinePunct w:val="0"/>
              <w:bidi w:val="0"/>
              <w:jc w:val="center"/>
              <w:outlineLvl w:val="9"/>
            </w:pPr>
            <w:r>
              <w:t>有□</w:t>
            </w:r>
            <w:r>
              <w:rPr>
                <w:rFonts w:hint="eastAsia"/>
              </w:rPr>
              <w:t xml:space="preserve"> </w:t>
            </w:r>
            <w:r>
              <w:t>无□</w:t>
            </w:r>
          </w:p>
        </w:tc>
        <w:tc>
          <w:tcPr>
            <w:tcW w:w="1132" w:type="dxa"/>
            <w:tcBorders>
              <w:top w:val="nil"/>
            </w:tcBorders>
            <w:noWrap w:val="0"/>
            <w:vAlign w:val="center"/>
          </w:tcPr>
          <w:p>
            <w:pPr>
              <w:pageBreakBefore w:val="0"/>
              <w:topLinePunct w:val="0"/>
              <w:bidi w:val="0"/>
              <w:jc w:val="center"/>
              <w:outlineLvl w:val="9"/>
            </w:pPr>
            <w:r>
              <w:t>发证单位</w:t>
            </w:r>
          </w:p>
        </w:tc>
        <w:tc>
          <w:tcPr>
            <w:tcW w:w="1768" w:type="dxa"/>
            <w:gridSpan w:val="2"/>
            <w:tcBorders>
              <w:top w:val="single" w:color="auto" w:sz="4" w:space="0"/>
              <w:right w:val="single" w:color="auto" w:sz="4" w:space="0"/>
            </w:tcBorders>
            <w:noWrap w:val="0"/>
            <w:vAlign w:val="center"/>
          </w:tcPr>
          <w:p>
            <w:pPr>
              <w:pageBreakBefore w:val="0"/>
              <w:topLinePunct w:val="0"/>
              <w:bidi w:val="0"/>
              <w:outlineLvl w:val="9"/>
            </w:pPr>
          </w:p>
        </w:tc>
        <w:tc>
          <w:tcPr>
            <w:tcW w:w="1144" w:type="dxa"/>
            <w:tcBorders>
              <w:top w:val="single" w:color="auto" w:sz="4" w:space="0"/>
              <w:left w:val="single" w:color="auto" w:sz="4" w:space="0"/>
              <w:right w:val="single" w:color="auto" w:sz="4" w:space="0"/>
            </w:tcBorders>
            <w:noWrap w:val="0"/>
            <w:vAlign w:val="center"/>
          </w:tcPr>
          <w:p>
            <w:pPr>
              <w:pageBreakBefore w:val="0"/>
              <w:topLinePunct w:val="0"/>
              <w:bidi w:val="0"/>
              <w:outlineLvl w:val="9"/>
            </w:pPr>
            <w:r>
              <w:t>获取时间</w:t>
            </w:r>
          </w:p>
        </w:tc>
        <w:tc>
          <w:tcPr>
            <w:tcW w:w="1562" w:type="dxa"/>
            <w:tcBorders>
              <w:top w:val="single" w:color="auto" w:sz="4" w:space="0"/>
              <w:left w:val="single" w:color="auto" w:sz="4" w:space="0"/>
              <w:right w:val="double" w:color="auto" w:sz="4" w:space="0"/>
            </w:tcBorders>
            <w:noWrap w:val="0"/>
            <w:vAlign w:val="center"/>
          </w:tcPr>
          <w:p>
            <w:pPr>
              <w:pageBreakBefore w:val="0"/>
              <w:topLinePunct w:val="0"/>
              <w:bidi w:val="0"/>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980" w:type="dxa"/>
            <w:gridSpan w:val="9"/>
            <w:tcBorders>
              <w:left w:val="double" w:color="auto" w:sz="4" w:space="0"/>
              <w:right w:val="double" w:color="auto" w:sz="4" w:space="0"/>
            </w:tcBorders>
            <w:noWrap w:val="0"/>
            <w:vAlign w:val="center"/>
          </w:tcPr>
          <w:p>
            <w:pPr>
              <w:pageBreakBefore w:val="0"/>
              <w:topLinePunct w:val="0"/>
              <w:bidi w:val="0"/>
              <w:outlineLvl w:val="9"/>
            </w:pPr>
            <w:r>
              <w:rPr>
                <w:spacing w:val="-6"/>
                <w:szCs w:val="21"/>
              </w:rPr>
              <w:t>教师来源（□</w:t>
            </w:r>
            <w:r>
              <w:rPr>
                <w:szCs w:val="21"/>
              </w:rPr>
              <w:t>行业企业□校内返聘□校内兼课□其他高校教师）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980" w:type="dxa"/>
            <w:gridSpan w:val="9"/>
            <w:tcBorders>
              <w:left w:val="double" w:color="auto" w:sz="4" w:space="0"/>
              <w:right w:val="double" w:color="auto" w:sz="4" w:space="0"/>
            </w:tcBorders>
            <w:noWrap w:val="0"/>
            <w:vAlign w:val="center"/>
          </w:tcPr>
          <w:p>
            <w:pPr>
              <w:pageBreakBefore w:val="0"/>
              <w:topLinePunct w:val="0"/>
              <w:bidi w:val="0"/>
              <w:spacing w:line="240" w:lineRule="atLeast"/>
              <w:jc w:val="center"/>
              <w:outlineLvl w:val="9"/>
            </w:pPr>
            <w:r>
              <w:t>个人主要简历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pPr>
            <w:r>
              <w:t>时间</w:t>
            </w: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rPr>
                <w:szCs w:val="21"/>
              </w:rPr>
            </w:pPr>
            <w:r>
              <w:rPr>
                <w:szCs w:val="21"/>
              </w:rPr>
              <w:t>学习</w:t>
            </w:r>
            <w:r>
              <w:rPr>
                <w:rFonts w:hint="eastAsia"/>
                <w:szCs w:val="21"/>
              </w:rPr>
              <w:t>经历</w:t>
            </w:r>
          </w:p>
        </w:tc>
        <w:tc>
          <w:tcPr>
            <w:tcW w:w="4258"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rPr>
                <w:szCs w:val="21"/>
              </w:rPr>
            </w:pPr>
            <w:r>
              <w:rPr>
                <w:szCs w:val="21"/>
              </w:rPr>
              <w:t>专业</w:t>
            </w:r>
            <w:r>
              <w:rPr>
                <w:rFonts w:hint="eastAsia"/>
                <w:szCs w:val="21"/>
              </w:rPr>
              <w:t>、</w:t>
            </w:r>
            <w:r>
              <w:rPr>
                <w:szCs w:val="21"/>
              </w:rPr>
              <w:t>层次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pPr>
            <w:r>
              <w:rPr>
                <w:rFonts w:hint="eastAsia"/>
              </w:rPr>
              <w:t>2013.9-2016.7</w:t>
            </w: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pPr>
            <w:r>
              <w:t>师华东师范大学</w:t>
            </w:r>
          </w:p>
        </w:tc>
        <w:tc>
          <w:tcPr>
            <w:tcW w:w="4258"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pPr>
            <w:r>
              <w:t>教育学</w:t>
            </w:r>
            <w:r>
              <w:rPr>
                <w:rFonts w:hint="eastAsia"/>
              </w:rPr>
              <w:t xml:space="preserve">   </w:t>
            </w:r>
            <w:r>
              <w:t>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pPr>
            <w:r>
              <w:rPr>
                <w:rFonts w:hint="eastAsia"/>
              </w:rPr>
              <w:t>2009.9-2013.7</w:t>
            </w: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pPr>
            <w:r>
              <w:t>上海师范大学</w:t>
            </w:r>
          </w:p>
        </w:tc>
        <w:tc>
          <w:tcPr>
            <w:tcW w:w="4258"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pPr>
            <w:r>
              <w:t>教育学</w:t>
            </w:r>
            <w:r>
              <w:rPr>
                <w:rFonts w:hint="eastAsia"/>
              </w:rPr>
              <w:t xml:space="preserve">  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pP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pPr>
            <w:r>
              <w:t>由近到远填写主要专业学习经历</w:t>
            </w:r>
          </w:p>
        </w:tc>
        <w:tc>
          <w:tcPr>
            <w:tcW w:w="4258"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pP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pPr>
          </w:p>
        </w:tc>
        <w:tc>
          <w:tcPr>
            <w:tcW w:w="4258"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pP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pPr>
          </w:p>
        </w:tc>
        <w:tc>
          <w:tcPr>
            <w:tcW w:w="4258"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980" w:type="dxa"/>
            <w:gridSpan w:val="9"/>
            <w:tcBorders>
              <w:left w:val="double" w:color="auto" w:sz="4" w:space="0"/>
              <w:right w:val="double" w:color="auto" w:sz="4" w:space="0"/>
            </w:tcBorders>
            <w:noWrap w:val="0"/>
            <w:vAlign w:val="center"/>
          </w:tcPr>
          <w:p>
            <w:pPr>
              <w:pageBreakBefore w:val="0"/>
              <w:topLinePunct w:val="0"/>
              <w:bidi w:val="0"/>
              <w:spacing w:line="240" w:lineRule="atLeast"/>
              <w:jc w:val="center"/>
              <w:outlineLvl w:val="9"/>
            </w:pPr>
            <w:r>
              <w:t>教学工作经历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pPr>
            <w:r>
              <w:t>时间</w:t>
            </w: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pPr>
            <w:r>
              <w:t>教学工作单位</w:t>
            </w:r>
          </w:p>
        </w:tc>
        <w:tc>
          <w:tcPr>
            <w:tcW w:w="4258"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pPr>
            <w:r>
              <w:t>授课课程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pP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pPr>
            <w:r>
              <w:t>由近到远填写主要</w:t>
            </w:r>
            <w:r>
              <w:rPr>
                <w:rFonts w:hint="eastAsia"/>
              </w:rPr>
              <w:t>教学</w:t>
            </w:r>
            <w:r>
              <w:t>经历</w:t>
            </w:r>
          </w:p>
        </w:tc>
        <w:tc>
          <w:tcPr>
            <w:tcW w:w="4258"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pPr>
            <w:r>
              <w:rPr>
                <w:rFonts w:hint="eastAsia"/>
              </w:rPr>
              <w:t>2016.9-2021.1</w:t>
            </w: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pPr>
            <w:r>
              <w:t>上海师范大学</w:t>
            </w:r>
          </w:p>
        </w:tc>
        <w:tc>
          <w:tcPr>
            <w:tcW w:w="4258"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pPr>
            <w:r>
              <w:t>教育学</w:t>
            </w:r>
            <w:r>
              <w:rPr>
                <w:rFonts w:hint="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pP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pPr>
          </w:p>
        </w:tc>
        <w:tc>
          <w:tcPr>
            <w:tcW w:w="4258"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pPr>
          </w:p>
        </w:tc>
        <w:tc>
          <w:tcPr>
            <w:tcW w:w="4168" w:type="dxa"/>
            <w:gridSpan w:val="5"/>
            <w:tcBorders>
              <w:right w:val="single" w:color="auto" w:sz="4" w:space="0"/>
            </w:tcBorders>
            <w:noWrap w:val="0"/>
            <w:vAlign w:val="center"/>
          </w:tcPr>
          <w:p>
            <w:pPr>
              <w:pageBreakBefore w:val="0"/>
              <w:topLinePunct w:val="0"/>
              <w:bidi w:val="0"/>
              <w:spacing w:line="240" w:lineRule="atLeast"/>
              <w:jc w:val="center"/>
              <w:outlineLvl w:val="9"/>
            </w:pPr>
          </w:p>
        </w:tc>
        <w:tc>
          <w:tcPr>
            <w:tcW w:w="4258" w:type="dxa"/>
            <w:gridSpan w:val="3"/>
            <w:tcBorders>
              <w:left w:val="single" w:color="auto" w:sz="4" w:space="0"/>
              <w:right w:val="double" w:color="auto" w:sz="4" w:space="0"/>
            </w:tcBorders>
            <w:noWrap w:val="0"/>
            <w:vAlign w:val="center"/>
          </w:tcPr>
          <w:p>
            <w:pPr>
              <w:pageBreakBefore w:val="0"/>
              <w:topLinePunct w:val="0"/>
              <w:bidi w:val="0"/>
              <w:spacing w:line="240" w:lineRule="atLeast"/>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pPr>
            <w:r>
              <w:t>时间</w:t>
            </w:r>
          </w:p>
        </w:tc>
        <w:tc>
          <w:tcPr>
            <w:tcW w:w="8426" w:type="dxa"/>
            <w:gridSpan w:val="8"/>
            <w:tcBorders>
              <w:right w:val="double" w:color="auto" w:sz="4" w:space="0"/>
            </w:tcBorders>
            <w:noWrap w:val="0"/>
            <w:vAlign w:val="center"/>
          </w:tcPr>
          <w:p>
            <w:pPr>
              <w:pageBreakBefore w:val="0"/>
              <w:topLinePunct w:val="0"/>
              <w:bidi w:val="0"/>
              <w:spacing w:line="240" w:lineRule="atLeast"/>
              <w:jc w:val="center"/>
              <w:outlineLvl w:val="9"/>
            </w:pPr>
            <w:r>
              <w:t>科研业绩与进修情况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pPr>
          </w:p>
        </w:tc>
        <w:tc>
          <w:tcPr>
            <w:tcW w:w="8426" w:type="dxa"/>
            <w:gridSpan w:val="8"/>
            <w:tcBorders>
              <w:right w:val="double" w:color="auto" w:sz="4" w:space="0"/>
            </w:tcBorders>
            <w:noWrap w:val="0"/>
            <w:vAlign w:val="center"/>
          </w:tcPr>
          <w:p>
            <w:pPr>
              <w:pageBreakBefore w:val="0"/>
              <w:topLinePunct w:val="0"/>
              <w:bidi w:val="0"/>
              <w:spacing w:line="240" w:lineRule="atLeast"/>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tcBorders>
            <w:noWrap w:val="0"/>
            <w:vAlign w:val="center"/>
          </w:tcPr>
          <w:p>
            <w:pPr>
              <w:pageBreakBefore w:val="0"/>
              <w:topLinePunct w:val="0"/>
              <w:bidi w:val="0"/>
              <w:spacing w:line="240" w:lineRule="atLeast"/>
              <w:jc w:val="center"/>
              <w:outlineLvl w:val="9"/>
            </w:pPr>
          </w:p>
        </w:tc>
        <w:tc>
          <w:tcPr>
            <w:tcW w:w="8426" w:type="dxa"/>
            <w:gridSpan w:val="8"/>
            <w:tcBorders>
              <w:right w:val="double" w:color="auto" w:sz="4" w:space="0"/>
            </w:tcBorders>
            <w:noWrap w:val="0"/>
            <w:vAlign w:val="center"/>
          </w:tcPr>
          <w:p>
            <w:pPr>
              <w:pageBreakBefore w:val="0"/>
              <w:topLinePunct w:val="0"/>
              <w:bidi w:val="0"/>
              <w:spacing w:line="240" w:lineRule="atLeast"/>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554" w:type="dxa"/>
            <w:tcBorders>
              <w:left w:val="double" w:color="auto" w:sz="4" w:space="0"/>
              <w:bottom w:val="double" w:color="auto" w:sz="4" w:space="0"/>
            </w:tcBorders>
            <w:noWrap w:val="0"/>
            <w:vAlign w:val="center"/>
          </w:tcPr>
          <w:p>
            <w:pPr>
              <w:pageBreakBefore w:val="0"/>
              <w:topLinePunct w:val="0"/>
              <w:bidi w:val="0"/>
              <w:spacing w:line="240" w:lineRule="atLeast"/>
              <w:jc w:val="center"/>
              <w:outlineLvl w:val="9"/>
            </w:pPr>
          </w:p>
        </w:tc>
        <w:tc>
          <w:tcPr>
            <w:tcW w:w="8426" w:type="dxa"/>
            <w:gridSpan w:val="8"/>
            <w:tcBorders>
              <w:bottom w:val="double" w:color="auto" w:sz="4" w:space="0"/>
              <w:right w:val="double" w:color="auto" w:sz="4" w:space="0"/>
            </w:tcBorders>
            <w:noWrap w:val="0"/>
            <w:vAlign w:val="center"/>
          </w:tcPr>
          <w:p>
            <w:pPr>
              <w:pageBreakBefore w:val="0"/>
              <w:topLinePunct w:val="0"/>
              <w:bidi w:val="0"/>
              <w:spacing w:line="240" w:lineRule="atLeast"/>
              <w:jc w:val="center"/>
              <w:outlineLvl w:val="9"/>
            </w:pPr>
          </w:p>
        </w:tc>
      </w:tr>
    </w:tbl>
    <w:p>
      <w:pPr>
        <w:pageBreakBefore w:val="0"/>
        <w:topLinePunct w:val="0"/>
        <w:bidi w:val="0"/>
        <w:outlineLvl w:val="9"/>
        <w:rPr>
          <w:b/>
          <w:bCs/>
          <w:sz w:val="32"/>
          <w:szCs w:val="32"/>
        </w:rPr>
      </w:pPr>
      <w:r>
        <w:rPr>
          <w:rFonts w:hint="eastAsia"/>
        </w:rPr>
        <w:t>注：第一次聘用填写，第二次及以后聘用不需填写。</w:t>
      </w:r>
      <w:r>
        <w:rPr>
          <w:b/>
          <w:bCs/>
          <w:sz w:val="30"/>
          <w:szCs w:val="30"/>
        </w:rPr>
        <w:br w:type="page"/>
      </w:r>
      <w:r>
        <w:rPr>
          <w:rFonts w:hint="eastAsia" w:ascii="仿宋_GB2312" w:hAnsi="仿宋_GB2312" w:eastAsia="仿宋_GB2312" w:cs="仿宋_GB2312"/>
          <w:kern w:val="2"/>
          <w:sz w:val="28"/>
          <w:szCs w:val="28"/>
          <w:highlight w:val="none"/>
          <w:lang w:val="en-US" w:eastAsia="zh-CN" w:bidi="ar-SA"/>
        </w:rPr>
        <w:t xml:space="preserve">附件2  </w:t>
      </w:r>
      <w:r>
        <w:rPr>
          <w:rFonts w:eastAsia="方正舒体"/>
          <w:bCs/>
          <w:sz w:val="30"/>
          <w:szCs w:val="30"/>
        </w:rPr>
        <w:t xml:space="preserve">             </w:t>
      </w:r>
      <w:r>
        <w:rPr>
          <w:b/>
          <w:bCs/>
          <w:sz w:val="32"/>
          <w:szCs w:val="32"/>
        </w:rPr>
        <w:t>兼课教师审批表</w:t>
      </w:r>
    </w:p>
    <w:p>
      <w:pPr>
        <w:pageBreakBefore w:val="0"/>
        <w:topLinePunct w:val="0"/>
        <w:bidi w:val="0"/>
        <w:spacing w:after="120"/>
        <w:outlineLvl w:val="9"/>
      </w:pPr>
      <w:r>
        <w:t>聘用部门：                                           20    ~20    学年第   学期</w:t>
      </w:r>
    </w:p>
    <w:tbl>
      <w:tblPr>
        <w:tblStyle w:val="37"/>
        <w:tblW w:w="9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000"/>
        <w:gridCol w:w="812"/>
        <w:gridCol w:w="846"/>
        <w:gridCol w:w="1132"/>
        <w:gridCol w:w="1768"/>
        <w:gridCol w:w="1144"/>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64" w:type="dxa"/>
            <w:tcBorders>
              <w:top w:val="double" w:color="auto" w:sz="4" w:space="0"/>
              <w:left w:val="double" w:color="auto" w:sz="4" w:space="0"/>
            </w:tcBorders>
            <w:noWrap w:val="0"/>
            <w:vAlign w:val="center"/>
          </w:tcPr>
          <w:p>
            <w:pPr>
              <w:pageBreakBefore w:val="0"/>
              <w:topLinePunct w:val="0"/>
              <w:bidi w:val="0"/>
              <w:jc w:val="center"/>
              <w:outlineLvl w:val="9"/>
              <w:rPr>
                <w:szCs w:val="21"/>
              </w:rPr>
            </w:pPr>
            <w:r>
              <w:t>姓   名</w:t>
            </w:r>
          </w:p>
        </w:tc>
        <w:tc>
          <w:tcPr>
            <w:tcW w:w="1000" w:type="dxa"/>
            <w:tcBorders>
              <w:top w:val="double" w:color="auto" w:sz="4" w:space="0"/>
            </w:tcBorders>
            <w:noWrap w:val="0"/>
            <w:vAlign w:val="center"/>
          </w:tcPr>
          <w:p>
            <w:pPr>
              <w:pageBreakBefore w:val="0"/>
              <w:topLinePunct w:val="0"/>
              <w:bidi w:val="0"/>
              <w:jc w:val="center"/>
              <w:outlineLvl w:val="9"/>
            </w:pPr>
          </w:p>
          <w:p>
            <w:pPr>
              <w:pageBreakBefore w:val="0"/>
              <w:topLinePunct w:val="0"/>
              <w:bidi w:val="0"/>
              <w:jc w:val="center"/>
              <w:outlineLvl w:val="9"/>
            </w:pPr>
          </w:p>
        </w:tc>
        <w:tc>
          <w:tcPr>
            <w:tcW w:w="812" w:type="dxa"/>
            <w:tcBorders>
              <w:top w:val="double" w:color="auto" w:sz="4" w:space="0"/>
            </w:tcBorders>
            <w:noWrap w:val="0"/>
            <w:vAlign w:val="center"/>
          </w:tcPr>
          <w:p>
            <w:pPr>
              <w:pageBreakBefore w:val="0"/>
              <w:topLinePunct w:val="0"/>
              <w:bidi w:val="0"/>
              <w:jc w:val="center"/>
              <w:outlineLvl w:val="9"/>
            </w:pPr>
            <w:r>
              <w:t>性 别</w:t>
            </w:r>
          </w:p>
        </w:tc>
        <w:tc>
          <w:tcPr>
            <w:tcW w:w="846" w:type="dxa"/>
            <w:tcBorders>
              <w:top w:val="double" w:color="auto" w:sz="4" w:space="0"/>
            </w:tcBorders>
            <w:noWrap w:val="0"/>
            <w:vAlign w:val="center"/>
          </w:tcPr>
          <w:p>
            <w:pPr>
              <w:pageBreakBefore w:val="0"/>
              <w:topLinePunct w:val="0"/>
              <w:bidi w:val="0"/>
              <w:jc w:val="center"/>
              <w:outlineLvl w:val="9"/>
            </w:pPr>
          </w:p>
        </w:tc>
        <w:tc>
          <w:tcPr>
            <w:tcW w:w="1132" w:type="dxa"/>
            <w:tcBorders>
              <w:top w:val="double" w:color="auto" w:sz="4" w:space="0"/>
            </w:tcBorders>
            <w:noWrap w:val="0"/>
            <w:vAlign w:val="center"/>
          </w:tcPr>
          <w:p>
            <w:pPr>
              <w:pageBreakBefore w:val="0"/>
              <w:topLinePunct w:val="0"/>
              <w:bidi w:val="0"/>
              <w:jc w:val="center"/>
              <w:outlineLvl w:val="9"/>
            </w:pPr>
            <w:r>
              <w:t>出生年月</w:t>
            </w:r>
          </w:p>
        </w:tc>
        <w:tc>
          <w:tcPr>
            <w:tcW w:w="1768" w:type="dxa"/>
            <w:tcBorders>
              <w:top w:val="double" w:color="auto" w:sz="4" w:space="0"/>
            </w:tcBorders>
            <w:noWrap w:val="0"/>
            <w:vAlign w:val="center"/>
          </w:tcPr>
          <w:p>
            <w:pPr>
              <w:pageBreakBefore w:val="0"/>
              <w:topLinePunct w:val="0"/>
              <w:bidi w:val="0"/>
              <w:jc w:val="center"/>
              <w:outlineLvl w:val="9"/>
            </w:pPr>
          </w:p>
        </w:tc>
        <w:tc>
          <w:tcPr>
            <w:tcW w:w="1144" w:type="dxa"/>
            <w:tcBorders>
              <w:top w:val="double" w:color="auto" w:sz="4" w:space="0"/>
              <w:right w:val="single" w:color="auto" w:sz="4" w:space="0"/>
            </w:tcBorders>
            <w:noWrap w:val="0"/>
            <w:vAlign w:val="center"/>
          </w:tcPr>
          <w:p>
            <w:pPr>
              <w:pageBreakBefore w:val="0"/>
              <w:topLinePunct w:val="0"/>
              <w:bidi w:val="0"/>
              <w:jc w:val="center"/>
              <w:outlineLvl w:val="9"/>
            </w:pPr>
            <w:r>
              <w:t>学历/学位</w:t>
            </w:r>
          </w:p>
        </w:tc>
        <w:tc>
          <w:tcPr>
            <w:tcW w:w="1593" w:type="dxa"/>
            <w:tcBorders>
              <w:top w:val="double" w:color="auto" w:sz="4" w:space="0"/>
              <w:left w:val="single" w:color="auto" w:sz="4" w:space="0"/>
              <w:right w:val="double" w:color="auto" w:sz="4" w:space="0"/>
            </w:tcBorders>
            <w:noWrap w:val="0"/>
            <w:vAlign w:val="center"/>
          </w:tcPr>
          <w:p>
            <w:pPr>
              <w:pageBreakBefore w:val="0"/>
              <w:topLinePunct w:val="0"/>
              <w:bidi w:val="0"/>
              <w:jc w:val="center"/>
              <w:outlineLvl w:val="9"/>
              <w:rPr>
                <w:b/>
              </w:rPr>
            </w:pPr>
            <w:r>
              <w:rPr>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64" w:type="dxa"/>
            <w:tcBorders>
              <w:left w:val="double" w:color="auto" w:sz="4" w:space="0"/>
            </w:tcBorders>
            <w:noWrap w:val="0"/>
            <w:vAlign w:val="center"/>
          </w:tcPr>
          <w:p>
            <w:pPr>
              <w:pageBreakBefore w:val="0"/>
              <w:topLinePunct w:val="0"/>
              <w:bidi w:val="0"/>
              <w:jc w:val="center"/>
              <w:outlineLvl w:val="9"/>
            </w:pPr>
            <w:r>
              <w:t>职称/职业资格</w:t>
            </w:r>
          </w:p>
        </w:tc>
        <w:tc>
          <w:tcPr>
            <w:tcW w:w="2658" w:type="dxa"/>
            <w:gridSpan w:val="3"/>
            <w:noWrap w:val="0"/>
            <w:vAlign w:val="center"/>
          </w:tcPr>
          <w:p>
            <w:pPr>
              <w:pageBreakBefore w:val="0"/>
              <w:topLinePunct w:val="0"/>
              <w:bidi w:val="0"/>
              <w:jc w:val="center"/>
              <w:outlineLvl w:val="9"/>
            </w:pPr>
          </w:p>
        </w:tc>
        <w:tc>
          <w:tcPr>
            <w:tcW w:w="1132" w:type="dxa"/>
            <w:noWrap w:val="0"/>
            <w:vAlign w:val="center"/>
          </w:tcPr>
          <w:p>
            <w:pPr>
              <w:pageBreakBefore w:val="0"/>
              <w:topLinePunct w:val="0"/>
              <w:bidi w:val="0"/>
              <w:jc w:val="center"/>
              <w:outlineLvl w:val="9"/>
            </w:pPr>
            <w:r>
              <w:t>发证单位</w:t>
            </w:r>
          </w:p>
        </w:tc>
        <w:tc>
          <w:tcPr>
            <w:tcW w:w="1768" w:type="dxa"/>
            <w:noWrap w:val="0"/>
            <w:vAlign w:val="center"/>
          </w:tcPr>
          <w:p>
            <w:pPr>
              <w:pageBreakBefore w:val="0"/>
              <w:topLinePunct w:val="0"/>
              <w:bidi w:val="0"/>
              <w:jc w:val="center"/>
              <w:outlineLvl w:val="9"/>
            </w:pPr>
          </w:p>
        </w:tc>
        <w:tc>
          <w:tcPr>
            <w:tcW w:w="1144" w:type="dxa"/>
            <w:tcBorders>
              <w:bottom w:val="nil"/>
              <w:right w:val="single" w:color="auto" w:sz="4" w:space="0"/>
            </w:tcBorders>
            <w:noWrap w:val="0"/>
            <w:vAlign w:val="center"/>
          </w:tcPr>
          <w:p>
            <w:pPr>
              <w:pageBreakBefore w:val="0"/>
              <w:topLinePunct w:val="0"/>
              <w:bidi w:val="0"/>
              <w:jc w:val="center"/>
              <w:outlineLvl w:val="9"/>
            </w:pPr>
            <w:r>
              <w:t>获取时间</w:t>
            </w:r>
          </w:p>
        </w:tc>
        <w:tc>
          <w:tcPr>
            <w:tcW w:w="1593" w:type="dxa"/>
            <w:tcBorders>
              <w:left w:val="single" w:color="auto" w:sz="4" w:space="0"/>
              <w:bottom w:val="nil"/>
              <w:right w:val="double" w:color="auto" w:sz="4" w:space="0"/>
            </w:tcBorders>
            <w:noWrap w:val="0"/>
            <w:vAlign w:val="center"/>
          </w:tcPr>
          <w:p>
            <w:pPr>
              <w:pageBreakBefore w:val="0"/>
              <w:topLinePunct w:val="0"/>
              <w:bidi w:val="0"/>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64" w:type="dxa"/>
            <w:tcBorders>
              <w:left w:val="double" w:color="auto" w:sz="4" w:space="0"/>
            </w:tcBorders>
            <w:noWrap w:val="0"/>
            <w:vAlign w:val="center"/>
          </w:tcPr>
          <w:p>
            <w:pPr>
              <w:pageBreakBefore w:val="0"/>
              <w:topLinePunct w:val="0"/>
              <w:bidi w:val="0"/>
              <w:jc w:val="center"/>
              <w:outlineLvl w:val="9"/>
            </w:pPr>
            <w:r>
              <w:t>毕业学校</w:t>
            </w:r>
          </w:p>
        </w:tc>
        <w:tc>
          <w:tcPr>
            <w:tcW w:w="2658" w:type="dxa"/>
            <w:gridSpan w:val="3"/>
            <w:tcBorders>
              <w:top w:val="single" w:color="auto" w:sz="4" w:space="0"/>
              <w:right w:val="single" w:color="auto" w:sz="4" w:space="0"/>
            </w:tcBorders>
            <w:noWrap w:val="0"/>
            <w:vAlign w:val="center"/>
          </w:tcPr>
          <w:p>
            <w:pPr>
              <w:pageBreakBefore w:val="0"/>
              <w:topLinePunct w:val="0"/>
              <w:bidi w:val="0"/>
              <w:jc w:val="center"/>
              <w:outlineLvl w:val="9"/>
            </w:pPr>
          </w:p>
        </w:tc>
        <w:tc>
          <w:tcPr>
            <w:tcW w:w="1132" w:type="dxa"/>
            <w:tcBorders>
              <w:top w:val="single" w:color="auto" w:sz="4" w:space="0"/>
              <w:left w:val="single" w:color="auto" w:sz="4" w:space="0"/>
              <w:right w:val="single" w:color="auto" w:sz="4" w:space="0"/>
            </w:tcBorders>
            <w:noWrap w:val="0"/>
            <w:vAlign w:val="center"/>
          </w:tcPr>
          <w:p>
            <w:pPr>
              <w:pageBreakBefore w:val="0"/>
              <w:topLinePunct w:val="0"/>
              <w:bidi w:val="0"/>
              <w:jc w:val="center"/>
              <w:outlineLvl w:val="9"/>
            </w:pPr>
            <w:r>
              <w:t>专业</w:t>
            </w:r>
          </w:p>
        </w:tc>
        <w:tc>
          <w:tcPr>
            <w:tcW w:w="1768" w:type="dxa"/>
            <w:tcBorders>
              <w:top w:val="single" w:color="auto" w:sz="4" w:space="0"/>
              <w:left w:val="single" w:color="auto" w:sz="4" w:space="0"/>
              <w:right w:val="single" w:color="auto" w:sz="4" w:space="0"/>
            </w:tcBorders>
            <w:noWrap w:val="0"/>
            <w:vAlign w:val="center"/>
          </w:tcPr>
          <w:p>
            <w:pPr>
              <w:pageBreakBefore w:val="0"/>
              <w:topLinePunct w:val="0"/>
              <w:bidi w:val="0"/>
              <w:jc w:val="center"/>
              <w:outlineLvl w:val="9"/>
            </w:pPr>
          </w:p>
        </w:tc>
        <w:tc>
          <w:tcPr>
            <w:tcW w:w="1144" w:type="dxa"/>
            <w:tcBorders>
              <w:top w:val="single" w:color="auto" w:sz="4" w:space="0"/>
              <w:left w:val="single" w:color="auto" w:sz="4" w:space="0"/>
              <w:right w:val="single" w:color="auto" w:sz="4" w:space="0"/>
            </w:tcBorders>
            <w:noWrap w:val="0"/>
            <w:vAlign w:val="center"/>
          </w:tcPr>
          <w:p>
            <w:pPr>
              <w:pageBreakBefore w:val="0"/>
              <w:topLinePunct w:val="0"/>
              <w:bidi w:val="0"/>
              <w:jc w:val="center"/>
              <w:outlineLvl w:val="9"/>
            </w:pPr>
            <w:r>
              <w:t>专业特长</w:t>
            </w:r>
          </w:p>
        </w:tc>
        <w:tc>
          <w:tcPr>
            <w:tcW w:w="1593" w:type="dxa"/>
            <w:tcBorders>
              <w:top w:val="single" w:color="auto" w:sz="4" w:space="0"/>
              <w:left w:val="single" w:color="auto" w:sz="4" w:space="0"/>
              <w:right w:val="double" w:color="auto" w:sz="4" w:space="0"/>
            </w:tcBorders>
            <w:noWrap w:val="0"/>
            <w:vAlign w:val="center"/>
          </w:tcPr>
          <w:p>
            <w:pPr>
              <w:pageBreakBefore w:val="0"/>
              <w:topLinePunct w:val="0"/>
              <w:bidi w:val="0"/>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664" w:type="dxa"/>
            <w:gridSpan w:val="2"/>
            <w:vMerge w:val="restart"/>
            <w:tcBorders>
              <w:left w:val="double" w:color="auto" w:sz="4" w:space="0"/>
            </w:tcBorders>
            <w:noWrap w:val="0"/>
            <w:vAlign w:val="center"/>
          </w:tcPr>
          <w:p>
            <w:pPr>
              <w:pageBreakBefore w:val="0"/>
              <w:topLinePunct w:val="0"/>
              <w:bidi w:val="0"/>
              <w:jc w:val="center"/>
              <w:outlineLvl w:val="9"/>
            </w:pPr>
            <w:r>
              <w:t>现（原）工作单位、部门</w:t>
            </w:r>
          </w:p>
          <w:p>
            <w:pPr>
              <w:pageBreakBefore w:val="0"/>
              <w:topLinePunct w:val="0"/>
              <w:bidi w:val="0"/>
              <w:jc w:val="center"/>
              <w:outlineLvl w:val="9"/>
            </w:pPr>
            <w:r>
              <w:t>(□在职 □退休)</w:t>
            </w:r>
          </w:p>
        </w:tc>
        <w:tc>
          <w:tcPr>
            <w:tcW w:w="4558" w:type="dxa"/>
            <w:gridSpan w:val="4"/>
            <w:vMerge w:val="restart"/>
            <w:tcBorders>
              <w:top w:val="nil"/>
              <w:right w:val="single" w:color="auto" w:sz="4" w:space="0"/>
            </w:tcBorders>
            <w:noWrap w:val="0"/>
            <w:vAlign w:val="center"/>
          </w:tcPr>
          <w:p>
            <w:pPr>
              <w:pageBreakBefore w:val="0"/>
              <w:topLinePunct w:val="0"/>
              <w:bidi w:val="0"/>
              <w:jc w:val="center"/>
              <w:outlineLvl w:val="9"/>
            </w:pPr>
          </w:p>
        </w:tc>
        <w:tc>
          <w:tcPr>
            <w:tcW w:w="1144" w:type="dxa"/>
            <w:tcBorders>
              <w:top w:val="nil"/>
              <w:left w:val="single" w:color="auto" w:sz="4" w:space="0"/>
              <w:right w:val="single" w:color="auto" w:sz="4" w:space="0"/>
            </w:tcBorders>
            <w:noWrap w:val="0"/>
            <w:vAlign w:val="center"/>
          </w:tcPr>
          <w:p>
            <w:pPr>
              <w:pageBreakBefore w:val="0"/>
              <w:topLinePunct w:val="0"/>
              <w:bidi w:val="0"/>
              <w:jc w:val="center"/>
              <w:outlineLvl w:val="9"/>
            </w:pPr>
            <w:r>
              <w:t>联系电话</w:t>
            </w:r>
          </w:p>
        </w:tc>
        <w:tc>
          <w:tcPr>
            <w:tcW w:w="1593" w:type="dxa"/>
            <w:tcBorders>
              <w:top w:val="nil"/>
              <w:left w:val="single" w:color="auto" w:sz="4" w:space="0"/>
              <w:right w:val="double" w:color="auto" w:sz="4" w:space="0"/>
            </w:tcBorders>
            <w:noWrap w:val="0"/>
            <w:vAlign w:val="center"/>
          </w:tcPr>
          <w:p>
            <w:pPr>
              <w:pageBreakBefore w:val="0"/>
              <w:topLinePunct w:val="0"/>
              <w:bidi w:val="0"/>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664" w:type="dxa"/>
            <w:gridSpan w:val="2"/>
            <w:vMerge w:val="continue"/>
            <w:tcBorders>
              <w:left w:val="double" w:color="auto" w:sz="4" w:space="0"/>
            </w:tcBorders>
            <w:noWrap w:val="0"/>
            <w:vAlign w:val="center"/>
          </w:tcPr>
          <w:p>
            <w:pPr>
              <w:pageBreakBefore w:val="0"/>
              <w:topLinePunct w:val="0"/>
              <w:bidi w:val="0"/>
              <w:jc w:val="center"/>
              <w:outlineLvl w:val="9"/>
            </w:pPr>
          </w:p>
        </w:tc>
        <w:tc>
          <w:tcPr>
            <w:tcW w:w="4558" w:type="dxa"/>
            <w:gridSpan w:val="4"/>
            <w:vMerge w:val="continue"/>
            <w:tcBorders>
              <w:right w:val="single" w:color="auto" w:sz="4" w:space="0"/>
            </w:tcBorders>
            <w:noWrap w:val="0"/>
            <w:vAlign w:val="center"/>
          </w:tcPr>
          <w:p>
            <w:pPr>
              <w:pageBreakBefore w:val="0"/>
              <w:topLinePunct w:val="0"/>
              <w:bidi w:val="0"/>
              <w:jc w:val="center"/>
              <w:outlineLvl w:val="9"/>
            </w:pPr>
          </w:p>
        </w:tc>
        <w:tc>
          <w:tcPr>
            <w:tcW w:w="1144" w:type="dxa"/>
            <w:tcBorders>
              <w:top w:val="nil"/>
              <w:left w:val="single" w:color="auto" w:sz="4" w:space="0"/>
              <w:right w:val="single" w:color="auto" w:sz="4" w:space="0"/>
            </w:tcBorders>
            <w:noWrap w:val="0"/>
            <w:vAlign w:val="center"/>
          </w:tcPr>
          <w:p>
            <w:pPr>
              <w:pageBreakBefore w:val="0"/>
              <w:topLinePunct w:val="0"/>
              <w:bidi w:val="0"/>
              <w:jc w:val="center"/>
              <w:outlineLvl w:val="9"/>
            </w:pPr>
            <w:r>
              <w:rPr>
                <w:bCs/>
                <w:sz w:val="24"/>
              </w:rPr>
              <w:t>E-mail</w:t>
            </w:r>
          </w:p>
        </w:tc>
        <w:tc>
          <w:tcPr>
            <w:tcW w:w="1593" w:type="dxa"/>
            <w:tcBorders>
              <w:left w:val="single" w:color="auto" w:sz="4" w:space="0"/>
              <w:right w:val="double" w:color="auto" w:sz="4" w:space="0"/>
            </w:tcBorders>
            <w:noWrap w:val="0"/>
            <w:vAlign w:val="center"/>
          </w:tcPr>
          <w:p>
            <w:pPr>
              <w:pageBreakBefore w:val="0"/>
              <w:topLinePunct w:val="0"/>
              <w:bidi w:val="0"/>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2664" w:type="dxa"/>
            <w:gridSpan w:val="2"/>
            <w:tcBorders>
              <w:left w:val="double" w:color="auto" w:sz="4" w:space="0"/>
            </w:tcBorders>
            <w:noWrap w:val="0"/>
            <w:vAlign w:val="center"/>
          </w:tcPr>
          <w:p>
            <w:pPr>
              <w:pageBreakBefore w:val="0"/>
              <w:topLinePunct w:val="0"/>
              <w:bidi w:val="0"/>
              <w:jc w:val="center"/>
              <w:outlineLvl w:val="9"/>
            </w:pPr>
            <w:r>
              <w:t>高校教师资格证书</w:t>
            </w:r>
          </w:p>
        </w:tc>
        <w:tc>
          <w:tcPr>
            <w:tcW w:w="1658" w:type="dxa"/>
            <w:gridSpan w:val="2"/>
            <w:noWrap w:val="0"/>
            <w:vAlign w:val="center"/>
          </w:tcPr>
          <w:p>
            <w:pPr>
              <w:pageBreakBefore w:val="0"/>
              <w:topLinePunct w:val="0"/>
              <w:bidi w:val="0"/>
              <w:jc w:val="center"/>
              <w:outlineLvl w:val="9"/>
            </w:pPr>
            <w:r>
              <w:t>□有  □无</w:t>
            </w:r>
          </w:p>
        </w:tc>
        <w:tc>
          <w:tcPr>
            <w:tcW w:w="1132" w:type="dxa"/>
            <w:tcBorders>
              <w:top w:val="nil"/>
            </w:tcBorders>
            <w:noWrap w:val="0"/>
            <w:vAlign w:val="center"/>
          </w:tcPr>
          <w:p>
            <w:pPr>
              <w:pageBreakBefore w:val="0"/>
              <w:topLinePunct w:val="0"/>
              <w:bidi w:val="0"/>
              <w:jc w:val="center"/>
              <w:outlineLvl w:val="9"/>
            </w:pPr>
            <w:r>
              <w:t>发证单位</w:t>
            </w:r>
          </w:p>
        </w:tc>
        <w:tc>
          <w:tcPr>
            <w:tcW w:w="1768" w:type="dxa"/>
            <w:tcBorders>
              <w:top w:val="single" w:color="auto" w:sz="4" w:space="0"/>
              <w:right w:val="single" w:color="auto" w:sz="4" w:space="0"/>
            </w:tcBorders>
            <w:noWrap w:val="0"/>
            <w:vAlign w:val="center"/>
          </w:tcPr>
          <w:p>
            <w:pPr>
              <w:pageBreakBefore w:val="0"/>
              <w:topLinePunct w:val="0"/>
              <w:bidi w:val="0"/>
              <w:outlineLvl w:val="9"/>
            </w:pPr>
          </w:p>
        </w:tc>
        <w:tc>
          <w:tcPr>
            <w:tcW w:w="1144" w:type="dxa"/>
            <w:tcBorders>
              <w:top w:val="single" w:color="auto" w:sz="4" w:space="0"/>
              <w:left w:val="single" w:color="auto" w:sz="4" w:space="0"/>
              <w:right w:val="single" w:color="auto" w:sz="4" w:space="0"/>
            </w:tcBorders>
            <w:noWrap w:val="0"/>
            <w:vAlign w:val="center"/>
          </w:tcPr>
          <w:p>
            <w:pPr>
              <w:pageBreakBefore w:val="0"/>
              <w:topLinePunct w:val="0"/>
              <w:bidi w:val="0"/>
              <w:outlineLvl w:val="9"/>
            </w:pPr>
            <w:r>
              <w:t>获取时间</w:t>
            </w:r>
          </w:p>
        </w:tc>
        <w:tc>
          <w:tcPr>
            <w:tcW w:w="1593" w:type="dxa"/>
            <w:tcBorders>
              <w:top w:val="single" w:color="auto" w:sz="4" w:space="0"/>
              <w:left w:val="single" w:color="auto" w:sz="4" w:space="0"/>
              <w:right w:val="double" w:color="auto" w:sz="4" w:space="0"/>
            </w:tcBorders>
            <w:noWrap w:val="0"/>
            <w:vAlign w:val="center"/>
          </w:tcPr>
          <w:p>
            <w:pPr>
              <w:pageBreakBefore w:val="0"/>
              <w:topLinePunct w:val="0"/>
              <w:bidi w:val="0"/>
              <w:jc w:val="center"/>
              <w:outlineLvl w:val="9"/>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9959" w:type="dxa"/>
            <w:gridSpan w:val="8"/>
            <w:tcBorders>
              <w:left w:val="double" w:color="auto" w:sz="4" w:space="0"/>
              <w:bottom w:val="single" w:color="auto" w:sz="4" w:space="0"/>
              <w:right w:val="double" w:color="auto" w:sz="4" w:space="0"/>
            </w:tcBorders>
            <w:noWrap w:val="0"/>
            <w:vAlign w:val="center"/>
          </w:tcPr>
          <w:p>
            <w:pPr>
              <w:pageBreakBefore w:val="0"/>
              <w:topLinePunct w:val="0"/>
              <w:bidi w:val="0"/>
              <w:outlineLvl w:val="9"/>
            </w:pPr>
            <w:r>
              <w:rPr>
                <w:spacing w:val="-6"/>
                <w:szCs w:val="21"/>
              </w:rPr>
              <w:t>教师来源（□</w:t>
            </w:r>
            <w:r>
              <w:rPr>
                <w:szCs w:val="21"/>
              </w:rPr>
              <w:t>行业企业 □校内返聘 □校内兼课 □其他高校教师）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exact"/>
          <w:jc w:val="center"/>
        </w:trPr>
        <w:tc>
          <w:tcPr>
            <w:tcW w:w="1664" w:type="dxa"/>
            <w:tcBorders>
              <w:left w:val="double" w:color="auto" w:sz="4" w:space="0"/>
              <w:right w:val="single" w:color="auto" w:sz="4" w:space="0"/>
            </w:tcBorders>
            <w:noWrap w:val="0"/>
            <w:vAlign w:val="center"/>
          </w:tcPr>
          <w:p>
            <w:pPr>
              <w:pageBreakBefore w:val="0"/>
              <w:topLinePunct w:val="0"/>
              <w:bidi w:val="0"/>
              <w:jc w:val="center"/>
              <w:outlineLvl w:val="9"/>
              <w:rPr>
                <w:spacing w:val="-6"/>
                <w:szCs w:val="21"/>
              </w:rPr>
            </w:pPr>
            <w:r>
              <w:t>讲授课程</w:t>
            </w:r>
          </w:p>
        </w:tc>
        <w:tc>
          <w:tcPr>
            <w:tcW w:w="8295" w:type="dxa"/>
            <w:gridSpan w:val="7"/>
            <w:tcBorders>
              <w:left w:val="single" w:color="auto" w:sz="4" w:space="0"/>
              <w:right w:val="double" w:color="auto" w:sz="4" w:space="0"/>
            </w:tcBorders>
            <w:noWrap w:val="0"/>
            <w:vAlign w:val="center"/>
          </w:tcPr>
          <w:p>
            <w:pPr>
              <w:pageBreakBefore w:val="0"/>
              <w:topLinePunct w:val="0"/>
              <w:bidi w:val="0"/>
              <w:outlineLvl w:val="9"/>
              <w:rPr>
                <w:spacing w:val="-6"/>
                <w:szCs w:val="21"/>
              </w:rPr>
            </w:pPr>
            <w:r>
              <w:rPr>
                <w:rFonts w:hint="eastAsia"/>
                <w:spacing w:val="-6"/>
                <w:szCs w:val="21"/>
              </w:rPr>
              <w:t>形势政策（请按实际写）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0" w:hRule="atLeast"/>
          <w:jc w:val="center"/>
        </w:trPr>
        <w:tc>
          <w:tcPr>
            <w:tcW w:w="1664" w:type="dxa"/>
            <w:tcBorders>
              <w:left w:val="double" w:color="auto" w:sz="4" w:space="0"/>
              <w:right w:val="single" w:color="auto" w:sz="4" w:space="0"/>
            </w:tcBorders>
            <w:noWrap w:val="0"/>
            <w:vAlign w:val="center"/>
          </w:tcPr>
          <w:p>
            <w:pPr>
              <w:pageBreakBefore w:val="0"/>
              <w:topLinePunct w:val="0"/>
              <w:bidi w:val="0"/>
              <w:jc w:val="center"/>
              <w:outlineLvl w:val="9"/>
              <w:rPr>
                <w:rFonts w:hint="eastAsia"/>
              </w:rPr>
            </w:pPr>
            <w:r>
              <w:rPr>
                <w:rFonts w:hint="eastAsia"/>
              </w:rPr>
              <w:t>教学任务</w:t>
            </w:r>
          </w:p>
          <w:p>
            <w:pPr>
              <w:pageBreakBefore w:val="0"/>
              <w:topLinePunct w:val="0"/>
              <w:bidi w:val="0"/>
              <w:jc w:val="center"/>
              <w:outlineLvl w:val="9"/>
              <w:rPr>
                <w:rFonts w:hint="eastAsia"/>
                <w:sz w:val="18"/>
                <w:szCs w:val="18"/>
              </w:rPr>
            </w:pPr>
            <w:r>
              <w:rPr>
                <w:rFonts w:hint="eastAsia"/>
              </w:rPr>
              <w:t>及学时</w:t>
            </w:r>
          </w:p>
        </w:tc>
        <w:tc>
          <w:tcPr>
            <w:tcW w:w="8295" w:type="dxa"/>
            <w:gridSpan w:val="7"/>
            <w:tcBorders>
              <w:left w:val="single" w:color="auto" w:sz="4" w:space="0"/>
              <w:right w:val="double" w:color="auto" w:sz="4" w:space="0"/>
            </w:tcBorders>
            <w:noWrap w:val="0"/>
            <w:vAlign w:val="center"/>
          </w:tcPr>
          <w:p>
            <w:pPr>
              <w:pageBreakBefore w:val="0"/>
              <w:topLinePunct w:val="0"/>
              <w:bidi w:val="0"/>
              <w:outlineLvl w:val="9"/>
              <w:rPr>
                <w:rFonts w:hint="eastAsia"/>
                <w:spacing w:val="-6"/>
                <w:szCs w:val="21"/>
              </w:rPr>
            </w:pPr>
            <w:r>
              <w:rPr>
                <w:rFonts w:hint="eastAsia"/>
                <w:spacing w:val="-6"/>
                <w:szCs w:val="21"/>
              </w:rPr>
              <w:t>171应电1、2、3 班4学时，17应电4、5、6班4学时，共8学时（请按实际写）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1" w:hRule="atLeast"/>
          <w:jc w:val="center"/>
        </w:trPr>
        <w:tc>
          <w:tcPr>
            <w:tcW w:w="1664" w:type="dxa"/>
            <w:tcBorders>
              <w:left w:val="double" w:color="auto" w:sz="4" w:space="0"/>
              <w:bottom w:val="single" w:color="auto" w:sz="4" w:space="0"/>
            </w:tcBorders>
            <w:noWrap w:val="0"/>
            <w:vAlign w:val="center"/>
          </w:tcPr>
          <w:p>
            <w:pPr>
              <w:pageBreakBefore w:val="0"/>
              <w:topLinePunct w:val="0"/>
              <w:bidi w:val="0"/>
              <w:spacing w:before="100" w:line="360" w:lineRule="auto"/>
              <w:jc w:val="center"/>
              <w:outlineLvl w:val="9"/>
            </w:pPr>
            <w:r>
              <w:t>聘用部门意见</w:t>
            </w:r>
          </w:p>
        </w:tc>
        <w:tc>
          <w:tcPr>
            <w:tcW w:w="8295" w:type="dxa"/>
            <w:gridSpan w:val="7"/>
            <w:tcBorders>
              <w:top w:val="nil"/>
              <w:bottom w:val="single" w:color="auto" w:sz="4" w:space="0"/>
              <w:right w:val="double" w:color="auto" w:sz="4" w:space="0"/>
            </w:tcBorders>
            <w:noWrap w:val="0"/>
            <w:vAlign w:val="center"/>
          </w:tcPr>
          <w:p>
            <w:pPr>
              <w:pageBreakBefore w:val="0"/>
              <w:topLinePunct w:val="0"/>
              <w:bidi w:val="0"/>
              <w:ind w:firstLine="4317" w:firstLineChars="2056"/>
              <w:outlineLvl w:val="9"/>
              <w:rPr>
                <w:rFonts w:hint="eastAsia"/>
              </w:rPr>
            </w:pPr>
          </w:p>
          <w:p>
            <w:pPr>
              <w:pageBreakBefore w:val="0"/>
              <w:topLinePunct w:val="0"/>
              <w:bidi w:val="0"/>
              <w:ind w:firstLine="3735" w:firstLineChars="1779"/>
              <w:outlineLvl w:val="9"/>
              <w:rPr>
                <w:rFonts w:hint="eastAsia"/>
              </w:rPr>
            </w:pPr>
          </w:p>
          <w:p>
            <w:pPr>
              <w:pageBreakBefore w:val="0"/>
              <w:topLinePunct w:val="0"/>
              <w:bidi w:val="0"/>
              <w:ind w:firstLine="3735" w:firstLineChars="1779"/>
              <w:outlineLvl w:val="9"/>
              <w:rPr>
                <w:rFonts w:hint="eastAsia"/>
              </w:rPr>
            </w:pPr>
          </w:p>
          <w:p>
            <w:pPr>
              <w:pageBreakBefore w:val="0"/>
              <w:topLinePunct w:val="0"/>
              <w:bidi w:val="0"/>
              <w:ind w:firstLine="3735" w:firstLineChars="1779"/>
              <w:outlineLvl w:val="9"/>
              <w:rPr>
                <w:rFonts w:hint="eastAsia"/>
              </w:rPr>
            </w:pPr>
          </w:p>
          <w:p>
            <w:pPr>
              <w:pageBreakBefore w:val="0"/>
              <w:topLinePunct w:val="0"/>
              <w:bidi w:val="0"/>
              <w:ind w:firstLine="3735" w:firstLineChars="1779"/>
              <w:outlineLvl w:val="9"/>
              <w:rPr>
                <w:rFonts w:hint="eastAsia"/>
              </w:rPr>
            </w:pPr>
            <w:r>
              <w:t>负责人签字：</w:t>
            </w:r>
          </w:p>
          <w:p>
            <w:pPr>
              <w:pageBreakBefore w:val="0"/>
              <w:topLinePunct w:val="0"/>
              <w:bidi w:val="0"/>
              <w:ind w:firstLine="3735" w:firstLineChars="1779"/>
              <w:outlineLvl w:val="9"/>
            </w:pPr>
            <w:r>
              <w:rPr>
                <w:rFonts w:hint="eastAsia"/>
              </w:rPr>
              <w:t>（</w:t>
            </w:r>
            <w:r>
              <w:t>部门章</w:t>
            </w:r>
            <w:r>
              <w:rPr>
                <w:rFonts w:hint="eastAsia"/>
              </w:rPr>
              <w:t xml:space="preserve">）         </w:t>
            </w:r>
            <w: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2" w:hRule="atLeast"/>
          <w:jc w:val="center"/>
        </w:trPr>
        <w:tc>
          <w:tcPr>
            <w:tcW w:w="1664" w:type="dxa"/>
            <w:tcBorders>
              <w:left w:val="double" w:color="auto" w:sz="4" w:space="0"/>
              <w:bottom w:val="single" w:color="auto" w:sz="4" w:space="0"/>
            </w:tcBorders>
            <w:noWrap w:val="0"/>
            <w:vAlign w:val="center"/>
          </w:tcPr>
          <w:p>
            <w:pPr>
              <w:pageBreakBefore w:val="0"/>
              <w:topLinePunct w:val="0"/>
              <w:bidi w:val="0"/>
              <w:spacing w:before="100"/>
              <w:jc w:val="center"/>
              <w:outlineLvl w:val="9"/>
            </w:pPr>
            <w:r>
              <w:rPr>
                <w:rFonts w:hint="eastAsia"/>
              </w:rPr>
              <w:t>教师</w:t>
            </w:r>
            <w:r>
              <w:t>所在部门意见</w:t>
            </w:r>
            <w:r>
              <w:rPr>
                <w:rFonts w:hint="eastAsia"/>
              </w:rPr>
              <w:t>（校外兼课不用填）</w:t>
            </w:r>
          </w:p>
        </w:tc>
        <w:tc>
          <w:tcPr>
            <w:tcW w:w="8295" w:type="dxa"/>
            <w:gridSpan w:val="7"/>
            <w:tcBorders>
              <w:bottom w:val="single" w:color="auto" w:sz="4" w:space="0"/>
              <w:right w:val="double" w:color="auto" w:sz="4" w:space="0"/>
            </w:tcBorders>
            <w:noWrap w:val="0"/>
            <w:vAlign w:val="center"/>
          </w:tcPr>
          <w:p>
            <w:pPr>
              <w:pageBreakBefore w:val="0"/>
              <w:topLinePunct w:val="0"/>
              <w:bidi w:val="0"/>
              <w:outlineLvl w:val="9"/>
              <w:rPr>
                <w:rFonts w:hint="eastAsia"/>
              </w:rPr>
            </w:pPr>
          </w:p>
          <w:p>
            <w:pPr>
              <w:pageBreakBefore w:val="0"/>
              <w:topLinePunct w:val="0"/>
              <w:bidi w:val="0"/>
              <w:ind w:firstLine="3735" w:firstLineChars="1779"/>
              <w:outlineLvl w:val="9"/>
              <w:rPr>
                <w:rFonts w:hint="eastAsia"/>
              </w:rPr>
            </w:pPr>
          </w:p>
          <w:p>
            <w:pPr>
              <w:pageBreakBefore w:val="0"/>
              <w:topLinePunct w:val="0"/>
              <w:bidi w:val="0"/>
              <w:ind w:firstLine="3735" w:firstLineChars="1779"/>
              <w:outlineLvl w:val="9"/>
              <w:rPr>
                <w:rFonts w:hint="eastAsia"/>
              </w:rPr>
            </w:pPr>
          </w:p>
          <w:p>
            <w:pPr>
              <w:pageBreakBefore w:val="0"/>
              <w:topLinePunct w:val="0"/>
              <w:bidi w:val="0"/>
              <w:ind w:firstLine="3735" w:firstLineChars="1779"/>
              <w:outlineLvl w:val="9"/>
              <w:rPr>
                <w:rFonts w:hint="eastAsia"/>
              </w:rPr>
            </w:pPr>
            <w:r>
              <w:t>负责人签字：</w:t>
            </w:r>
          </w:p>
          <w:p>
            <w:pPr>
              <w:pageBreakBefore w:val="0"/>
              <w:topLinePunct w:val="0"/>
              <w:bidi w:val="0"/>
              <w:spacing w:line="360" w:lineRule="exact"/>
              <w:jc w:val="center"/>
              <w:outlineLvl w:val="9"/>
            </w:pPr>
            <w:r>
              <w:rPr>
                <w:rFonts w:hint="eastAsia"/>
              </w:rPr>
              <w:t xml:space="preserve">                            （</w:t>
            </w:r>
            <w:r>
              <w:t>部门章</w:t>
            </w:r>
            <w:r>
              <w:rPr>
                <w:rFonts w:hint="eastAsia"/>
              </w:rPr>
              <w:t xml:space="preserve">）         </w:t>
            </w:r>
            <w: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3" w:hRule="atLeast"/>
          <w:jc w:val="center"/>
        </w:trPr>
        <w:tc>
          <w:tcPr>
            <w:tcW w:w="1664" w:type="dxa"/>
            <w:tcBorders>
              <w:top w:val="single" w:color="auto" w:sz="4" w:space="0"/>
              <w:left w:val="double" w:color="auto" w:sz="4" w:space="0"/>
              <w:bottom w:val="double" w:color="auto" w:sz="4" w:space="0"/>
            </w:tcBorders>
            <w:noWrap w:val="0"/>
            <w:vAlign w:val="center"/>
          </w:tcPr>
          <w:p>
            <w:pPr>
              <w:pageBreakBefore w:val="0"/>
              <w:topLinePunct w:val="0"/>
              <w:bidi w:val="0"/>
              <w:spacing w:before="100" w:line="360" w:lineRule="auto"/>
              <w:jc w:val="center"/>
              <w:outlineLvl w:val="9"/>
            </w:pPr>
            <w:r>
              <w:t>教务处</w:t>
            </w:r>
          </w:p>
          <w:p>
            <w:pPr>
              <w:pageBreakBefore w:val="0"/>
              <w:topLinePunct w:val="0"/>
              <w:bidi w:val="0"/>
              <w:spacing w:before="100" w:line="360" w:lineRule="auto"/>
              <w:jc w:val="center"/>
              <w:outlineLvl w:val="9"/>
            </w:pPr>
            <w:r>
              <w:t>意 见</w:t>
            </w:r>
          </w:p>
        </w:tc>
        <w:tc>
          <w:tcPr>
            <w:tcW w:w="8295" w:type="dxa"/>
            <w:gridSpan w:val="7"/>
            <w:tcBorders>
              <w:top w:val="single" w:color="auto" w:sz="4" w:space="0"/>
              <w:bottom w:val="double" w:color="auto" w:sz="4" w:space="0"/>
              <w:right w:val="double" w:color="auto" w:sz="4" w:space="0"/>
            </w:tcBorders>
            <w:noWrap w:val="0"/>
            <w:vAlign w:val="center"/>
          </w:tcPr>
          <w:p>
            <w:pPr>
              <w:pageBreakBefore w:val="0"/>
              <w:topLinePunct w:val="0"/>
              <w:bidi w:val="0"/>
              <w:ind w:firstLine="3324" w:firstLineChars="1583"/>
              <w:outlineLvl w:val="9"/>
              <w:rPr>
                <w:rFonts w:hint="eastAsia"/>
              </w:rPr>
            </w:pPr>
            <w:r>
              <w:t xml:space="preserve">   </w:t>
            </w:r>
          </w:p>
          <w:p>
            <w:pPr>
              <w:pageBreakBefore w:val="0"/>
              <w:topLinePunct w:val="0"/>
              <w:bidi w:val="0"/>
              <w:ind w:firstLine="3324" w:firstLineChars="1583"/>
              <w:outlineLvl w:val="9"/>
              <w:rPr>
                <w:rFonts w:hint="eastAsia"/>
              </w:rPr>
            </w:pPr>
          </w:p>
          <w:p>
            <w:pPr>
              <w:pageBreakBefore w:val="0"/>
              <w:topLinePunct w:val="0"/>
              <w:bidi w:val="0"/>
              <w:ind w:firstLine="3324" w:firstLineChars="1583"/>
              <w:outlineLvl w:val="9"/>
              <w:rPr>
                <w:rFonts w:hint="eastAsia"/>
              </w:rPr>
            </w:pPr>
          </w:p>
          <w:p>
            <w:pPr>
              <w:pageBreakBefore w:val="0"/>
              <w:topLinePunct w:val="0"/>
              <w:bidi w:val="0"/>
              <w:ind w:firstLine="3324" w:firstLineChars="1583"/>
              <w:outlineLvl w:val="9"/>
              <w:rPr>
                <w:rFonts w:hint="eastAsia"/>
              </w:rPr>
            </w:pPr>
          </w:p>
          <w:p>
            <w:pPr>
              <w:pageBreakBefore w:val="0"/>
              <w:topLinePunct w:val="0"/>
              <w:bidi w:val="0"/>
              <w:ind w:firstLine="3324" w:firstLineChars="1583"/>
              <w:outlineLvl w:val="9"/>
              <w:rPr>
                <w:rFonts w:hint="eastAsia"/>
              </w:rPr>
            </w:pPr>
            <w:r>
              <w:t xml:space="preserve"> 负责人签字：</w:t>
            </w:r>
          </w:p>
          <w:p>
            <w:pPr>
              <w:pageBreakBefore w:val="0"/>
              <w:topLinePunct w:val="0"/>
              <w:bidi w:val="0"/>
              <w:ind w:firstLine="3324" w:firstLineChars="1583"/>
              <w:outlineLvl w:val="9"/>
            </w:pPr>
            <w:r>
              <w:rPr>
                <w:rFonts w:hint="eastAsia"/>
              </w:rPr>
              <w:t xml:space="preserve">   （</w:t>
            </w:r>
            <w:r>
              <w:t>部门章</w:t>
            </w:r>
            <w:r>
              <w:rPr>
                <w:rFonts w:hint="eastAsia"/>
              </w:rPr>
              <w:t xml:space="preserve">）         </w:t>
            </w:r>
            <w:r>
              <w:t xml:space="preserve">年     月     日   </w:t>
            </w:r>
          </w:p>
        </w:tc>
      </w:tr>
    </w:tbl>
    <w:p>
      <w:pPr>
        <w:keepNext w:val="0"/>
        <w:keepLines w:val="0"/>
        <w:pageBreakBefore w:val="0"/>
        <w:widowControl w:val="0"/>
        <w:kinsoku w:val="0"/>
        <w:wordWrap/>
        <w:overflowPunct w:val="0"/>
        <w:topLinePunct w:val="0"/>
        <w:autoSpaceDE w:val="0"/>
        <w:autoSpaceDN w:val="0"/>
        <w:bidi w:val="0"/>
        <w:adjustRightInd w:val="0"/>
        <w:snapToGrid w:val="0"/>
        <w:jc w:val="left"/>
        <w:textAlignment w:val="auto"/>
        <w:outlineLvl w:val="9"/>
        <w:sectPr>
          <w:pgSz w:w="11906" w:h="16838"/>
          <w:pgMar w:top="1440" w:right="1803" w:bottom="1440" w:left="1803" w:header="851" w:footer="992" w:gutter="0"/>
          <w:pgNumType w:fmt="decimal"/>
          <w:cols w:space="425" w:num="1"/>
          <w:docGrid w:type="lines" w:linePitch="312" w:charSpace="0"/>
        </w:sectPr>
      </w:pPr>
    </w:p>
    <w:tbl>
      <w:tblPr>
        <w:tblStyle w:val="37"/>
        <w:tblW w:w="13780" w:type="dxa"/>
        <w:tblInd w:w="93" w:type="dxa"/>
        <w:tblLayout w:type="fixed"/>
        <w:tblCellMar>
          <w:top w:w="0" w:type="dxa"/>
          <w:left w:w="108" w:type="dxa"/>
          <w:bottom w:w="0" w:type="dxa"/>
          <w:right w:w="108" w:type="dxa"/>
        </w:tblCellMar>
      </w:tblPr>
      <w:tblGrid>
        <w:gridCol w:w="13780"/>
      </w:tblGrid>
      <w:tr>
        <w:tblPrEx>
          <w:tblCellMar>
            <w:top w:w="0" w:type="dxa"/>
            <w:left w:w="108" w:type="dxa"/>
            <w:bottom w:w="0" w:type="dxa"/>
            <w:right w:w="108" w:type="dxa"/>
          </w:tblCellMar>
        </w:tblPrEx>
        <w:trPr>
          <w:trHeight w:val="375" w:hRule="atLeast"/>
        </w:trPr>
        <w:tc>
          <w:tcPr>
            <w:tcW w:w="13780" w:type="dxa"/>
            <w:tcBorders>
              <w:top w:val="nil"/>
              <w:left w:val="nil"/>
              <w:bottom w:val="nil"/>
              <w:right w:val="nil"/>
            </w:tcBorders>
            <w:noWrap/>
            <w:vAlign w:val="center"/>
          </w:tcPr>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附件3</w:t>
            </w:r>
          </w:p>
          <w:tbl>
            <w:tblPr>
              <w:tblStyle w:val="37"/>
              <w:tblW w:w="13560" w:type="dxa"/>
              <w:tblInd w:w="0" w:type="dxa"/>
              <w:tblLayout w:type="fixed"/>
              <w:tblCellMar>
                <w:top w:w="0" w:type="dxa"/>
                <w:left w:w="108" w:type="dxa"/>
                <w:bottom w:w="0" w:type="dxa"/>
                <w:right w:w="108" w:type="dxa"/>
              </w:tblCellMar>
            </w:tblPr>
            <w:tblGrid>
              <w:gridCol w:w="660"/>
              <w:gridCol w:w="900"/>
              <w:gridCol w:w="800"/>
              <w:gridCol w:w="800"/>
              <w:gridCol w:w="800"/>
              <w:gridCol w:w="800"/>
              <w:gridCol w:w="800"/>
              <w:gridCol w:w="800"/>
              <w:gridCol w:w="800"/>
              <w:gridCol w:w="800"/>
              <w:gridCol w:w="800"/>
              <w:gridCol w:w="800"/>
              <w:gridCol w:w="800"/>
              <w:gridCol w:w="800"/>
              <w:gridCol w:w="800"/>
              <w:gridCol w:w="800"/>
              <w:gridCol w:w="800"/>
            </w:tblGrid>
            <w:tr>
              <w:tblPrEx>
                <w:tblCellMar>
                  <w:top w:w="0" w:type="dxa"/>
                  <w:left w:w="108" w:type="dxa"/>
                  <w:bottom w:w="0" w:type="dxa"/>
                  <w:right w:w="108" w:type="dxa"/>
                </w:tblCellMar>
              </w:tblPrEx>
              <w:trPr>
                <w:trHeight w:val="375" w:hRule="atLeast"/>
              </w:trPr>
              <w:tc>
                <w:tcPr>
                  <w:tcW w:w="13560" w:type="dxa"/>
                  <w:gridSpan w:val="17"/>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outlineLvl w:val="9"/>
                    <w:rPr>
                      <w:rFonts w:ascii="方正舒体" w:hAnsi="宋体" w:eastAsia="方正舒体" w:cs="宋体"/>
                      <w:b/>
                      <w:bCs/>
                      <w:color w:val="000000"/>
                      <w:kern w:val="0"/>
                      <w:sz w:val="32"/>
                      <w:szCs w:val="32"/>
                    </w:rPr>
                  </w:pPr>
                  <w:r>
                    <w:rPr>
                      <w:rFonts w:hint="eastAsia" w:ascii="方正舒体" w:hAnsi="宋体" w:eastAsia="方正舒体" w:cs="宋体"/>
                      <w:b/>
                      <w:bCs/>
                      <w:color w:val="000000"/>
                      <w:kern w:val="0"/>
                      <w:sz w:val="32"/>
                      <w:szCs w:val="32"/>
                    </w:rPr>
                    <w:t>上海电子信息职业技术学院</w:t>
                  </w:r>
                </w:p>
              </w:tc>
            </w:tr>
            <w:tr>
              <w:tblPrEx>
                <w:tblCellMar>
                  <w:top w:w="0" w:type="dxa"/>
                  <w:left w:w="108" w:type="dxa"/>
                  <w:bottom w:w="0" w:type="dxa"/>
                  <w:right w:w="108" w:type="dxa"/>
                </w:tblCellMar>
              </w:tblPrEx>
              <w:trPr>
                <w:trHeight w:val="405" w:hRule="atLeast"/>
              </w:trPr>
              <w:tc>
                <w:tcPr>
                  <w:tcW w:w="13560" w:type="dxa"/>
                  <w:gridSpan w:val="17"/>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outlineLvl w:val="9"/>
                    <w:rPr>
                      <w:rFonts w:ascii="宋体" w:hAnsi="宋体" w:cs="宋体"/>
                      <w:b/>
                      <w:bCs/>
                      <w:color w:val="000000"/>
                      <w:kern w:val="0"/>
                      <w:sz w:val="32"/>
                      <w:szCs w:val="32"/>
                    </w:rPr>
                  </w:pPr>
                  <w:r>
                    <w:rPr>
                      <w:rFonts w:hint="eastAsia" w:ascii="宋体" w:hAnsi="宋体" w:cs="宋体"/>
                      <w:b/>
                      <w:bCs/>
                      <w:color w:val="000000"/>
                      <w:kern w:val="0"/>
                      <w:sz w:val="32"/>
                      <w:szCs w:val="32"/>
                    </w:rPr>
                    <w:t>兼课教师基本情况表</w:t>
                  </w:r>
                </w:p>
              </w:tc>
            </w:tr>
            <w:tr>
              <w:tblPrEx>
                <w:tblCellMar>
                  <w:top w:w="0" w:type="dxa"/>
                  <w:left w:w="108" w:type="dxa"/>
                  <w:bottom w:w="0" w:type="dxa"/>
                  <w:right w:w="108" w:type="dxa"/>
                </w:tblCellMar>
              </w:tblPrEx>
              <w:trPr>
                <w:trHeight w:val="405" w:hRule="atLeast"/>
              </w:trPr>
              <w:tc>
                <w:tcPr>
                  <w:tcW w:w="13560" w:type="dxa"/>
                  <w:gridSpan w:val="17"/>
                  <w:tcBorders>
                    <w:top w:val="nil"/>
                    <w:left w:val="nil"/>
                    <w:bottom w:val="nil"/>
                    <w:right w:val="nil"/>
                  </w:tcBorders>
                  <w:noWrap/>
                  <w:vAlign w:val="center"/>
                </w:tcPr>
                <w:p>
                  <w:pPr>
                    <w:keepNext w:val="0"/>
                    <w:keepLines w:val="0"/>
                    <w:pageBreakBefore w:val="0"/>
                    <w:widowControl/>
                    <w:kinsoku/>
                    <w:wordWrap/>
                    <w:overflowPunct/>
                    <w:topLinePunct w:val="0"/>
                    <w:autoSpaceDE/>
                    <w:autoSpaceDN/>
                    <w:bidi w:val="0"/>
                    <w:adjustRightInd w:val="0"/>
                    <w:snapToGrid w:val="0"/>
                    <w:jc w:val="center"/>
                    <w:textAlignment w:val="auto"/>
                    <w:outlineLvl w:val="9"/>
                    <w:rPr>
                      <w:b/>
                      <w:bCs/>
                      <w:color w:val="000000"/>
                      <w:kern w:val="0"/>
                      <w:sz w:val="32"/>
                      <w:szCs w:val="32"/>
                      <w:u w:val="single"/>
                    </w:rPr>
                  </w:pPr>
                  <w:r>
                    <w:rPr>
                      <w:b/>
                      <w:bCs/>
                      <w:color w:val="000000"/>
                      <w:kern w:val="0"/>
                      <w:sz w:val="32"/>
                      <w:szCs w:val="32"/>
                      <w:u w:val="single"/>
                    </w:rPr>
                    <w:t xml:space="preserve">            </w:t>
                  </w:r>
                  <w:r>
                    <w:rPr>
                      <w:rFonts w:hint="eastAsia" w:ascii="宋体" w:hAnsi="宋体"/>
                      <w:b/>
                      <w:bCs/>
                      <w:color w:val="000000"/>
                      <w:kern w:val="0"/>
                      <w:sz w:val="32"/>
                      <w:szCs w:val="32"/>
                    </w:rPr>
                    <w:t>学年</w:t>
                  </w:r>
                  <w:r>
                    <w:rPr>
                      <w:b/>
                      <w:bCs/>
                      <w:color w:val="000000"/>
                      <w:kern w:val="0"/>
                      <w:sz w:val="32"/>
                      <w:szCs w:val="32"/>
                      <w:u w:val="single"/>
                    </w:rPr>
                    <w:t xml:space="preserve">        </w:t>
                  </w:r>
                  <w:r>
                    <w:rPr>
                      <w:rFonts w:hint="eastAsia" w:ascii="宋体" w:hAnsi="宋体"/>
                      <w:b/>
                      <w:bCs/>
                      <w:color w:val="000000"/>
                      <w:kern w:val="0"/>
                      <w:sz w:val="32"/>
                      <w:szCs w:val="32"/>
                    </w:rPr>
                    <w:t>学期</w:t>
                  </w:r>
                </w:p>
              </w:tc>
            </w:tr>
            <w:tr>
              <w:tblPrEx>
                <w:tblCellMar>
                  <w:top w:w="0" w:type="dxa"/>
                  <w:left w:w="108" w:type="dxa"/>
                  <w:bottom w:w="0" w:type="dxa"/>
                  <w:right w:w="108" w:type="dxa"/>
                </w:tblCellMar>
              </w:tblPrEx>
              <w:trPr>
                <w:trHeight w:val="285" w:hRule="atLeast"/>
              </w:trPr>
              <w:tc>
                <w:tcPr>
                  <w:tcW w:w="66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c>
                <w:tcPr>
                  <w:tcW w:w="9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4"/>
                    </w:rPr>
                  </w:pPr>
                </w:p>
              </w:tc>
            </w:tr>
            <w:tr>
              <w:trPr>
                <w:trHeight w:val="765" w:hRule="atLeast"/>
              </w:trPr>
              <w:tc>
                <w:tcPr>
                  <w:tcW w:w="66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聘用部门</w:t>
                  </w:r>
                </w:p>
              </w:tc>
              <w:tc>
                <w:tcPr>
                  <w:tcW w:w="90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教师类别</w:t>
                  </w:r>
                </w:p>
              </w:tc>
              <w:tc>
                <w:tcPr>
                  <w:tcW w:w="80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姓名</w:t>
                  </w:r>
                </w:p>
              </w:tc>
              <w:tc>
                <w:tcPr>
                  <w:tcW w:w="80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性别</w:t>
                  </w:r>
                </w:p>
              </w:tc>
              <w:tc>
                <w:tcPr>
                  <w:tcW w:w="80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工作单位/部门</w:t>
                  </w:r>
                </w:p>
              </w:tc>
              <w:tc>
                <w:tcPr>
                  <w:tcW w:w="80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所任职务</w:t>
                  </w:r>
                </w:p>
              </w:tc>
              <w:tc>
                <w:tcPr>
                  <w:tcW w:w="80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教工号</w:t>
                  </w:r>
                </w:p>
              </w:tc>
              <w:tc>
                <w:tcPr>
                  <w:tcW w:w="80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年龄</w:t>
                  </w:r>
                </w:p>
              </w:tc>
              <w:tc>
                <w:tcPr>
                  <w:tcW w:w="80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学历</w:t>
                  </w:r>
                </w:p>
              </w:tc>
              <w:tc>
                <w:tcPr>
                  <w:tcW w:w="80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学位</w:t>
                  </w:r>
                </w:p>
              </w:tc>
              <w:tc>
                <w:tcPr>
                  <w:tcW w:w="80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专业技术职务名称</w:t>
                  </w:r>
                </w:p>
              </w:tc>
              <w:tc>
                <w:tcPr>
                  <w:tcW w:w="80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专业技术职务等级</w:t>
                  </w:r>
                </w:p>
              </w:tc>
              <w:tc>
                <w:tcPr>
                  <w:tcW w:w="80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高校教师资格证书</w:t>
                  </w:r>
                </w:p>
              </w:tc>
              <w:tc>
                <w:tcPr>
                  <w:tcW w:w="80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授课班级数</w:t>
                  </w:r>
                </w:p>
              </w:tc>
              <w:tc>
                <w:tcPr>
                  <w:tcW w:w="80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学时数</w:t>
                  </w:r>
                </w:p>
              </w:tc>
              <w:tc>
                <w:tcPr>
                  <w:tcW w:w="80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是否已聘用2年以上</w:t>
                  </w:r>
                </w:p>
              </w:tc>
              <w:tc>
                <w:tcPr>
                  <w:tcW w:w="800" w:type="dxa"/>
                  <w:tcBorders>
                    <w:top w:val="single" w:color="auto" w:sz="4" w:space="0"/>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备注</w:t>
                  </w:r>
                </w:p>
              </w:tc>
            </w:tr>
            <w:tr>
              <w:tblPrEx>
                <w:tblCellMar>
                  <w:top w:w="0" w:type="dxa"/>
                  <w:left w:w="108" w:type="dxa"/>
                  <w:bottom w:w="0" w:type="dxa"/>
                  <w:right w:w="108" w:type="dxa"/>
                </w:tblCellMar>
              </w:tblPrEx>
              <w:trPr>
                <w:trHeight w:val="465" w:hRule="atLeast"/>
              </w:trPr>
              <w:tc>
                <w:tcPr>
                  <w:tcW w:w="660" w:type="dxa"/>
                  <w:tcBorders>
                    <w:top w:val="nil"/>
                    <w:left w:val="single" w:color="auto" w:sz="4" w:space="0"/>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9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465" w:hRule="atLeast"/>
              </w:trPr>
              <w:tc>
                <w:tcPr>
                  <w:tcW w:w="660" w:type="dxa"/>
                  <w:tcBorders>
                    <w:top w:val="nil"/>
                    <w:left w:val="single" w:color="auto" w:sz="4" w:space="0"/>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9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465" w:hRule="atLeast"/>
              </w:trPr>
              <w:tc>
                <w:tcPr>
                  <w:tcW w:w="660" w:type="dxa"/>
                  <w:tcBorders>
                    <w:top w:val="nil"/>
                    <w:left w:val="single" w:color="auto" w:sz="4" w:space="0"/>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9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465" w:hRule="atLeast"/>
              </w:trPr>
              <w:tc>
                <w:tcPr>
                  <w:tcW w:w="660" w:type="dxa"/>
                  <w:tcBorders>
                    <w:top w:val="nil"/>
                    <w:left w:val="single" w:color="auto" w:sz="4" w:space="0"/>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9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0"/>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90" w:hRule="atLeast"/>
              </w:trPr>
              <w:tc>
                <w:tcPr>
                  <w:tcW w:w="660" w:type="dxa"/>
                  <w:tcBorders>
                    <w:top w:val="nil"/>
                    <w:left w:val="single" w:color="auto" w:sz="4" w:space="0"/>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9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c>
                <w:tcPr>
                  <w:tcW w:w="800" w:type="dxa"/>
                  <w:tcBorders>
                    <w:top w:val="nil"/>
                    <w:left w:val="nil"/>
                    <w:bottom w:val="single" w:color="auto" w:sz="4" w:space="0"/>
                    <w:right w:val="single" w:color="auto" w:sz="4" w:space="0"/>
                  </w:tcBorders>
                  <w:noWrap/>
                  <w:vAlign w:val="center"/>
                </w:tcPr>
                <w:p>
                  <w:pPr>
                    <w:pageBreakBefore w:val="0"/>
                    <w:widowControl/>
                    <w:topLinePunct w:val="0"/>
                    <w:bidi w:val="0"/>
                    <w:jc w:val="center"/>
                    <w:outlineLvl w:val="9"/>
                    <w:rPr>
                      <w:rFonts w:ascii="宋体" w:hAnsi="宋体" w:cs="宋体"/>
                      <w:color w:val="000000"/>
                      <w:kern w:val="0"/>
                      <w:sz w:val="20"/>
                      <w:szCs w:val="20"/>
                    </w:rPr>
                  </w:pPr>
                  <w:r>
                    <w:rPr>
                      <w:rFonts w:hint="eastAsia" w:ascii="宋体" w:hAnsi="宋体" w:cs="宋体"/>
                      <w:color w:val="000000"/>
                      <w:kern w:val="0"/>
                      <w:sz w:val="20"/>
                      <w:szCs w:val="20"/>
                    </w:rPr>
                    <w:t>　</w:t>
                  </w:r>
                </w:p>
              </w:tc>
            </w:tr>
            <w:tr>
              <w:tblPrEx>
                <w:tblCellMar>
                  <w:top w:w="0" w:type="dxa"/>
                  <w:left w:w="108" w:type="dxa"/>
                  <w:bottom w:w="0" w:type="dxa"/>
                  <w:right w:w="108" w:type="dxa"/>
                </w:tblCellMar>
              </w:tblPrEx>
              <w:trPr>
                <w:trHeight w:val="390" w:hRule="atLeast"/>
              </w:trPr>
              <w:tc>
                <w:tcPr>
                  <w:tcW w:w="5560" w:type="dxa"/>
                  <w:gridSpan w:val="7"/>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r>
                    <w:rPr>
                      <w:rFonts w:hint="eastAsia" w:ascii="宋体" w:hAnsi="宋体" w:cs="宋体"/>
                      <w:kern w:val="0"/>
                      <w:sz w:val="22"/>
                      <w:szCs w:val="22"/>
                    </w:rPr>
                    <w:t>授课班级数：如有并班上课，填并班之前的班级数。</w:t>
                  </w: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r>
            <w:tr>
              <w:tblPrEx>
                <w:tblCellMar>
                  <w:top w:w="0" w:type="dxa"/>
                  <w:left w:w="108" w:type="dxa"/>
                  <w:bottom w:w="0" w:type="dxa"/>
                  <w:right w:w="108" w:type="dxa"/>
                </w:tblCellMar>
              </w:tblPrEx>
              <w:trPr>
                <w:trHeight w:val="390" w:hRule="atLeast"/>
              </w:trPr>
              <w:tc>
                <w:tcPr>
                  <w:tcW w:w="10360" w:type="dxa"/>
                  <w:gridSpan w:val="13"/>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r>
                    <w:rPr>
                      <w:rFonts w:hint="eastAsia" w:ascii="宋体" w:hAnsi="宋体" w:cs="宋体"/>
                      <w:kern w:val="0"/>
                      <w:sz w:val="22"/>
                      <w:szCs w:val="22"/>
                    </w:rPr>
                    <w:t>学时数：填某位老师上课的几个授课班（并班之前）总共有多少学时（原始课时，不乘系数的）。</w:t>
                  </w: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r>
            <w:tr>
              <w:tblPrEx>
                <w:tblCellMar>
                  <w:top w:w="0" w:type="dxa"/>
                  <w:left w:w="108" w:type="dxa"/>
                  <w:bottom w:w="0" w:type="dxa"/>
                  <w:right w:w="108" w:type="dxa"/>
                </w:tblCellMar>
              </w:tblPrEx>
              <w:trPr>
                <w:trHeight w:val="390" w:hRule="atLeast"/>
              </w:trPr>
              <w:tc>
                <w:tcPr>
                  <w:tcW w:w="3960" w:type="dxa"/>
                  <w:gridSpan w:val="5"/>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r>
                    <w:rPr>
                      <w:rFonts w:hint="eastAsia" w:ascii="宋体" w:hAnsi="宋体" w:cs="宋体"/>
                      <w:kern w:val="0"/>
                      <w:sz w:val="22"/>
                      <w:szCs w:val="22"/>
                    </w:rPr>
                    <w:t>退休返聘：指与学院签了返聘合同的。</w:t>
                  </w: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r>
            <w:tr>
              <w:tblPrEx>
                <w:tblCellMar>
                  <w:top w:w="0" w:type="dxa"/>
                  <w:left w:w="108" w:type="dxa"/>
                  <w:bottom w:w="0" w:type="dxa"/>
                  <w:right w:w="108" w:type="dxa"/>
                </w:tblCellMar>
              </w:tblPrEx>
              <w:trPr>
                <w:trHeight w:val="390" w:hRule="atLeast"/>
              </w:trPr>
              <w:tc>
                <w:tcPr>
                  <w:tcW w:w="66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9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r>
                    <w:rPr>
                      <w:rFonts w:hint="eastAsia" w:ascii="宋体" w:hAnsi="宋体" w:cs="宋体"/>
                      <w:kern w:val="0"/>
                      <w:sz w:val="22"/>
                      <w:szCs w:val="22"/>
                    </w:rPr>
                    <w:t>制表：</w:t>
                  </w: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r>
                    <w:rPr>
                      <w:rFonts w:hint="eastAsia" w:ascii="宋体" w:hAnsi="宋体" w:cs="宋体"/>
                      <w:kern w:val="0"/>
                      <w:sz w:val="22"/>
                      <w:szCs w:val="22"/>
                    </w:rPr>
                    <w:t>审核：</w:t>
                  </w: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r>
            <w:tr>
              <w:tblPrEx>
                <w:tblCellMar>
                  <w:top w:w="0" w:type="dxa"/>
                  <w:left w:w="108" w:type="dxa"/>
                  <w:bottom w:w="0" w:type="dxa"/>
                  <w:right w:w="108" w:type="dxa"/>
                </w:tblCellMar>
              </w:tblPrEx>
              <w:trPr>
                <w:trHeight w:val="390" w:hRule="atLeast"/>
              </w:trPr>
              <w:tc>
                <w:tcPr>
                  <w:tcW w:w="66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9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r>
                    <w:rPr>
                      <w:rFonts w:hint="eastAsia" w:ascii="宋体" w:hAnsi="宋体" w:cs="宋体"/>
                      <w:kern w:val="0"/>
                      <w:sz w:val="22"/>
                      <w:szCs w:val="22"/>
                    </w:rPr>
                    <w:t>日期：</w:t>
                  </w:r>
                </w:p>
              </w:tc>
              <w:tc>
                <w:tcPr>
                  <w:tcW w:w="2400" w:type="dxa"/>
                  <w:gridSpan w:val="3"/>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r>
                    <w:rPr>
                      <w:rFonts w:hint="eastAsia" w:ascii="宋体" w:hAnsi="宋体" w:cs="宋体"/>
                      <w:kern w:val="0"/>
                      <w:sz w:val="22"/>
                      <w:szCs w:val="22"/>
                    </w:rPr>
                    <w:t xml:space="preserve">    年    月   日</w:t>
                  </w: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r>
            <w:tr>
              <w:tblPrEx>
                <w:tblCellMar>
                  <w:top w:w="0" w:type="dxa"/>
                  <w:left w:w="108" w:type="dxa"/>
                  <w:bottom w:w="0" w:type="dxa"/>
                  <w:right w:w="108" w:type="dxa"/>
                </w:tblCellMar>
              </w:tblPrEx>
              <w:trPr>
                <w:trHeight w:val="390" w:hRule="atLeast"/>
              </w:trPr>
              <w:tc>
                <w:tcPr>
                  <w:tcW w:w="66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9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800" w:type="dxa"/>
                  <w:tcBorders>
                    <w:top w:val="nil"/>
                    <w:left w:val="nil"/>
                    <w:bottom w:val="nil"/>
                    <w:right w:val="nil"/>
                  </w:tcBorders>
                  <w:noWrap/>
                  <w:vAlign w:val="center"/>
                </w:tcPr>
                <w:p>
                  <w:pPr>
                    <w:pageBreakBefore w:val="0"/>
                    <w:widowControl/>
                    <w:topLinePunct w:val="0"/>
                    <w:bidi w:val="0"/>
                    <w:jc w:val="left"/>
                    <w:outlineLvl w:val="9"/>
                    <w:rPr>
                      <w:rFonts w:ascii="宋体" w:hAnsi="宋体" w:cs="宋体"/>
                      <w:kern w:val="0"/>
                      <w:sz w:val="22"/>
                      <w:szCs w:val="22"/>
                    </w:rPr>
                  </w:pPr>
                </w:p>
              </w:tc>
              <w:tc>
                <w:tcPr>
                  <w:tcW w:w="4000" w:type="dxa"/>
                  <w:gridSpan w:val="5"/>
                  <w:tcBorders>
                    <w:top w:val="nil"/>
                    <w:left w:val="nil"/>
                    <w:bottom w:val="nil"/>
                    <w:right w:val="nil"/>
                  </w:tcBorders>
                  <w:noWrap/>
                  <w:vAlign w:val="center"/>
                </w:tcPr>
                <w:p>
                  <w:pPr>
                    <w:pageBreakBefore w:val="0"/>
                    <w:widowControl/>
                    <w:topLinePunct w:val="0"/>
                    <w:bidi w:val="0"/>
                    <w:jc w:val="center"/>
                    <w:outlineLvl w:val="9"/>
                    <w:rPr>
                      <w:rFonts w:ascii="宋体" w:hAnsi="宋体" w:cs="宋体"/>
                      <w:kern w:val="0"/>
                      <w:sz w:val="22"/>
                      <w:szCs w:val="22"/>
                    </w:rPr>
                  </w:pPr>
                  <w:r>
                    <w:rPr>
                      <w:rFonts w:hint="eastAsia" w:ascii="宋体" w:hAnsi="宋体" w:cs="宋体"/>
                      <w:kern w:val="0"/>
                      <w:sz w:val="22"/>
                      <w:szCs w:val="22"/>
                    </w:rPr>
                    <w:t>（盖部门公章）</w:t>
                  </w:r>
                </w:p>
              </w:tc>
            </w:tr>
          </w:tbl>
          <w:p>
            <w:pPr>
              <w:pageBreakBefore w:val="0"/>
              <w:widowControl/>
              <w:topLinePunct w:val="0"/>
              <w:bidi w:val="0"/>
              <w:jc w:val="center"/>
              <w:outlineLvl w:val="9"/>
              <w:rPr>
                <w:rFonts w:ascii="方正舒体" w:hAnsi="宋体" w:eastAsia="方正舒体" w:cs="宋体"/>
                <w:b/>
                <w:bCs/>
                <w:color w:val="000000"/>
                <w:kern w:val="0"/>
                <w:sz w:val="32"/>
                <w:szCs w:val="32"/>
              </w:rPr>
            </w:pPr>
          </w:p>
        </w:tc>
      </w:tr>
    </w:tbl>
    <w:p>
      <w:pPr>
        <w:pageBreakBefore w:val="0"/>
        <w:topLinePunct w:val="0"/>
        <w:bidi w:val="0"/>
        <w:ind w:firstLine="7040" w:firstLineChars="2200"/>
        <w:outlineLvl w:val="9"/>
        <w:rPr>
          <w:rFonts w:eastAsia="仿宋_GB2312"/>
          <w:sz w:val="32"/>
          <w:szCs w:val="32"/>
        </w:rPr>
        <w:sectPr>
          <w:type w:val="continuous"/>
          <w:pgSz w:w="16838" w:h="11906" w:orient="landscape"/>
          <w:pgMar w:top="1803" w:right="1440" w:bottom="1803" w:left="1440" w:header="851" w:footer="992" w:gutter="0"/>
          <w:pgNumType w:fmt="decimal"/>
          <w:cols w:space="425" w:num="1"/>
          <w:docGrid w:type="lines" w:linePitch="312" w:charSpace="0"/>
        </w:sectPr>
      </w:pPr>
    </w:p>
    <w:p>
      <w:pPr>
        <w:pageBreakBefore w:val="0"/>
        <w:topLinePunct w:val="0"/>
        <w:bidi w:val="0"/>
        <w:outlineLvl w:val="9"/>
        <w:rPr>
          <w:rFonts w:eastAsia="仿宋_GB2312"/>
          <w:sz w:val="32"/>
          <w:szCs w:val="32"/>
        </w:rPr>
      </w:pPr>
    </w:p>
    <w:p>
      <w:pPr>
        <w:pageBreakBefore w:val="0"/>
        <w:topLinePunct w:val="0"/>
        <w:bidi w:val="0"/>
        <w:outlineLvl w:val="9"/>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附件5</w:t>
      </w:r>
    </w:p>
    <w:p>
      <w:pPr>
        <w:bidi w:val="0"/>
        <w:jc w:val="center"/>
        <w:rPr>
          <w:b/>
          <w:bCs/>
          <w:sz w:val="32"/>
          <w:szCs w:val="32"/>
        </w:rPr>
      </w:pPr>
      <w:bookmarkStart w:id="368" w:name="_Toc25916"/>
      <w:r>
        <w:rPr>
          <w:b/>
          <w:bCs/>
          <w:sz w:val="32"/>
          <w:szCs w:val="32"/>
        </w:rPr>
        <w:t>兼课教师聘用流程图</w:t>
      </w:r>
      <w:bookmarkEnd w:id="368"/>
    </w:p>
    <w:p>
      <w:pPr>
        <w:pageBreakBefore w:val="0"/>
        <w:topLinePunct w:val="0"/>
        <w:bidi w:val="0"/>
        <w:outlineLvl w:val="9"/>
        <w:rPr>
          <w:rFonts w:eastAsia="仿宋_GB2312"/>
          <w:b/>
          <w:color w:val="FF0000"/>
          <w:sz w:val="24"/>
        </w:rPr>
      </w:pPr>
      <w:r>
        <w:rPr>
          <w:rFonts w:eastAsia="仿宋_GB2312"/>
          <w:b/>
          <w:color w:val="FF0000"/>
          <w:sz w:val="24"/>
        </w:rPr>
        <w:pict>
          <v:shape id="_x0000_s1302" o:spid="_x0000_s1302" o:spt="117" type="#_x0000_t117" style="position:absolute;left:0pt;margin-left:108pt;margin-top:14.4pt;height:54.6pt;width:216pt;z-index:251863040;mso-width-relative:page;mso-height-relative:page;" coordsize="21600,21600">
            <v:path/>
            <v:fill focussize="0,0"/>
            <v:stroke/>
            <v:imagedata o:title=""/>
            <o:lock v:ext="edit"/>
            <v:textbox inset="2.54mm,2mm,2.54mm,2mm">
              <w:txbxContent>
                <w:p>
                  <w:pPr>
                    <w:jc w:val="center"/>
                    <w:rPr>
                      <w:rFonts w:hint="eastAsia" w:ascii="仿宋_GB2312" w:eastAsia="仿宋_GB2312"/>
                      <w:lang w:val="zh-CN"/>
                    </w:rPr>
                  </w:pPr>
                  <w:r>
                    <w:rPr>
                      <w:rFonts w:hint="eastAsia" w:ascii="仿宋_GB2312" w:eastAsia="仿宋_GB2312"/>
                      <w:lang w:val="zh-CN"/>
                    </w:rPr>
                    <w:t>聘用部门根据实际需要制定聘用计划</w:t>
                  </w:r>
                </w:p>
              </w:txbxContent>
            </v:textbox>
          </v:shape>
        </w:pict>
      </w:r>
    </w:p>
    <w:p>
      <w:pPr>
        <w:pageBreakBefore w:val="0"/>
        <w:topLinePunct w:val="0"/>
        <w:bidi w:val="0"/>
        <w:ind w:firstLine="482" w:firstLineChars="200"/>
        <w:outlineLvl w:val="9"/>
        <w:rPr>
          <w:rFonts w:eastAsia="仿宋_GB2312"/>
          <w:b/>
          <w:color w:val="FF0000"/>
          <w:sz w:val="24"/>
        </w:rPr>
      </w:pPr>
    </w:p>
    <w:p>
      <w:pPr>
        <w:pageBreakBefore w:val="0"/>
        <w:topLinePunct w:val="0"/>
        <w:bidi w:val="0"/>
        <w:ind w:firstLine="482" w:firstLineChars="200"/>
        <w:outlineLvl w:val="9"/>
        <w:rPr>
          <w:rFonts w:eastAsia="仿宋_GB2312"/>
          <w:b/>
          <w:color w:val="FF0000"/>
          <w:sz w:val="24"/>
        </w:rPr>
      </w:pPr>
    </w:p>
    <w:p>
      <w:pPr>
        <w:pageBreakBefore w:val="0"/>
        <w:topLinePunct w:val="0"/>
        <w:bidi w:val="0"/>
        <w:ind w:firstLine="482" w:firstLineChars="200"/>
        <w:outlineLvl w:val="9"/>
        <w:rPr>
          <w:rFonts w:eastAsia="仿宋_GB2312"/>
          <w:b/>
          <w:color w:val="FF0000"/>
          <w:sz w:val="24"/>
        </w:rPr>
      </w:pPr>
    </w:p>
    <w:p>
      <w:pPr>
        <w:pageBreakBefore w:val="0"/>
        <w:topLinePunct w:val="0"/>
        <w:bidi w:val="0"/>
        <w:ind w:firstLine="482" w:firstLineChars="200"/>
        <w:outlineLvl w:val="9"/>
        <w:rPr>
          <w:rFonts w:eastAsia="仿宋_GB2312"/>
          <w:b/>
          <w:color w:val="FF0000"/>
          <w:sz w:val="24"/>
        </w:rPr>
      </w:pPr>
    </w:p>
    <w:p>
      <w:pPr>
        <w:pageBreakBefore w:val="0"/>
        <w:topLinePunct w:val="0"/>
        <w:bidi w:val="0"/>
        <w:ind w:firstLine="482" w:firstLineChars="200"/>
        <w:outlineLvl w:val="9"/>
        <w:rPr>
          <w:rFonts w:eastAsia="仿宋_GB2312"/>
          <w:b/>
          <w:color w:val="FF0000"/>
          <w:sz w:val="24"/>
        </w:rPr>
      </w:pPr>
      <w:r>
        <w:rPr>
          <w:rFonts w:eastAsia="仿宋_GB2312"/>
          <w:b/>
          <w:color w:val="FF0000"/>
          <w:sz w:val="24"/>
        </w:rPr>
        <w:pict>
          <v:line id="_x0000_s1303" o:spid="_x0000_s1303" o:spt="20" style="position:absolute;left:0pt;margin-left:210.6pt;margin-top:0pt;height:41.1pt;width:0pt;z-index:251866112;mso-width-relative:page;mso-height-relative:page;" filled="f" coordsize="21600,21600">
            <v:path arrowok="t"/>
            <v:fill on="f" focussize="0,0"/>
            <v:stroke endarrow="block"/>
            <v:imagedata o:title=""/>
            <o:lock v:ext="edit"/>
          </v:line>
        </w:pict>
      </w:r>
    </w:p>
    <w:p>
      <w:pPr>
        <w:pageBreakBefore w:val="0"/>
        <w:topLinePunct w:val="0"/>
        <w:bidi w:val="0"/>
        <w:ind w:firstLine="482" w:firstLineChars="200"/>
        <w:outlineLvl w:val="9"/>
        <w:rPr>
          <w:rFonts w:eastAsia="仿宋_GB2312"/>
          <w:b/>
          <w:color w:val="FF0000"/>
          <w:sz w:val="24"/>
        </w:rPr>
      </w:pPr>
    </w:p>
    <w:p>
      <w:pPr>
        <w:pageBreakBefore w:val="0"/>
        <w:topLinePunct w:val="0"/>
        <w:bidi w:val="0"/>
        <w:ind w:firstLine="482" w:firstLineChars="200"/>
        <w:outlineLvl w:val="9"/>
        <w:rPr>
          <w:rFonts w:eastAsia="仿宋_GB2312"/>
          <w:b/>
          <w:color w:val="FF0000"/>
          <w:sz w:val="24"/>
        </w:rPr>
      </w:pPr>
      <w:r>
        <w:rPr>
          <w:rFonts w:eastAsia="仿宋_GB2312"/>
          <w:b/>
          <w:color w:val="FF0000"/>
          <w:sz w:val="24"/>
        </w:rPr>
        <w:pict>
          <v:shape id="自选图形 44" o:spid="_x0000_s1304" o:spt="109" type="#_x0000_t109" style="position:absolute;left:0pt;margin-left:147.9pt;margin-top:11.65pt;height:54.6pt;width:126pt;mso-wrap-distance-bottom:0pt;mso-wrap-distance-left:9pt;mso-wrap-distance-right:9pt;mso-wrap-distance-top:0pt;z-index:251864064;mso-width-relative:page;mso-height-relative:page;" coordsize="21600,21600">
            <v:path/>
            <v:fill focussize="0,0"/>
            <v:stroke/>
            <v:imagedata o:title=""/>
            <o:lock v:ext="edit"/>
            <v:textbox inset="2.54mm,2mm,2.54mm,2mm">
              <w:txbxContent>
                <w:p>
                  <w:pPr>
                    <w:rPr>
                      <w:rFonts w:hint="eastAsia"/>
                    </w:rPr>
                  </w:pPr>
                  <w:r>
                    <w:rPr>
                      <w:rFonts w:hint="eastAsia" w:ascii="仿宋_GB2312" w:eastAsia="仿宋_GB2312"/>
                      <w:lang w:val="zh-CN"/>
                    </w:rPr>
                    <w:t>聘用部门对拟聘教师进行资格审核</w:t>
                  </w:r>
                </w:p>
              </w:txbxContent>
            </v:textbox>
            <w10:wrap type="square"/>
          </v:shape>
        </w:pict>
      </w:r>
      <w:r>
        <w:rPr>
          <w:color w:val="FF0000"/>
        </w:rPr>
        <w:pict>
          <v:shape id="自选图形 42" o:spid="_x0000_s1305" o:spt="109" type="#_x0000_t109" style="position:absolute;left:0pt;margin-left:-18pt;margin-top:3.6pt;height:79.8pt;width:111.6pt;z-index:251862016;mso-width-relative:page;mso-height-relative:page;" coordsize="21600,21600">
            <v:path/>
            <v:fill focussize="0,0"/>
            <v:stroke/>
            <v:imagedata o:title=""/>
            <o:lock v:ext="edit"/>
            <v:textbox inset="2.54mm,2mm,2.54mm,2mm">
              <w:txbxContent>
                <w:p>
                  <w:pPr>
                    <w:rPr>
                      <w:rFonts w:hint="eastAsia" w:ascii="仿宋_GB2312" w:eastAsia="仿宋_GB2312"/>
                      <w:lang w:val="zh-CN"/>
                    </w:rPr>
                  </w:pPr>
                  <w:r>
                    <w:rPr>
                      <w:rFonts w:hint="eastAsia" w:ascii="仿宋_GB2312" w:eastAsia="仿宋_GB2312"/>
                      <w:lang w:val="zh-CN"/>
                    </w:rPr>
                    <w:t>兼课教师填写《兼课教师基本情况备案表》并提供相关证书复印件</w:t>
                  </w:r>
                </w:p>
                <w:p>
                  <w:pPr>
                    <w:rPr>
                      <w:rFonts w:hint="eastAsia"/>
                    </w:rPr>
                  </w:pPr>
                </w:p>
              </w:txbxContent>
            </v:textbox>
          </v:shape>
        </w:pict>
      </w:r>
    </w:p>
    <w:p>
      <w:pPr>
        <w:pageBreakBefore w:val="0"/>
        <w:topLinePunct w:val="0"/>
        <w:bidi w:val="0"/>
        <w:ind w:firstLine="482" w:firstLineChars="200"/>
        <w:outlineLvl w:val="9"/>
        <w:rPr>
          <w:rFonts w:eastAsia="仿宋_GB2312"/>
          <w:b/>
          <w:color w:val="FF0000"/>
          <w:sz w:val="24"/>
        </w:rPr>
      </w:pPr>
    </w:p>
    <w:p>
      <w:pPr>
        <w:pageBreakBefore w:val="0"/>
        <w:topLinePunct w:val="0"/>
        <w:bidi w:val="0"/>
        <w:ind w:firstLine="482" w:firstLineChars="200"/>
        <w:outlineLvl w:val="9"/>
        <w:rPr>
          <w:rFonts w:eastAsia="仿宋_GB2312"/>
          <w:b/>
          <w:color w:val="FF0000"/>
          <w:sz w:val="24"/>
        </w:rPr>
      </w:pPr>
      <w:r>
        <w:rPr>
          <w:rFonts w:eastAsia="仿宋_GB2312"/>
          <w:b/>
          <w:color w:val="FF0000"/>
          <w:sz w:val="24"/>
        </w:rPr>
        <w:pict>
          <v:line id="_x0000_s1306" o:spid="_x0000_s1306" o:spt="20" style="position:absolute;left:0pt;margin-left:93.6pt;margin-top:3pt;height:0pt;width:54pt;z-index:251867136;mso-width-relative:page;mso-height-relative:page;" filled="f" coordsize="21600,21600">
            <v:path arrowok="t"/>
            <v:fill on="f" focussize="0,0"/>
            <v:stroke endarrow="block"/>
            <v:imagedata o:title=""/>
            <o:lock v:ext="edit"/>
          </v:line>
        </w:pict>
      </w:r>
    </w:p>
    <w:p>
      <w:pPr>
        <w:pageBreakBefore w:val="0"/>
        <w:topLinePunct w:val="0"/>
        <w:bidi w:val="0"/>
        <w:ind w:firstLine="482" w:firstLineChars="200"/>
        <w:outlineLvl w:val="9"/>
        <w:rPr>
          <w:rFonts w:eastAsia="仿宋_GB2312"/>
          <w:b/>
          <w:color w:val="FF0000"/>
          <w:sz w:val="24"/>
        </w:rPr>
      </w:pPr>
    </w:p>
    <w:p>
      <w:pPr>
        <w:pageBreakBefore w:val="0"/>
        <w:topLinePunct w:val="0"/>
        <w:bidi w:val="0"/>
        <w:ind w:firstLine="482" w:firstLineChars="200"/>
        <w:outlineLvl w:val="9"/>
        <w:rPr>
          <w:rFonts w:eastAsia="仿宋_GB2312"/>
          <w:b/>
          <w:color w:val="FF0000"/>
          <w:sz w:val="24"/>
        </w:rPr>
      </w:pPr>
      <w:r>
        <w:rPr>
          <w:rFonts w:eastAsia="仿宋_GB2312"/>
          <w:b/>
          <w:color w:val="FF0000"/>
          <w:sz w:val="24"/>
        </w:rPr>
        <w:pict>
          <v:line id="_x0000_s1307" o:spid="_x0000_s1307" o:spt="20" style="position:absolute;left:0pt;margin-left:207pt;margin-top:9.1pt;height:39.8pt;width:0pt;z-index:251889664;mso-width-relative:page;mso-height-relative:page;" filled="f" coordsize="21600,21600">
            <v:path arrowok="t"/>
            <v:fill on="f" focussize="0,0"/>
            <v:stroke endarrow="block"/>
            <v:imagedata o:title=""/>
            <o:lock v:ext="edit"/>
          </v:line>
        </w:pict>
      </w:r>
    </w:p>
    <w:p>
      <w:pPr>
        <w:pageBreakBefore w:val="0"/>
        <w:topLinePunct w:val="0"/>
        <w:bidi w:val="0"/>
        <w:ind w:firstLine="482" w:firstLineChars="200"/>
        <w:outlineLvl w:val="9"/>
        <w:rPr>
          <w:rFonts w:eastAsia="仿宋_GB2312"/>
          <w:b/>
          <w:color w:val="FF0000"/>
          <w:sz w:val="24"/>
        </w:rPr>
      </w:pPr>
    </w:p>
    <w:p>
      <w:pPr>
        <w:pageBreakBefore w:val="0"/>
        <w:topLinePunct w:val="0"/>
        <w:bidi w:val="0"/>
        <w:ind w:firstLine="482" w:firstLineChars="200"/>
        <w:outlineLvl w:val="9"/>
        <w:rPr>
          <w:rFonts w:eastAsia="仿宋_GB2312"/>
          <w:b/>
          <w:color w:val="FF0000"/>
          <w:sz w:val="24"/>
        </w:rPr>
      </w:pPr>
    </w:p>
    <w:p>
      <w:pPr>
        <w:pageBreakBefore w:val="0"/>
        <w:topLinePunct w:val="0"/>
        <w:bidi w:val="0"/>
        <w:ind w:firstLine="482" w:firstLineChars="200"/>
        <w:outlineLvl w:val="9"/>
        <w:rPr>
          <w:rFonts w:eastAsia="仿宋_GB2312"/>
          <w:b/>
          <w:color w:val="FF0000"/>
          <w:sz w:val="24"/>
        </w:rPr>
      </w:pPr>
      <w:r>
        <w:rPr>
          <w:rFonts w:eastAsia="仿宋_GB2312"/>
          <w:b/>
          <w:color w:val="FF0000"/>
          <w:sz w:val="24"/>
        </w:rPr>
        <w:pict>
          <v:shape id="_x0000_s1308" o:spid="_x0000_s1308" o:spt="109" type="#_x0000_t109" style="position:absolute;left:0pt;margin-left:-23.4pt;margin-top:9pt;height:46.8pt;width:117pt;z-index:251865088;mso-width-relative:page;mso-height-relative:page;" coordsize="21600,21600">
            <v:path/>
            <v:fill focussize="0,0"/>
            <v:stroke/>
            <v:imagedata o:title=""/>
            <o:lock v:ext="edit"/>
            <v:textbox inset="2.54mm,2mm,2.54mm,2mm">
              <w:txbxContent>
                <w:p>
                  <w:pPr>
                    <w:rPr>
                      <w:rFonts w:hint="eastAsia" w:ascii="仿宋_GB2312" w:eastAsia="仿宋_GB2312"/>
                      <w:lang w:val="zh-CN"/>
                    </w:rPr>
                  </w:pPr>
                  <w:r>
                    <w:rPr>
                      <w:rFonts w:hint="eastAsia" w:ascii="仿宋_GB2312" w:eastAsia="仿宋_GB2312"/>
                      <w:lang w:val="zh-CN"/>
                    </w:rPr>
                    <w:t>聘用部门填写《兼课教师审批表》</w:t>
                  </w: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txbxContent>
            </v:textbox>
          </v:shape>
        </w:pict>
      </w:r>
      <w:r>
        <w:rPr>
          <w:rFonts w:eastAsia="仿宋_GB2312"/>
          <w:b/>
          <w:color w:val="FF0000"/>
          <w:sz w:val="24"/>
        </w:rPr>
        <w:pict>
          <v:shape id="自选图形 50" o:spid="_x0000_s1309" o:spt="109" type="#_x0000_t109" style="position:absolute;left:0pt;margin-left:324pt;margin-top:7.5pt;height:46.8pt;width:126pt;z-index:251870208;mso-width-relative:page;mso-height-relative:page;" coordsize="21600,21600">
            <v:path/>
            <v:fill focussize="0,0"/>
            <v:stroke/>
            <v:imagedata o:title=""/>
            <o:lock v:ext="edit"/>
            <v:textbox inset="2.54mm,2mm,2.54mm,2mm">
              <w:txbxContent>
                <w:p>
                  <w:pPr>
                    <w:rPr>
                      <w:rFonts w:hint="eastAsia" w:ascii="仿宋_GB2312" w:eastAsia="仿宋_GB2312"/>
                      <w:lang w:val="zh-CN"/>
                    </w:rPr>
                  </w:pPr>
                  <w:r>
                    <w:rPr>
                      <w:rFonts w:hint="eastAsia" w:ascii="仿宋_GB2312" w:eastAsia="仿宋_GB2312"/>
                      <w:lang w:val="zh-CN"/>
                    </w:rPr>
                    <w:t>教务处组织首次兼课教师的公开试讲</w:t>
                  </w:r>
                </w:p>
              </w:txbxContent>
            </v:textbox>
          </v:shape>
        </w:pict>
      </w:r>
      <w:r>
        <w:rPr>
          <w:rFonts w:eastAsia="仿宋_GB2312"/>
          <w:b/>
          <w:color w:val="FF0000"/>
          <w:sz w:val="24"/>
        </w:rPr>
        <w:pict>
          <v:shape id="_x0000_s1310" o:spid="_x0000_s1310" o:spt="109" type="#_x0000_t109" style="position:absolute;left:0pt;margin-left:147.6pt;margin-top:5.7pt;height:48.6pt;width:131.4pt;z-index:251868160;mso-width-relative:page;mso-height-relative:page;" coordsize="21600,21600">
            <v:path/>
            <v:fill focussize="0,0"/>
            <v:stroke/>
            <v:imagedata o:title=""/>
            <o:lock v:ext="edit"/>
            <v:textbox inset="2.54mm,2mm,2.54mm,2mm">
              <w:txbxContent>
                <w:p>
                  <w:pPr>
                    <w:rPr>
                      <w:rFonts w:hint="eastAsia"/>
                    </w:rPr>
                  </w:pPr>
                  <w:r>
                    <w:rPr>
                      <w:rFonts w:hint="eastAsia" w:ascii="仿宋_GB2312" w:eastAsia="仿宋_GB2312"/>
                      <w:lang w:val="zh-CN"/>
                    </w:rPr>
                    <w:t>教务处对聘用部门聘用的兼课教师进行核准</w:t>
                  </w:r>
                </w:p>
              </w:txbxContent>
            </v:textbox>
          </v:shape>
        </w:pict>
      </w:r>
    </w:p>
    <w:p>
      <w:pPr>
        <w:pageBreakBefore w:val="0"/>
        <w:topLinePunct w:val="0"/>
        <w:bidi w:val="0"/>
        <w:outlineLvl w:val="9"/>
        <w:rPr>
          <w:rFonts w:eastAsia="仿宋_GB2312"/>
          <w:sz w:val="24"/>
        </w:rPr>
      </w:pPr>
      <w:r>
        <w:rPr>
          <w:rFonts w:eastAsia="仿宋_GB2312"/>
          <w:b/>
          <w:color w:val="FF0000"/>
          <w:sz w:val="24"/>
        </w:rPr>
        <w:pict>
          <v:line id="_x0000_s1311" o:spid="_x0000_s1311" o:spt="20" style="position:absolute;left:0pt;margin-left:93.6pt;margin-top:6.75pt;height:0pt;width:54pt;z-index:251888640;mso-width-relative:page;mso-height-relative:page;" filled="f" coordsize="21600,21600">
            <v:path arrowok="t"/>
            <v:fill on="f" focussize="0,0"/>
            <v:stroke endarrow="block"/>
            <v:imagedata o:title=""/>
            <o:lock v:ext="edit"/>
          </v:line>
        </w:pict>
      </w:r>
      <w:r>
        <w:rPr>
          <w:rFonts w:eastAsia="仿宋_GB2312"/>
          <w:sz w:val="24"/>
        </w:rPr>
        <w:pict>
          <v:line id="_x0000_s1312" o:spid="_x0000_s1312" o:spt="20" style="position:absolute;left:0pt;margin-left:-50.4pt;margin-top:14.55pt;height:0pt;width:27pt;z-index:251879424;mso-width-relative:page;mso-height-relative:page;" filled="f" coordsize="21600,21600">
            <v:path arrowok="t"/>
            <v:fill on="f" focussize="0,0"/>
            <v:stroke endarrow="block"/>
            <v:imagedata o:title=""/>
            <o:lock v:ext="edit"/>
          </v:line>
        </w:pict>
      </w:r>
      <w:r>
        <w:rPr>
          <w:rFonts w:eastAsia="仿宋_GB2312"/>
          <w:sz w:val="24"/>
        </w:rPr>
        <w:pict>
          <v:line id="_x0000_s1313" o:spid="_x0000_s1313" o:spt="20" style="position:absolute;left:0pt;flip:x y;margin-left:-50.4pt;margin-top:14.55pt;height:249.6pt;width:0pt;z-index:251878400;mso-width-relative:page;mso-height-relative:page;" filled="f" coordsize="21600,21600">
            <v:path arrowok="t"/>
            <v:fill on="f" focussize="0,0"/>
            <v:stroke/>
            <v:imagedata o:title=""/>
            <o:lock v:ext="edit"/>
          </v:line>
        </w:pict>
      </w:r>
      <w:r>
        <w:rPr>
          <w:rFonts w:eastAsia="仿宋_GB2312"/>
          <w:sz w:val="24"/>
        </w:rPr>
        <w:pict>
          <v:line id="直线 56" o:spid="_x0000_s1314" o:spt="20" style="position:absolute;left:0pt;flip:x;margin-left:279pt;margin-top:13.05pt;height:0pt;width:45pt;z-index:251876352;mso-width-relative:page;mso-height-relative:page;" filled="f" coordsize="21600,21600">
            <v:path arrowok="t"/>
            <v:fill on="f" focussize="0,0"/>
            <v:stroke endarrow="block"/>
            <v:imagedata o:title=""/>
            <o:lock v:ext="edit"/>
          </v:line>
        </w:pict>
      </w:r>
    </w:p>
    <w:p>
      <w:pPr>
        <w:pageBreakBefore w:val="0"/>
        <w:tabs>
          <w:tab w:val="left" w:pos="5824"/>
        </w:tabs>
        <w:topLinePunct w:val="0"/>
        <w:bidi w:val="0"/>
        <w:outlineLvl w:val="9"/>
        <w:rPr>
          <w:rFonts w:eastAsia="仿宋_GB2312"/>
          <w:sz w:val="24"/>
        </w:rPr>
      </w:pPr>
      <w:r>
        <w:rPr>
          <w:rFonts w:eastAsia="仿宋_GB2312"/>
          <w:b/>
          <w:color w:val="FF0000"/>
          <w:sz w:val="24"/>
        </w:rPr>
        <w:pict>
          <v:line id="_x0000_s1315" o:spid="_x0000_s1315" o:spt="20" style="position:absolute;left:0pt;margin-left:111.6pt;margin-top:7.8pt;height:0pt;width:36pt;z-index:251887616;mso-width-relative:page;mso-height-relative:page;" filled="f" coordsize="21600,21600">
            <v:path arrowok="t"/>
            <v:fill on="f" focussize="0,0"/>
            <v:stroke endarrow="block"/>
            <v:imagedata o:title=""/>
            <o:lock v:ext="edit"/>
          </v:line>
        </w:pict>
      </w:r>
      <w:r>
        <w:rPr>
          <w:rFonts w:eastAsia="仿宋_GB2312"/>
          <w:b/>
          <w:color w:val="FF0000"/>
          <w:sz w:val="24"/>
        </w:rPr>
        <w:pict>
          <v:line id="_x0000_s1316" o:spid="_x0000_s1316" o:spt="20" style="position:absolute;left:0pt;flip:y;margin-left:111.6pt;margin-top:7.8pt;height:62.4pt;width:0pt;z-index:251886592;mso-width-relative:page;mso-height-relative:page;" filled="f" coordsize="21600,21600">
            <v:path arrowok="t"/>
            <v:fill on="f" focussize="0,0"/>
            <v:stroke/>
            <v:imagedata o:title=""/>
            <o:lock v:ext="edit"/>
          </v:line>
        </w:pict>
      </w:r>
      <w:r>
        <w:rPr>
          <w:rFonts w:eastAsia="仿宋_GB2312"/>
          <w:sz w:val="24"/>
        </w:rPr>
        <w:tab/>
      </w:r>
    </w:p>
    <w:p>
      <w:pPr>
        <w:pageBreakBefore w:val="0"/>
        <w:tabs>
          <w:tab w:val="left" w:pos="5824"/>
        </w:tabs>
        <w:topLinePunct w:val="0"/>
        <w:bidi w:val="0"/>
        <w:outlineLvl w:val="9"/>
        <w:rPr>
          <w:rFonts w:eastAsia="仿宋_GB2312"/>
          <w:sz w:val="24"/>
        </w:rPr>
      </w:pPr>
      <w:r>
        <w:rPr>
          <w:rFonts w:eastAsia="仿宋_GB2312"/>
          <w:b/>
          <w:color w:val="FF0000"/>
          <w:sz w:val="24"/>
        </w:rPr>
        <w:pict>
          <v:line id="_x0000_s1317" o:spid="_x0000_s1317" o:spt="20" style="position:absolute;left:0pt;margin-left:36pt;margin-top:13.85pt;height:13pt;width:0pt;mso-wrap-distance-bottom:0pt;mso-wrap-distance-left:9pt;mso-wrap-distance-right:9pt;mso-wrap-distance-top:0pt;z-index:251890688;mso-width-relative:page;mso-height-relative:page;" filled="f" stroked="t" coordsize="21600,21600">
            <v:path arrowok="t"/>
            <v:fill on="f" focussize="0,0"/>
            <v:stroke imagealignshape="1" endarrow="block"/>
            <v:imagedata o:title=""/>
            <o:lock v:ext="edit"/>
            <v:textbox inset="2.54mm,2mm,2.54mm,2mm"/>
            <w10:wrap type="square"/>
          </v:line>
        </w:pict>
      </w:r>
      <w:r>
        <w:rPr>
          <w:rFonts w:eastAsia="仿宋_GB2312"/>
          <w:b/>
          <w:color w:val="FF0000"/>
          <w:sz w:val="24"/>
        </w:rPr>
        <w:pict>
          <v:line id="_x0000_s1318" o:spid="_x0000_s1318" o:spt="20" style="position:absolute;left:0pt;flip:x y;margin-left:246.6pt;margin-top:12.95pt;height:82pt;width:0pt;z-index:251883520;mso-width-relative:page;mso-height-relative:page;" filled="f" coordsize="21600,21600">
            <v:path arrowok="t"/>
            <v:fill on="f" focussize="0,0"/>
            <v:stroke/>
            <v:imagedata o:title=""/>
            <o:lock v:ext="edit"/>
          </v:line>
        </w:pict>
      </w:r>
      <w:r>
        <w:rPr>
          <w:rFonts w:eastAsia="仿宋_GB2312"/>
          <w:b/>
          <w:color w:val="FF0000"/>
          <w:sz w:val="24"/>
        </w:rPr>
        <w:pict>
          <v:line id="直线 55" o:spid="_x0000_s1319" o:spt="20" style="position:absolute;left:0pt;flip:x;margin-left:210.6pt;margin-top:12.95pt;height:141.55pt;width:0pt;z-index:251875328;mso-width-relative:page;mso-height-relative:page;" filled="f" coordsize="21600,21600">
            <v:path arrowok="t"/>
            <v:fill on="f" focussize="0,0"/>
            <v:stroke endarrow="block"/>
            <v:imagedata o:title=""/>
            <o:lock v:ext="edit"/>
          </v:line>
        </w:pict>
      </w:r>
    </w:p>
    <w:p>
      <w:pPr>
        <w:pageBreakBefore w:val="0"/>
        <w:tabs>
          <w:tab w:val="left" w:pos="5824"/>
        </w:tabs>
        <w:topLinePunct w:val="0"/>
        <w:bidi w:val="0"/>
        <w:outlineLvl w:val="9"/>
        <w:rPr>
          <w:rFonts w:eastAsia="仿宋_GB2312"/>
          <w:sz w:val="24"/>
        </w:rPr>
      </w:pPr>
      <w:r>
        <w:rPr>
          <w:rFonts w:eastAsia="仿宋_GB2312"/>
          <w:sz w:val="24"/>
        </w:rPr>
        <w:pict>
          <v:shape id="自选图形 64" o:spid="_x0000_s1320" o:spt="109" type="#_x0000_t109" style="position:absolute;left:0pt;margin-left:-24.45pt;margin-top:11.3pt;height:46.8pt;width:117pt;z-index:251884544;mso-width-relative:page;mso-height-relative:page;" coordsize="21600,21600">
            <v:path/>
            <v:fill focussize="0,0"/>
            <v:stroke/>
            <v:imagedata o:title=""/>
            <o:lock v:ext="edit"/>
            <v:textbox inset="2.54mm,2mm,2.54mm,2mm">
              <w:txbxContent>
                <w:p>
                  <w:pPr>
                    <w:rPr>
                      <w:rFonts w:hint="eastAsia" w:ascii="仿宋_GB2312" w:eastAsia="仿宋_GB2312"/>
                      <w:lang w:val="zh-CN"/>
                    </w:rPr>
                  </w:pPr>
                  <w:r>
                    <w:rPr>
                      <w:rFonts w:hint="eastAsia" w:ascii="仿宋_GB2312" w:eastAsia="仿宋_GB2312"/>
                      <w:lang w:val="zh-CN"/>
                    </w:rPr>
                    <w:t>校内兼课教师所在部门同意</w:t>
                  </w: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txbxContent>
            </v:textbox>
          </v:shape>
        </w:pict>
      </w:r>
    </w:p>
    <w:p>
      <w:pPr>
        <w:pageBreakBefore w:val="0"/>
        <w:tabs>
          <w:tab w:val="left" w:pos="5824"/>
        </w:tabs>
        <w:topLinePunct w:val="0"/>
        <w:bidi w:val="0"/>
        <w:outlineLvl w:val="9"/>
        <w:rPr>
          <w:rFonts w:eastAsia="仿宋_GB2312"/>
          <w:sz w:val="24"/>
        </w:rPr>
      </w:pPr>
    </w:p>
    <w:p>
      <w:pPr>
        <w:pageBreakBefore w:val="0"/>
        <w:tabs>
          <w:tab w:val="left" w:pos="5824"/>
        </w:tabs>
        <w:topLinePunct w:val="0"/>
        <w:bidi w:val="0"/>
        <w:outlineLvl w:val="9"/>
        <w:rPr>
          <w:rFonts w:eastAsia="仿宋_GB2312"/>
          <w:sz w:val="24"/>
        </w:rPr>
      </w:pPr>
      <w:r>
        <w:rPr>
          <w:rFonts w:eastAsia="仿宋_GB2312"/>
          <w:sz w:val="24"/>
        </w:rPr>
        <w:pict>
          <v:line id="_x0000_s1321" o:spid="_x0000_s1321" o:spt="20" style="position:absolute;left:0pt;margin-left:93.6pt;margin-top:9.65pt;height:0pt;width:18pt;z-index:251885568;mso-width-relative:page;mso-height-relative:page;" filled="f" coordsize="21600,21600">
            <v:path arrowok="t"/>
            <v:fill on="f" focussize="0,0"/>
            <v:stroke/>
            <v:imagedata o:title=""/>
            <o:lock v:ext="edit"/>
          </v:line>
        </w:pict>
      </w:r>
    </w:p>
    <w:p>
      <w:pPr>
        <w:pageBreakBefore w:val="0"/>
        <w:tabs>
          <w:tab w:val="left" w:pos="5824"/>
        </w:tabs>
        <w:topLinePunct w:val="0"/>
        <w:bidi w:val="0"/>
        <w:outlineLvl w:val="9"/>
        <w:rPr>
          <w:rFonts w:eastAsia="仿宋_GB2312"/>
          <w:sz w:val="24"/>
        </w:rPr>
      </w:pPr>
    </w:p>
    <w:p>
      <w:pPr>
        <w:pageBreakBefore w:val="0"/>
        <w:tabs>
          <w:tab w:val="left" w:pos="5824"/>
        </w:tabs>
        <w:topLinePunct w:val="0"/>
        <w:bidi w:val="0"/>
        <w:outlineLvl w:val="9"/>
        <w:rPr>
          <w:rFonts w:eastAsia="仿宋_GB2312"/>
          <w:sz w:val="24"/>
        </w:rPr>
      </w:pPr>
      <w:r>
        <w:rPr>
          <w:rFonts w:eastAsia="仿宋_GB2312"/>
          <w:b/>
          <w:color w:val="FF0000"/>
          <w:sz w:val="24"/>
        </w:rPr>
        <w:pict>
          <v:shape id="自选图形 49" o:spid="_x0000_s1322" o:spt="109" type="#_x0000_t109" style="position:absolute;left:0pt;margin-left:327.6pt;margin-top:8.4pt;height:46.8pt;width:126pt;z-index:251869184;mso-width-relative:page;mso-height-relative:page;" coordsize="21600,21600">
            <v:path/>
            <v:fill focussize="0,0"/>
            <v:stroke/>
            <v:imagedata o:title=""/>
            <o:lock v:ext="edit"/>
            <v:textbox inset="2.54mm,2mm,2.54mm,2mm">
              <w:txbxContent>
                <w:p>
                  <w:pPr>
                    <w:rPr>
                      <w:rFonts w:hint="eastAsia" w:ascii="仿宋_GB2312" w:eastAsia="仿宋_GB2312"/>
                      <w:lang w:val="zh-CN"/>
                    </w:rPr>
                  </w:pPr>
                  <w:r>
                    <w:rPr>
                      <w:rFonts w:hint="eastAsia" w:ascii="仿宋_GB2312" w:eastAsia="仿宋_GB2312"/>
                      <w:lang w:val="zh-CN"/>
                    </w:rPr>
                    <w:t>教务处对资料进行备案、入档</w:t>
                  </w:r>
                </w:p>
                <w:p>
                  <w:pPr>
                    <w:rPr>
                      <w:rFonts w:hint="eastAsia"/>
                      <w:sz w:val="10"/>
                      <w:szCs w:val="10"/>
                    </w:rPr>
                  </w:pPr>
                </w:p>
                <w:p/>
              </w:txbxContent>
            </v:textbox>
          </v:shape>
        </w:pict>
      </w:r>
      <w:r>
        <w:rPr>
          <w:rFonts w:eastAsia="仿宋_GB2312"/>
          <w:b/>
          <w:color w:val="FF0000"/>
          <w:sz w:val="24"/>
        </w:rPr>
        <w:pict>
          <v:shape id="自选图形 61" o:spid="_x0000_s1323" o:spt="109" type="#_x0000_t109" style="position:absolute;left:0pt;margin-left:-23.4pt;margin-top:14.4pt;height:46.8pt;width:117pt;z-index:251881472;mso-width-relative:page;mso-height-relative:page;" coordsize="21600,21600">
            <v:path/>
            <v:fill focussize="0,0"/>
            <v:stroke/>
            <v:imagedata o:title=""/>
            <o:lock v:ext="edit"/>
            <v:textbox inset="2.54mm,2mm,2.54mm,2mm">
              <w:txbxContent>
                <w:p>
                  <w:pPr>
                    <w:rPr>
                      <w:rFonts w:hint="eastAsia" w:ascii="仿宋_GB2312" w:eastAsia="仿宋_GB2312"/>
                      <w:lang w:val="zh-CN"/>
                    </w:rPr>
                  </w:pPr>
                  <w:r>
                    <w:rPr>
                      <w:rFonts w:hint="eastAsia" w:ascii="仿宋_GB2312" w:eastAsia="仿宋_GB2312"/>
                      <w:lang w:val="zh-CN"/>
                    </w:rPr>
                    <w:t>聘用部门提交《兼课教师计划表》</w:t>
                  </w: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p>
                  <w:pPr>
                    <w:jc w:val="center"/>
                    <w:rPr>
                      <w:rFonts w:hint="eastAsia" w:ascii="仿宋_GB2312" w:eastAsia="仿宋_GB2312"/>
                      <w:lang w:val="zh-CN"/>
                    </w:rPr>
                  </w:pPr>
                </w:p>
              </w:txbxContent>
            </v:textbox>
          </v:shape>
        </w:pict>
      </w:r>
    </w:p>
    <w:p>
      <w:pPr>
        <w:pageBreakBefore w:val="0"/>
        <w:tabs>
          <w:tab w:val="left" w:pos="5824"/>
        </w:tabs>
        <w:topLinePunct w:val="0"/>
        <w:bidi w:val="0"/>
        <w:outlineLvl w:val="9"/>
        <w:rPr>
          <w:rFonts w:eastAsia="仿宋_GB2312"/>
          <w:sz w:val="24"/>
        </w:rPr>
      </w:pPr>
      <w:r>
        <w:rPr>
          <w:rFonts w:eastAsia="仿宋_GB2312"/>
          <w:b/>
          <w:color w:val="FF0000"/>
          <w:sz w:val="24"/>
        </w:rPr>
        <w:pict>
          <v:line id="_x0000_s1324" o:spid="_x0000_s1324" o:spt="20" style="position:absolute;left:0pt;margin-left:246.6pt;margin-top:3.75pt;height:0pt;width:81pt;z-index:251874304;mso-width-relative:page;mso-height-relative:page;" filled="f" coordsize="21600,21600">
            <v:path arrowok="t"/>
            <v:fill on="f" focussize="0,0"/>
            <v:stroke endarrow="block"/>
            <v:imagedata o:title=""/>
            <o:lock v:ext="edit"/>
          </v:line>
        </w:pict>
      </w:r>
    </w:p>
    <w:p>
      <w:pPr>
        <w:pageBreakBefore w:val="0"/>
        <w:tabs>
          <w:tab w:val="left" w:pos="5824"/>
        </w:tabs>
        <w:topLinePunct w:val="0"/>
        <w:bidi w:val="0"/>
        <w:outlineLvl w:val="9"/>
        <w:rPr>
          <w:rFonts w:eastAsia="仿宋_GB2312"/>
          <w:sz w:val="24"/>
        </w:rPr>
      </w:pPr>
      <w:r>
        <w:rPr>
          <w:rFonts w:eastAsia="仿宋_GB2312"/>
          <w:b/>
          <w:color w:val="FF0000"/>
          <w:sz w:val="24"/>
        </w:rPr>
        <w:pict>
          <v:line id="_x0000_s1325" o:spid="_x0000_s1325" o:spt="20" style="position:absolute;left:0pt;margin-left:93.6pt;margin-top:9.9pt;height:0pt;width:234pt;z-index:251882496;mso-width-relative:page;mso-height-relative:page;" filled="f" coordsize="21600,21600">
            <v:path arrowok="t"/>
            <v:fill on="f" focussize="0,0"/>
            <v:stroke endarrow="block"/>
            <v:imagedata o:title=""/>
            <o:lock v:ext="edit"/>
          </v:line>
        </w:pict>
      </w:r>
    </w:p>
    <w:p>
      <w:pPr>
        <w:pageBreakBefore w:val="0"/>
        <w:tabs>
          <w:tab w:val="left" w:pos="5824"/>
        </w:tabs>
        <w:topLinePunct w:val="0"/>
        <w:bidi w:val="0"/>
        <w:outlineLvl w:val="9"/>
        <w:rPr>
          <w:rFonts w:eastAsia="仿宋_GB2312"/>
          <w:sz w:val="24"/>
        </w:rPr>
      </w:pPr>
    </w:p>
    <w:p>
      <w:pPr>
        <w:pageBreakBefore w:val="0"/>
        <w:tabs>
          <w:tab w:val="left" w:pos="5824"/>
        </w:tabs>
        <w:topLinePunct w:val="0"/>
        <w:bidi w:val="0"/>
        <w:outlineLvl w:val="9"/>
        <w:rPr>
          <w:rFonts w:eastAsia="仿宋_GB2312"/>
          <w:sz w:val="24"/>
        </w:rPr>
      </w:pPr>
    </w:p>
    <w:p>
      <w:pPr>
        <w:pageBreakBefore w:val="0"/>
        <w:tabs>
          <w:tab w:val="left" w:pos="5824"/>
        </w:tabs>
        <w:topLinePunct w:val="0"/>
        <w:bidi w:val="0"/>
        <w:outlineLvl w:val="9"/>
        <w:rPr>
          <w:rFonts w:eastAsia="仿宋_GB2312"/>
          <w:sz w:val="24"/>
        </w:rPr>
      </w:pPr>
      <w:r>
        <w:rPr>
          <w:rFonts w:eastAsia="仿宋_GB2312"/>
          <w:b/>
          <w:color w:val="FF0000"/>
          <w:sz w:val="24"/>
        </w:rPr>
        <w:pict>
          <v:shape id="_x0000_s1326" o:spid="_x0000_s1326" o:spt="109" type="#_x0000_t109" style="position:absolute;left:0pt;margin-left:144pt;margin-top:4.65pt;height:35.7pt;width:135pt;z-index:251871232;mso-width-relative:page;mso-height-relative:page;" coordsize="21600,21600">
            <v:path/>
            <v:fill focussize="0,0"/>
            <v:stroke/>
            <v:imagedata o:title=""/>
            <o:lock v:ext="edit"/>
            <v:textbox inset="2.54mm,2mm,2.54mm,2mm">
              <w:txbxContent>
                <w:p>
                  <w:pPr>
                    <w:rPr>
                      <w:rFonts w:hint="eastAsia"/>
                    </w:rPr>
                  </w:pPr>
                  <w:r>
                    <w:rPr>
                      <w:rFonts w:hint="eastAsia" w:ascii="仿宋_GB2312" w:eastAsia="仿宋_GB2312"/>
                      <w:lang w:val="zh-CN"/>
                    </w:rPr>
                    <w:t>聘用部门下发教师任务书</w:t>
                  </w:r>
                </w:p>
              </w:txbxContent>
            </v:textbox>
          </v:shape>
        </w:pict>
      </w:r>
    </w:p>
    <w:p>
      <w:pPr>
        <w:pageBreakBefore w:val="0"/>
        <w:topLinePunct w:val="0"/>
        <w:bidi w:val="0"/>
        <w:ind w:firstLine="5301" w:firstLineChars="2200"/>
        <w:outlineLvl w:val="9"/>
        <w:rPr>
          <w:rFonts w:eastAsia="仿宋_GB2312"/>
          <w:sz w:val="32"/>
          <w:szCs w:val="32"/>
        </w:rPr>
      </w:pPr>
      <w:r>
        <w:rPr>
          <w:rFonts w:eastAsia="仿宋_GB2312"/>
          <w:b/>
          <w:color w:val="FF0000"/>
          <w:sz w:val="24"/>
        </w:rPr>
        <w:pict>
          <v:line id="直线 52" o:spid="_x0000_s1327" o:spt="20" style="position:absolute;left:0pt;flip:x;margin-left:210.6pt;margin-top:24.55pt;height:30.8pt;width:0pt;z-index:251872256;mso-width-relative:page;mso-height-relative:page;" filled="f" coordsize="21600,21600">
            <v:path arrowok="t"/>
            <v:fill on="f" focussize="0,0"/>
            <v:stroke endarrow="block"/>
            <v:imagedata o:title=""/>
            <o:lock v:ext="edit"/>
          </v:line>
        </w:pict>
      </w:r>
    </w:p>
    <w:p>
      <w:pPr>
        <w:pageBreakBefore w:val="0"/>
        <w:topLinePunct w:val="0"/>
        <w:bidi w:val="0"/>
        <w:ind w:firstLine="5301" w:firstLineChars="2200"/>
        <w:outlineLvl w:val="9"/>
        <w:rPr>
          <w:rFonts w:eastAsia="仿宋_GB2312"/>
          <w:sz w:val="32"/>
          <w:szCs w:val="32"/>
        </w:rPr>
      </w:pPr>
      <w:r>
        <w:rPr>
          <w:rFonts w:eastAsia="仿宋_GB2312"/>
          <w:b/>
          <w:color w:val="FF0000"/>
          <w:sz w:val="24"/>
        </w:rPr>
        <w:pict>
          <v:shape id="_x0000_s1328" o:spid="_x0000_s1328" o:spt="116" type="#_x0000_t116" style="position:absolute;left:0pt;margin-left:144pt;margin-top:30.25pt;height:39pt;width:135pt;z-index:251873280;mso-width-relative:page;mso-height-relative:page;" coordsize="21600,21600">
            <v:path/>
            <v:fill focussize="0,0"/>
            <v:stroke/>
            <v:imagedata o:title=""/>
            <o:lock v:ext="edit"/>
            <v:textbox>
              <w:txbxContent>
                <w:p>
                  <w:pPr>
                    <w:jc w:val="center"/>
                    <w:rPr>
                      <w:rFonts w:hint="eastAsia" w:ascii="仿宋_GB2312" w:eastAsia="仿宋_GB2312"/>
                      <w:lang w:val="zh-CN"/>
                    </w:rPr>
                  </w:pPr>
                  <w:r>
                    <w:rPr>
                      <w:rFonts w:hint="eastAsia" w:ascii="仿宋_GB2312" w:eastAsia="仿宋_GB2312"/>
                      <w:lang w:val="zh-CN"/>
                    </w:rPr>
                    <w:t>兼课教师授课</w:t>
                  </w:r>
                </w:p>
              </w:txbxContent>
            </v:textbox>
          </v:shape>
        </w:pict>
      </w:r>
      <w:r>
        <w:rPr>
          <w:rFonts w:eastAsia="仿宋_GB2312"/>
          <w:b/>
          <w:color w:val="FF0000"/>
          <w:sz w:val="24"/>
        </w:rPr>
        <w:pict>
          <v:shape id="自选图形 57" o:spid="_x0000_s1329" o:spt="109" type="#_x0000_t109" style="position:absolute;left:0pt;margin-left:-23.4pt;margin-top:4.75pt;height:46.8pt;width:113.4pt;z-index:251877376;mso-width-relative:page;mso-height-relative:page;" coordsize="21600,21600">
            <v:path/>
            <v:fill focussize="0,0"/>
            <v:stroke/>
            <v:imagedata o:title=""/>
            <o:lock v:ext="edit"/>
            <v:textbox inset="2.54mm,2mm,2.54mm,2mm">
              <w:txbxContent>
                <w:p>
                  <w:pPr>
                    <w:rPr>
                      <w:rFonts w:hint="eastAsia" w:ascii="仿宋_GB2312" w:eastAsia="仿宋_GB2312"/>
                      <w:lang w:val="zh-CN"/>
                    </w:rPr>
                  </w:pPr>
                  <w:r>
                    <w:rPr>
                      <w:rFonts w:hint="eastAsia" w:ascii="仿宋_GB2312" w:eastAsia="仿宋_GB2312"/>
                      <w:lang w:val="zh-CN"/>
                    </w:rPr>
                    <w:t>聘用部门更换或新增兼课教师</w:t>
                  </w:r>
                </w:p>
              </w:txbxContent>
            </v:textbox>
          </v:shape>
        </w:pict>
      </w:r>
    </w:p>
    <w:p>
      <w:pPr>
        <w:pageBreakBefore w:val="0"/>
        <w:topLinePunct w:val="0"/>
        <w:bidi w:val="0"/>
        <w:ind w:firstLine="5301" w:firstLineChars="2200"/>
        <w:outlineLvl w:val="9"/>
        <w:rPr>
          <w:rFonts w:eastAsia="仿宋_GB2312"/>
          <w:sz w:val="32"/>
          <w:szCs w:val="32"/>
        </w:rPr>
      </w:pPr>
      <w:r>
        <w:rPr>
          <w:rFonts w:eastAsia="仿宋_GB2312"/>
          <w:b/>
          <w:color w:val="FF0000"/>
          <w:sz w:val="24"/>
        </w:rPr>
        <w:pict>
          <v:line id="_x0000_s1330" o:spid="_x0000_s1330" o:spt="20" style="position:absolute;left:0pt;margin-left:-50.4pt;margin-top:0.35pt;height:0pt;width:27pt;z-index:251880448;mso-width-relative:page;mso-height-relative:page;" filled="f" coordsize="21600,21600">
            <v:path arrowok="t"/>
            <v:fill on="f" focussize="0,0"/>
            <v:stroke/>
            <v:imagedata o:title=""/>
            <o:lock v:ext="edit"/>
          </v:line>
        </w:pict>
      </w:r>
    </w:p>
    <w:p>
      <w:pPr>
        <w:pageBreakBefore w:val="0"/>
        <w:topLinePunct w:val="0"/>
        <w:bidi w:val="0"/>
        <w:spacing w:line="560" w:lineRule="exact"/>
        <w:outlineLvl w:val="9"/>
        <w:rPr>
          <w:rFonts w:hint="eastAsia" w:eastAsia="黑体"/>
          <w:sz w:val="32"/>
          <w:szCs w:val="32"/>
        </w:rPr>
      </w:pPr>
    </w:p>
    <w:p>
      <w:pPr>
        <w:pageBreakBefore w:val="0"/>
        <w:topLinePunct w:val="0"/>
        <w:bidi w:val="0"/>
        <w:spacing w:line="560" w:lineRule="exact"/>
        <w:outlineLvl w:val="9"/>
        <w:rPr>
          <w:rFonts w:hint="eastAsia" w:eastAsia="黑体"/>
          <w:sz w:val="32"/>
          <w:szCs w:val="32"/>
        </w:rPr>
      </w:pPr>
    </w:p>
    <w:p>
      <w:pPr>
        <w:pageBreakBefore w:val="0"/>
        <w:topLinePunct w:val="0"/>
        <w:bidi w:val="0"/>
        <w:spacing w:line="560" w:lineRule="exact"/>
        <w:outlineLvl w:val="9"/>
        <w:rPr>
          <w:rFonts w:hint="eastAsia" w:eastAsia="黑体"/>
          <w:sz w:val="32"/>
          <w:szCs w:val="32"/>
        </w:rPr>
      </w:pPr>
    </w:p>
    <w:p>
      <w:pPr>
        <w:pStyle w:val="34"/>
        <w:pageBreakBefore w:val="0"/>
        <w:widowControl/>
        <w:shd w:val="clear" w:color="auto" w:fill="FFFFFF"/>
        <w:topLinePunct w:val="0"/>
        <w:bidi w:val="0"/>
        <w:spacing w:beforeAutospacing="0" w:afterAutospacing="0" w:line="315" w:lineRule="atLeast"/>
        <w:jc w:val="center"/>
        <w:outlineLvl w:val="9"/>
        <w:rPr>
          <w:rFonts w:hint="eastAsia" w:ascii="微软雅黑" w:hAnsi="微软雅黑" w:eastAsia="微软雅黑" w:cs="微软雅黑"/>
          <w:b/>
          <w:bCs/>
          <w:sz w:val="30"/>
          <w:szCs w:val="30"/>
          <w:shd w:val="clear" w:color="auto" w:fill="FFFFFF"/>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rPr>
        <w:t>上海电子信息职业技术学院文件</w:t>
      </w:r>
    </w:p>
    <w:p>
      <w:pPr>
        <w:pageBreakBefore w:val="0"/>
        <w:topLinePunct w:val="0"/>
        <w:bidi w:val="0"/>
        <w:ind w:left="-330" w:leftChars="-200" w:right="-158" w:rightChars="-75" w:hanging="90" w:hangingChars="43"/>
        <w:jc w:val="center"/>
        <w:outlineLvl w:val="9"/>
      </w:pPr>
      <w:r>
        <w:t xml:space="preserve"> </w:t>
      </w:r>
    </w:p>
    <w:p>
      <w:pPr>
        <w:pageBreakBefore w:val="0"/>
        <w:topLinePunct w:val="0"/>
        <w:bidi w:val="0"/>
        <w:outlineLvl w:val="9"/>
      </w:pPr>
      <w:r>
        <w:tab/>
      </w:r>
      <w:r>
        <w:tab/>
      </w:r>
      <w:r>
        <w:tab/>
      </w:r>
      <w:r>
        <w:tab/>
      </w:r>
      <w:r>
        <w:tab/>
      </w:r>
      <w:r>
        <w:tab/>
      </w:r>
      <w:r>
        <w:tab/>
      </w:r>
      <w:r>
        <w:tab/>
      </w:r>
      <w:r>
        <w:tab/>
      </w:r>
      <w:r>
        <w:t xml:space="preserve">  </w:t>
      </w:r>
    </w:p>
    <w:p>
      <w:pPr>
        <w:pageBreakBefore w:val="0"/>
        <w:topLinePunct w:val="0"/>
        <w:bidi w:val="0"/>
        <w:spacing w:before="156" w:beforeLines="50"/>
        <w:ind w:left="-735" w:leftChars="-350" w:firstLine="640"/>
        <w:jc w:val="center"/>
        <w:outlineLvl w:val="9"/>
        <w:rPr>
          <w:rFonts w:eastAsia="仿宋_GB2312"/>
          <w:color w:val="000000"/>
          <w:kern w:val="0"/>
          <w:sz w:val="32"/>
          <w:szCs w:val="28"/>
        </w:rPr>
      </w:pPr>
      <w:r>
        <w:rPr>
          <w:rFonts w:eastAsia="仿宋_GB2312"/>
          <w:color w:val="000000"/>
          <w:kern w:val="0"/>
          <w:sz w:val="32"/>
          <w:szCs w:val="28"/>
        </w:rPr>
        <w:t>沪电信职院</w:t>
      </w:r>
      <w:r>
        <w:rPr>
          <w:rFonts w:eastAsia="仿宋_GB2312"/>
          <w:kern w:val="0"/>
          <w:sz w:val="32"/>
          <w:szCs w:val="28"/>
        </w:rPr>
        <w:t>〔20</w:t>
      </w:r>
      <w:r>
        <w:rPr>
          <w:rFonts w:hint="eastAsia" w:eastAsia="仿宋_GB2312"/>
          <w:kern w:val="0"/>
          <w:sz w:val="32"/>
          <w:szCs w:val="28"/>
        </w:rPr>
        <w:t>2</w:t>
      </w:r>
      <w:r>
        <w:rPr>
          <w:rFonts w:hint="eastAsia" w:eastAsia="仿宋_GB2312"/>
          <w:kern w:val="0"/>
          <w:sz w:val="32"/>
          <w:szCs w:val="28"/>
          <w:lang w:val="en-US" w:eastAsia="zh-CN"/>
        </w:rPr>
        <w:t>1</w:t>
      </w:r>
      <w:r>
        <w:rPr>
          <w:rFonts w:eastAsia="仿宋_GB2312"/>
          <w:kern w:val="0"/>
          <w:sz w:val="32"/>
          <w:szCs w:val="28"/>
        </w:rPr>
        <w:t>〕</w:t>
      </w:r>
      <w:r>
        <w:rPr>
          <w:rFonts w:hint="eastAsia" w:eastAsia="仿宋_GB2312"/>
          <w:kern w:val="0"/>
          <w:sz w:val="32"/>
          <w:szCs w:val="28"/>
          <w:lang w:val="en-US" w:eastAsia="zh-CN"/>
        </w:rPr>
        <w:t>128</w:t>
      </w:r>
      <w:r>
        <w:rPr>
          <w:rFonts w:eastAsia="仿宋_GB2312"/>
          <w:color w:val="000000"/>
          <w:kern w:val="0"/>
          <w:sz w:val="32"/>
          <w:szCs w:val="28"/>
        </w:rPr>
        <w:t>号</w:t>
      </w:r>
    </w:p>
    <w:p>
      <w:pPr>
        <w:pStyle w:val="34"/>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15" w:lineRule="atLeast"/>
        <w:jc w:val="center"/>
        <w:textAlignment w:val="auto"/>
        <w:outlineLvl w:val="0"/>
        <w:rPr>
          <w:rFonts w:hint="eastAsia" w:ascii="黑体" w:hAnsi="黑体" w:eastAsia="黑体" w:cs="黑体"/>
          <w:b/>
          <w:kern w:val="0"/>
          <w:sz w:val="36"/>
          <w:szCs w:val="36"/>
        </w:rPr>
      </w:pPr>
      <w:bookmarkStart w:id="369" w:name="_Toc15214"/>
      <w:r>
        <w:rPr>
          <w:rFonts w:hint="eastAsia" w:ascii="黑体" w:hAnsi="黑体" w:eastAsia="黑体" w:cs="黑体"/>
          <w:b/>
          <w:kern w:val="0"/>
          <w:sz w:val="36"/>
          <w:szCs w:val="36"/>
        </w:rPr>
        <w:t>关于印发《上海电子信息职业技术学院非学历教育和培训办班管理办法（试行）》的通知</w:t>
      </w:r>
      <w:bookmarkEnd w:id="369"/>
    </w:p>
    <w:p>
      <w:pPr>
        <w:pageBreakBefore w:val="0"/>
        <w:topLinePunct w:val="0"/>
        <w:bidi w:val="0"/>
        <w:spacing w:before="312" w:beforeLines="100" w:line="560" w:lineRule="exact"/>
        <w:outlineLvl w:val="9"/>
        <w:rPr>
          <w:rFonts w:hint="eastAsia" w:ascii="仿宋_GB2312" w:eastAsia="仿宋_GB2312"/>
          <w:color w:val="000000"/>
          <w:kern w:val="0"/>
          <w:sz w:val="28"/>
          <w:szCs w:val="28"/>
        </w:rPr>
      </w:pPr>
      <w:r>
        <w:rPr>
          <w:rFonts w:hint="eastAsia" w:ascii="仿宋_GB2312" w:eastAsia="仿宋_GB2312"/>
          <w:color w:val="000000"/>
          <w:kern w:val="0"/>
          <w:sz w:val="28"/>
          <w:szCs w:val="28"/>
        </w:rPr>
        <w:t>各教学单位、职能部门：</w:t>
      </w:r>
    </w:p>
    <w:p>
      <w:pPr>
        <w:pageBreakBefore w:val="0"/>
        <w:topLinePunct w:val="0"/>
        <w:bidi w:val="0"/>
        <w:spacing w:line="360" w:lineRule="auto"/>
        <w:ind w:firstLine="560" w:firstLineChars="200"/>
        <w:jc w:val="left"/>
        <w:outlineLvl w:val="9"/>
        <w:rPr>
          <w:rFonts w:hint="eastAsia" w:ascii="仿宋_GB2312" w:eastAsia="仿宋_GB2312"/>
          <w:color w:val="000000"/>
          <w:kern w:val="0"/>
          <w:sz w:val="28"/>
          <w:szCs w:val="28"/>
        </w:rPr>
      </w:pPr>
      <w:r>
        <w:rPr>
          <w:rFonts w:hint="eastAsia" w:ascii="仿宋_GB2312" w:eastAsia="仿宋_GB2312"/>
          <w:color w:val="000000"/>
          <w:kern w:val="0"/>
          <w:sz w:val="28"/>
          <w:szCs w:val="28"/>
        </w:rPr>
        <w:t>现将《上海电子信息职业技术学院非学历教育和培训办班管理办法（试行）》印发给你们，请结合本部门工作实际，认真研究执行。</w:t>
      </w:r>
    </w:p>
    <w:p>
      <w:pPr>
        <w:pageBreakBefore w:val="0"/>
        <w:widowControl/>
        <w:topLinePunct w:val="0"/>
        <w:bidi w:val="0"/>
        <w:adjustRightInd w:val="0"/>
        <w:snapToGrid w:val="0"/>
        <w:spacing w:line="500" w:lineRule="exact"/>
        <w:outlineLvl w:val="9"/>
        <w:rPr>
          <w:rFonts w:hint="eastAsia" w:ascii="仿宋_GB2312" w:hAnsi="Calibri" w:eastAsia="仿宋_GB2312"/>
          <w:color w:val="000000"/>
          <w:kern w:val="0"/>
          <w:sz w:val="28"/>
          <w:szCs w:val="28"/>
        </w:rPr>
      </w:pPr>
    </w:p>
    <w:p>
      <w:pPr>
        <w:pageBreakBefore w:val="0"/>
        <w:widowControl/>
        <w:topLinePunct w:val="0"/>
        <w:bidi w:val="0"/>
        <w:spacing w:line="500" w:lineRule="exact"/>
        <w:jc w:val="left"/>
        <w:outlineLvl w:val="9"/>
        <w:rPr>
          <w:rFonts w:hint="eastAsia" w:ascii="仿宋_GB2312" w:hAnsi="Calibri" w:eastAsia="仿宋_GB2312"/>
          <w:color w:val="000000"/>
          <w:kern w:val="0"/>
          <w:sz w:val="28"/>
          <w:szCs w:val="28"/>
        </w:rPr>
      </w:pPr>
    </w:p>
    <w:p>
      <w:pPr>
        <w:pageBreakBefore w:val="0"/>
        <w:widowControl/>
        <w:topLinePunct w:val="0"/>
        <w:bidi w:val="0"/>
        <w:spacing w:line="500" w:lineRule="exact"/>
        <w:jc w:val="left"/>
        <w:outlineLvl w:val="9"/>
        <w:rPr>
          <w:rFonts w:hint="eastAsia" w:ascii="仿宋_GB2312" w:hAnsi="Calibri" w:eastAsia="仿宋_GB2312"/>
          <w:color w:val="000000"/>
          <w:kern w:val="0"/>
          <w:sz w:val="28"/>
          <w:szCs w:val="28"/>
        </w:rPr>
      </w:pPr>
    </w:p>
    <w:p>
      <w:pPr>
        <w:pageBreakBefore w:val="0"/>
        <w:widowControl/>
        <w:topLinePunct w:val="0"/>
        <w:bidi w:val="0"/>
        <w:spacing w:line="500" w:lineRule="exact"/>
        <w:jc w:val="left"/>
        <w:outlineLvl w:val="9"/>
        <w:rPr>
          <w:rFonts w:hint="eastAsia" w:ascii="仿宋_GB2312" w:hAnsi="Calibri" w:eastAsia="仿宋_GB2312"/>
          <w:color w:val="000000"/>
          <w:kern w:val="0"/>
          <w:sz w:val="28"/>
          <w:szCs w:val="28"/>
        </w:rPr>
      </w:pPr>
    </w:p>
    <w:p>
      <w:pPr>
        <w:pageBreakBefore w:val="0"/>
        <w:widowControl/>
        <w:topLinePunct w:val="0"/>
        <w:bidi w:val="0"/>
        <w:spacing w:line="500" w:lineRule="exact"/>
        <w:jc w:val="left"/>
        <w:outlineLvl w:val="9"/>
        <w:rPr>
          <w:rFonts w:hint="eastAsia" w:ascii="仿宋_GB2312" w:hAnsi="宋体" w:eastAsia="仿宋_GB2312" w:cs="宋体"/>
          <w:kern w:val="0"/>
          <w:sz w:val="28"/>
          <w:szCs w:val="28"/>
        </w:rPr>
      </w:pPr>
      <w:r>
        <w:rPr>
          <w:rFonts w:hint="eastAsia" w:ascii="仿宋_GB2312" w:hAnsi="Calibri" w:eastAsia="仿宋_GB2312"/>
          <w:color w:val="000000"/>
          <w:kern w:val="0"/>
          <w:sz w:val="28"/>
          <w:szCs w:val="28"/>
        </w:rPr>
        <w:t>附件：上海电子信息职业技术学院</w:t>
      </w:r>
      <w:r>
        <w:rPr>
          <w:rFonts w:hint="eastAsia" w:ascii="仿宋_GB2312" w:eastAsia="仿宋_GB2312"/>
          <w:color w:val="000000"/>
          <w:kern w:val="0"/>
          <w:sz w:val="28"/>
          <w:szCs w:val="28"/>
        </w:rPr>
        <w:t>非学历教育和培训办班管理办法（试行）</w:t>
      </w:r>
    </w:p>
    <w:p>
      <w:pPr>
        <w:pageBreakBefore w:val="0"/>
        <w:topLinePunct w:val="0"/>
        <w:bidi w:val="0"/>
        <w:spacing w:line="500" w:lineRule="exact"/>
        <w:jc w:val="center"/>
        <w:outlineLvl w:val="9"/>
        <w:rPr>
          <w:rFonts w:hint="eastAsia" w:ascii="仿宋_GB2312" w:eastAsia="仿宋_GB2312"/>
          <w:sz w:val="28"/>
          <w:szCs w:val="28"/>
        </w:rPr>
      </w:pPr>
      <w:r>
        <w:rPr>
          <w:rFonts w:hint="eastAsia" w:ascii="仿宋_GB2312" w:eastAsia="仿宋_GB2312"/>
          <w:sz w:val="28"/>
          <w:szCs w:val="28"/>
        </w:rPr>
        <w:t xml:space="preserve">               </w:t>
      </w:r>
    </w:p>
    <w:p>
      <w:pPr>
        <w:pageBreakBefore w:val="0"/>
        <w:topLinePunct w:val="0"/>
        <w:bidi w:val="0"/>
        <w:spacing w:line="500" w:lineRule="exact"/>
        <w:ind w:left="1693" w:leftChars="806" w:firstLine="1260" w:firstLineChars="450"/>
        <w:outlineLvl w:val="9"/>
        <w:rPr>
          <w:rFonts w:hint="eastAsia" w:ascii="仿宋_GB2312" w:eastAsia="仿宋_GB2312"/>
          <w:sz w:val="28"/>
          <w:szCs w:val="28"/>
        </w:rPr>
      </w:pPr>
    </w:p>
    <w:p>
      <w:pPr>
        <w:pageBreakBefore w:val="0"/>
        <w:topLinePunct w:val="0"/>
        <w:bidi w:val="0"/>
        <w:spacing w:line="500" w:lineRule="exact"/>
        <w:ind w:left="1693" w:leftChars="806" w:firstLine="1820" w:firstLineChars="650"/>
        <w:jc w:val="right"/>
        <w:outlineLvl w:val="9"/>
        <w:rPr>
          <w:rFonts w:hint="eastAsia" w:ascii="仿宋_GB2312" w:eastAsia="仿宋_GB2312"/>
          <w:sz w:val="28"/>
          <w:szCs w:val="28"/>
        </w:rPr>
      </w:pPr>
      <w:r>
        <w:rPr>
          <w:rFonts w:hint="eastAsia" w:ascii="仿宋_GB2312" w:eastAsia="仿宋_GB2312"/>
          <w:sz w:val="28"/>
          <w:szCs w:val="28"/>
        </w:rPr>
        <w:t>上海电子信息职业技术学院</w:t>
      </w:r>
      <w:r>
        <w:rPr>
          <w:rFonts w:hint="eastAsia" w:ascii="仿宋_GB2312" w:eastAsia="仿宋_GB2312"/>
          <w:sz w:val="28"/>
          <w:szCs w:val="28"/>
        </w:rPr>
        <w:br w:type="textWrapping"/>
      </w:r>
      <w:r>
        <w:rPr>
          <w:rFonts w:hint="eastAsia" w:ascii="仿宋_GB2312" w:eastAsia="仿宋_GB2312"/>
          <w:sz w:val="28"/>
          <w:szCs w:val="28"/>
        </w:rPr>
        <w:t xml:space="preserve">                 </w:t>
      </w:r>
      <w:r>
        <w:rPr>
          <w:rFonts w:hint="eastAsia" w:ascii="仿宋_GB2312" w:eastAsia="仿宋_GB2312"/>
          <w:sz w:val="28"/>
          <w:szCs w:val="28"/>
          <w:lang w:val="en-US" w:eastAsia="zh-CN"/>
        </w:rPr>
        <w:t xml:space="preserve"> </w:t>
      </w:r>
      <w:r>
        <w:rPr>
          <w:rFonts w:hint="eastAsia" w:ascii="仿宋_GB2312" w:eastAsia="仿宋_GB2312"/>
          <w:sz w:val="28"/>
          <w:szCs w:val="28"/>
        </w:rPr>
        <w:t xml:space="preserve"> 202</w:t>
      </w:r>
      <w:r>
        <w:rPr>
          <w:rFonts w:hint="eastAsia" w:ascii="仿宋_GB2312" w:eastAsia="仿宋_GB2312"/>
          <w:sz w:val="28"/>
          <w:szCs w:val="28"/>
          <w:lang w:val="en-US" w:eastAsia="zh-CN"/>
        </w:rPr>
        <w:t>1</w:t>
      </w:r>
      <w:r>
        <w:rPr>
          <w:rFonts w:hint="eastAsia" w:ascii="仿宋_GB2312" w:eastAsia="仿宋_GB2312"/>
          <w:sz w:val="28"/>
          <w:szCs w:val="28"/>
        </w:rPr>
        <w:t>年</w:t>
      </w:r>
      <w:r>
        <w:rPr>
          <w:rFonts w:hint="eastAsia" w:ascii="仿宋_GB2312" w:eastAsia="仿宋_GB2312"/>
          <w:sz w:val="28"/>
          <w:szCs w:val="28"/>
          <w:lang w:val="en-US" w:eastAsia="zh-CN"/>
        </w:rPr>
        <w:t>11</w:t>
      </w:r>
      <w:r>
        <w:rPr>
          <w:rFonts w:hint="eastAsia" w:ascii="仿宋_GB2312" w:eastAsia="仿宋_GB2312"/>
          <w:sz w:val="28"/>
          <w:szCs w:val="28"/>
        </w:rPr>
        <w:t>月</w:t>
      </w:r>
      <w:r>
        <w:rPr>
          <w:rFonts w:hint="eastAsia" w:ascii="仿宋_GB2312" w:eastAsia="仿宋_GB2312"/>
          <w:sz w:val="28"/>
          <w:szCs w:val="28"/>
          <w:lang w:val="en-US" w:eastAsia="zh-CN"/>
        </w:rPr>
        <w:t>15</w:t>
      </w:r>
      <w:r>
        <w:rPr>
          <w:rFonts w:hint="eastAsia" w:ascii="仿宋_GB2312" w:eastAsia="仿宋_GB2312"/>
          <w:sz w:val="28"/>
          <w:szCs w:val="28"/>
        </w:rPr>
        <w:t>日</w:t>
      </w:r>
    </w:p>
    <w:p>
      <w:pPr>
        <w:pageBreakBefore w:val="0"/>
        <w:topLinePunct w:val="0"/>
        <w:bidi w:val="0"/>
        <w:spacing w:line="500" w:lineRule="exact"/>
        <w:ind w:left="1693" w:leftChars="806" w:firstLine="2080" w:firstLineChars="650"/>
        <w:outlineLvl w:val="9"/>
        <w:rPr>
          <w:rFonts w:hint="eastAsia" w:ascii="仿宋_GB2312" w:eastAsia="仿宋_GB2312"/>
          <w:sz w:val="32"/>
          <w:szCs w:val="32"/>
        </w:rPr>
      </w:pPr>
    </w:p>
    <w:p>
      <w:pPr>
        <w:pStyle w:val="34"/>
        <w:pageBreakBefore w:val="0"/>
        <w:widowControl/>
        <w:shd w:val="clear" w:color="auto" w:fill="FFFFFF"/>
        <w:topLinePunct w:val="0"/>
        <w:bidi w:val="0"/>
        <w:spacing w:beforeAutospacing="0" w:afterAutospacing="0" w:line="315" w:lineRule="atLeast"/>
        <w:jc w:val="both"/>
        <w:outlineLvl w:val="9"/>
        <w:rPr>
          <w:rFonts w:hint="eastAsia" w:ascii="仿宋_GB2312" w:hAnsi="仿宋_GB2312" w:eastAsia="仿宋_GB2312" w:cs="仿宋_GB2312"/>
          <w:b w:val="0"/>
          <w:bCs w:val="0"/>
          <w:sz w:val="30"/>
          <w:szCs w:val="30"/>
          <w:shd w:val="clear" w:color="auto" w:fill="FFFFFF"/>
          <w:lang w:val="en-US" w:eastAsia="zh-CN"/>
        </w:rPr>
      </w:pPr>
      <w:r>
        <w:rPr>
          <w:rFonts w:hint="eastAsia" w:ascii="仿宋_GB2312" w:hAnsi="仿宋_GB2312" w:eastAsia="仿宋_GB2312" w:cs="仿宋_GB2312"/>
          <w:b w:val="0"/>
          <w:bCs w:val="0"/>
          <w:sz w:val="30"/>
          <w:szCs w:val="30"/>
          <w:shd w:val="clear" w:color="auto" w:fill="FFFFFF"/>
          <w:lang w:val="en-US" w:eastAsia="zh-CN"/>
        </w:rPr>
        <w:t>附件</w:t>
      </w:r>
    </w:p>
    <w:p>
      <w:pPr>
        <w:pStyle w:val="34"/>
        <w:pageBreakBefore w:val="0"/>
        <w:widowControl/>
        <w:shd w:val="clear" w:color="auto" w:fill="FFFFFF"/>
        <w:topLinePunct w:val="0"/>
        <w:bidi w:val="0"/>
        <w:spacing w:beforeAutospacing="0" w:afterAutospacing="0" w:line="315" w:lineRule="atLeast"/>
        <w:jc w:val="center"/>
        <w:outlineLvl w:val="9"/>
        <w:rPr>
          <w:rFonts w:hint="eastAsia" w:ascii="黑体" w:hAnsi="黑体" w:eastAsia="黑体" w:cs="黑体"/>
          <w:b/>
          <w:bCs/>
          <w:sz w:val="36"/>
          <w:szCs w:val="36"/>
          <w:shd w:val="clear" w:color="auto" w:fill="FFFFFF"/>
        </w:rPr>
      </w:pPr>
      <w:r>
        <w:rPr>
          <w:rFonts w:hint="eastAsia" w:ascii="黑体" w:hAnsi="黑体" w:eastAsia="黑体" w:cs="黑体"/>
          <w:b/>
          <w:bCs/>
          <w:sz w:val="36"/>
          <w:szCs w:val="36"/>
          <w:shd w:val="clear" w:color="auto" w:fill="FFFFFF"/>
        </w:rPr>
        <w:t>上海电子信息职业技术学院</w:t>
      </w:r>
    </w:p>
    <w:p>
      <w:pPr>
        <w:pStyle w:val="34"/>
        <w:pageBreakBefore w:val="0"/>
        <w:widowControl/>
        <w:shd w:val="clear" w:color="auto" w:fill="FFFFFF"/>
        <w:topLinePunct w:val="0"/>
        <w:bidi w:val="0"/>
        <w:spacing w:beforeAutospacing="0" w:afterAutospacing="0" w:line="315" w:lineRule="atLeast"/>
        <w:jc w:val="center"/>
        <w:outlineLvl w:val="9"/>
        <w:rPr>
          <w:rFonts w:hint="eastAsia" w:ascii="黑体" w:hAnsi="黑体" w:eastAsia="黑体" w:cs="黑体"/>
          <w:b/>
          <w:bCs/>
          <w:sz w:val="36"/>
          <w:szCs w:val="36"/>
          <w:shd w:val="clear" w:color="auto" w:fill="FFFFFF"/>
        </w:rPr>
      </w:pPr>
      <w:r>
        <w:rPr>
          <w:rFonts w:hint="eastAsia" w:ascii="黑体" w:hAnsi="黑体" w:eastAsia="黑体" w:cs="黑体"/>
          <w:b/>
          <w:bCs/>
          <w:sz w:val="36"/>
          <w:szCs w:val="36"/>
          <w:shd w:val="clear" w:color="auto" w:fill="FFFFFF"/>
        </w:rPr>
        <w:t>非学历教育和培训办班管理办法（试行）</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根据《上海市教育委员会关于印发本市普通高校开展继续教育工作若干指导意见的通知》（沪教委终〔2010〕16号）及《上海市教育委员会关于关于推进本市普通高校继续教育转型发展的指导意见》（沪教委终〔2017〕4号）文件，为进一步健全和完善我校继续教育归口管理制度，规范我校各类非学历教育和培训办班工作，使其健康、有序地发展，结合我校实际，制定《非学历教育和培训办班管理办法（试行）》办法。</w:t>
      </w:r>
    </w:p>
    <w:p>
      <w:pPr>
        <w:pStyle w:val="34"/>
        <w:pageBreakBefore w:val="0"/>
        <w:widowControl/>
        <w:shd w:val="clear" w:color="auto" w:fill="FFFFFF"/>
        <w:topLinePunct w:val="0"/>
        <w:bidi w:val="0"/>
        <w:spacing w:beforeAutospacing="0" w:afterAutospacing="0" w:line="315" w:lineRule="atLeast"/>
        <w:jc w:val="center"/>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一、培训总则</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本办法所指的非学历教育和培训包括:各类证书、企业定制、职业技能、专业技术、干部培训、文化普及及老年教育或社区教育，但是不包括上级主管部门单位的非竞争性项目和本职工作、学历教育项目、学校房屋场地出租出借、广告项目以及其它认定的不符合社会服务类型的项目。</w:t>
      </w:r>
    </w:p>
    <w:p>
      <w:pPr>
        <w:pageBreakBefore w:val="0"/>
        <w:topLinePunct w:val="0"/>
        <w:bidi w:val="0"/>
        <w:adjustRightInd w:val="0"/>
        <w:snapToGrid w:val="0"/>
        <w:spacing w:line="500"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根据上海市教育委员会（沪教委终〔2010〕16号）文件规定，高校应设立继续教育归口管理职能部门，在主管校长的直接领导下，统一管理及指导全校的继续教育工作，非学历教育由学校继续教育工作领导小组实行统一归口管理，日常工作由继续教育学院具体负责。</w:t>
      </w:r>
    </w:p>
    <w:p>
      <w:pPr>
        <w:pageBreakBefore w:val="0"/>
        <w:topLinePunct w:val="0"/>
        <w:bidi w:val="0"/>
        <w:adjustRightInd w:val="0"/>
        <w:snapToGrid w:val="0"/>
        <w:spacing w:line="500"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 继续教育学院代表学校行使非学历教育和培训的管理职能，所有在校内举办的非学历教育和培训必须纳入学校统一管理范围，对各类非学历教育和培训办班实行统一归口管理。</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原则上所有在校内申报举办非学历教育和培训各类办班的单位，必须是具备教学功能与管理能力的二级学院以及继续教育学院。学校不承担教学任务的职能部门，在完成部门正常工作任务之余，可以与其它具备教学功能与管理能力的二级学院以及继续教育学院合作开展各类培训。</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5.各部门举办各类非学历教育必须履行申报审批手续，经批准后方可举办。任何部门及个人不得私自以学校名义举办或与外单位合作举办非学历教育及培训，凡未经批准而私下办班、或在办班过程中违反学校规定的，一经查实将追究主要责任者和部门领导的责任。对个人冒用学校名义在校内、外办班的，将严肃查处，追回其非法所得;情节严重者，应劝退其公职，并追究其法律责任。</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6.任何部门不得举办以在校中小学生为对象的文化补课和复习辅导班。</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7.各办学单位对所办的非学历教育和培训班的办学质量全面负责，应确保不影响本单位正常教育教学任务。</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8.各类非学历教育和培训班学员进入校园，须遵守校园管理的一切规定，接受学校保卫处和其他管理部门的管理和监督。 </w:t>
      </w:r>
    </w:p>
    <w:p>
      <w:pPr>
        <w:pStyle w:val="34"/>
        <w:pageBreakBefore w:val="0"/>
        <w:widowControl/>
        <w:shd w:val="clear" w:color="auto" w:fill="FFFFFF"/>
        <w:topLinePunct w:val="0"/>
        <w:bidi w:val="0"/>
        <w:spacing w:beforeAutospacing="0" w:afterAutospacing="0" w:line="315" w:lineRule="atLeast"/>
        <w:jc w:val="center"/>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二、培训申办</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 各部门须选派对口继续教育学院的培训管理员。</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各部门举办非学历教育和培训班，培训管理员必须事先填写非学历教育和培训办班申报表（见附件1），申报表须办学部门负责人签字报送继续教育学院审核，审核通过后，继续教育学院负责填写高校社会服务项目认定表上交人事处审核。</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3.继续教育学院收到办学部门的非学历教育和培训办班申报材料后，依照相关规定，审核办学项目的可行性和规范性。</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 非学历教育</w:t>
      </w:r>
      <w:bookmarkStart w:id="370" w:name="_Hlk83364122"/>
      <w:r>
        <w:rPr>
          <w:rFonts w:hint="eastAsia" w:ascii="仿宋_GB2312" w:hAnsi="仿宋_GB2312" w:eastAsia="仿宋_GB2312" w:cs="仿宋_GB2312"/>
          <w:color w:val="auto"/>
          <w:kern w:val="2"/>
          <w:sz w:val="28"/>
          <w:szCs w:val="28"/>
          <w:highlight w:val="none"/>
          <w:lang w:val="en-US" w:eastAsia="zh-CN" w:bidi="ar-SA"/>
        </w:rPr>
        <w:t>和培训</w:t>
      </w:r>
      <w:bookmarkEnd w:id="370"/>
      <w:r>
        <w:rPr>
          <w:rFonts w:hint="eastAsia" w:ascii="仿宋_GB2312" w:hAnsi="仿宋_GB2312" w:eastAsia="仿宋_GB2312" w:cs="仿宋_GB2312"/>
          <w:color w:val="auto"/>
          <w:kern w:val="2"/>
          <w:sz w:val="28"/>
          <w:szCs w:val="28"/>
          <w:highlight w:val="none"/>
          <w:lang w:val="en-US" w:eastAsia="zh-CN" w:bidi="ar-SA"/>
        </w:rPr>
        <w:t>办班申报材料审核通过后，继续教育学院负责填写高校社会服务项目认定表上交人事处，由人事处负责向上级部门递交认定申请，经上级主管部门</w:t>
      </w:r>
      <w:bookmarkStart w:id="371" w:name="_Hlk83364659"/>
      <w:r>
        <w:rPr>
          <w:rFonts w:hint="eastAsia" w:ascii="仿宋_GB2312" w:hAnsi="仿宋_GB2312" w:eastAsia="仿宋_GB2312" w:cs="仿宋_GB2312"/>
          <w:color w:val="auto"/>
          <w:kern w:val="2"/>
          <w:sz w:val="28"/>
          <w:szCs w:val="28"/>
          <w:highlight w:val="none"/>
          <w:lang w:val="en-US" w:eastAsia="zh-CN" w:bidi="ar-SA"/>
        </w:rPr>
        <w:t>认定的社会服务项目</w:t>
      </w:r>
      <w:bookmarkEnd w:id="371"/>
      <w:r>
        <w:rPr>
          <w:rFonts w:hint="eastAsia" w:ascii="仿宋_GB2312" w:hAnsi="仿宋_GB2312" w:eastAsia="仿宋_GB2312" w:cs="仿宋_GB2312"/>
          <w:color w:val="auto"/>
          <w:kern w:val="2"/>
          <w:sz w:val="28"/>
          <w:szCs w:val="28"/>
          <w:highlight w:val="none"/>
          <w:lang w:val="en-US" w:eastAsia="zh-CN" w:bidi="ar-SA"/>
        </w:rPr>
        <w:t>收入可参与绩效工资分配。</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5.申请办学部门提前二周校园网线上填写非学历教育和培训办班的申报表及相关申报材料，办学部门按照申报材料的要求如实填写后，由各部门发起线上申请﹑经部门领导审核、继续教育学院负责人复核及分管领导批准。</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送审材料:</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(1)开班申报表</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(2)学员信息表</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(3)教师信息表</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 收费必须提供培训协议；免费必须有培训通知、协议或招生简章。</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6.使用校内教学资源办学的，根据学校教学资源情况，由教务处和继续教育学院一起统筹安排。</w:t>
      </w:r>
    </w:p>
    <w:p>
      <w:pPr>
        <w:pStyle w:val="34"/>
        <w:pageBreakBefore w:val="0"/>
        <w:widowControl/>
        <w:shd w:val="clear" w:color="auto" w:fill="FFFFFF"/>
        <w:topLinePunct w:val="0"/>
        <w:bidi w:val="0"/>
        <w:spacing w:beforeAutospacing="0" w:afterAutospacing="0" w:line="315" w:lineRule="atLeast"/>
        <w:jc w:val="center"/>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三、组织培训</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1．各办学部门必须明确非学历教育和培训的分管领导并对办学质量全面负责。</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2．各办学部门要按教学要求认真配备教师、管理人员，保证各教学环节的正常运行。</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3．各办学部门要维护学校的正常教学秩序，遵守学校的规章制度并服从学校有关部门的管理。</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 各办学部门，在组织培训过程中，如有货物或服务采购需求，需严格按照学校资产管理处的规章制度进行采购。</w:t>
      </w:r>
    </w:p>
    <w:p>
      <w:pPr>
        <w:pStyle w:val="34"/>
        <w:pageBreakBefore w:val="0"/>
        <w:widowControl/>
        <w:shd w:val="clear" w:color="auto" w:fill="FFFFFF"/>
        <w:topLinePunct w:val="0"/>
        <w:bidi w:val="0"/>
        <w:spacing w:beforeAutospacing="0" w:afterAutospacing="0" w:line="315" w:lineRule="atLeast"/>
        <w:jc w:val="center"/>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四、收费与结算</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1.举办各类非学历教育和培训班各类支出必须符合国家和学校相关的财务管理规定。</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2.办学部门举办各类非学历教育和培训班，需对所收费用进行测算，向财务处备案申报收费标准及办班成本费用（见上海电子信息职业技术学院非学历教育和培训成本核算细则） 。</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 办学部门应严格按照财务处审核后的标准收费，学校财务处统一收费并开具由财务处提供的统一发票，不得私下另行收取其他未经批准的费用。</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 办班结束后，两周内办学部门填写《上海电子信息职业技术非学历教育和培训经费结算表》一式三份，连同已会签的申报表交学校继续教育工作领导小组提出结算意见，经上级部门同意认定的社会服务项目，经财务处审核后进行相关绩效经费划转。</w:t>
      </w:r>
    </w:p>
    <w:p>
      <w:pPr>
        <w:pStyle w:val="34"/>
        <w:pageBreakBefore w:val="0"/>
        <w:widowControl/>
        <w:shd w:val="clear" w:color="auto" w:fill="FFFFFF"/>
        <w:topLinePunct w:val="0"/>
        <w:bidi w:val="0"/>
        <w:spacing w:beforeAutospacing="0" w:afterAutospacing="0" w:line="315" w:lineRule="atLeast"/>
        <w:jc w:val="center"/>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五、发证和存档</w:t>
      </w:r>
    </w:p>
    <w:p>
      <w:pPr>
        <w:pageBreakBefore w:val="0"/>
        <w:widowControl/>
        <w:topLinePunct w:val="0"/>
        <w:bidi w:val="0"/>
        <w:ind w:firstLine="560" w:firstLineChars="200"/>
        <w:jc w:val="left"/>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1.以学校名义开展的非学历教育培训项目（除专有项目外），办班结束，成绩合格的学员，如须发放学校名义的办班证书，经审核后，由继续教育学院颁发学校统一印制的有关证书</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2.非学历教育和培训班结束后，办学部门按学校档案工作规定，需及时将相关培训材料一并提交档案馆存档。</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3.培训存档材料</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（1）允许培训的批复（办班申报表、培训合同、培训通知、招生简章等）</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（2）培训计划、方案等</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（3）具体培训资料（学生名册、学生成绩、证书编号等）</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（4）培训项目资金收入与支出明细（预算、决算、报销凭证等）</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（5）培训过程中，货物与服务采购、验收、入库等材料</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（6）培训小结（含图片）</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注：如有采用服务外包方式，还应按照学校财务处、资产管理处相关规定，将相关文件进行归档。</w:t>
      </w:r>
    </w:p>
    <w:p>
      <w:pPr>
        <w:pStyle w:val="34"/>
        <w:pageBreakBefore w:val="0"/>
        <w:widowControl/>
        <w:shd w:val="clear" w:color="auto" w:fill="FFFFFF"/>
        <w:topLinePunct w:val="0"/>
        <w:bidi w:val="0"/>
        <w:spacing w:beforeAutospacing="0" w:afterAutospacing="0" w:line="315" w:lineRule="atLeast"/>
        <w:jc w:val="center"/>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六、监督与检查</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继续教育学院应对各学院非学历教育和培训办班情况进行监督与检查，并定期向主管校领导汇报。检查内容包括各类办班的教学管理、教学计划实施情况和教学质量、考核情况、治安及有关规定的执行情况。</w:t>
      </w:r>
    </w:p>
    <w:p>
      <w:pPr>
        <w:pStyle w:val="34"/>
        <w:pageBreakBefore w:val="0"/>
        <w:widowControl/>
        <w:shd w:val="clear" w:color="auto" w:fill="FFFFFF"/>
        <w:topLinePunct w:val="0"/>
        <w:bidi w:val="0"/>
        <w:spacing w:beforeAutospacing="0" w:afterAutospacing="0" w:line="315" w:lineRule="atLeast"/>
        <w:jc w:val="center"/>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六、附  则</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1.本办法自发布之日起施行。</w:t>
      </w:r>
    </w:p>
    <w:p>
      <w:pPr>
        <w:pStyle w:val="34"/>
        <w:pageBreakBefore w:val="0"/>
        <w:widowControl/>
        <w:shd w:val="clear" w:color="auto" w:fill="FFFFFF"/>
        <w:topLinePunct w:val="0"/>
        <w:bidi w:val="0"/>
        <w:spacing w:beforeAutospacing="0" w:afterAutospacing="0" w:line="315" w:lineRule="atLeast"/>
        <w:ind w:firstLine="560" w:firstLineChars="200"/>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2.本办法的解释权归上海电子信息职业技术学院继续教育学院。</w:t>
      </w:r>
    </w:p>
    <w:p>
      <w:pPr>
        <w:pageBreakBefore w:val="0"/>
        <w:topLinePunct w:val="0"/>
        <w:bidi w:val="0"/>
        <w:snapToGrid w:val="0"/>
        <w:jc w:val="both"/>
        <w:outlineLvl w:val="9"/>
        <w:rPr>
          <w:rFonts w:hint="eastAsia" w:ascii="仿宋_GB2312" w:hAnsi="仿宋_GB2312" w:eastAsia="仿宋_GB2312" w:cs="仿宋_GB2312"/>
          <w:color w:val="auto"/>
          <w:kern w:val="2"/>
          <w:sz w:val="28"/>
          <w:szCs w:val="28"/>
          <w:highlight w:val="none"/>
          <w:lang w:val="en-US" w:eastAsia="zh-CN" w:bidi="ar-SA"/>
        </w:rPr>
      </w:pPr>
    </w:p>
    <w:p>
      <w:pPr>
        <w:pageBreakBefore w:val="0"/>
        <w:topLinePunct w:val="0"/>
        <w:bidi w:val="0"/>
        <w:snapToGrid w:val="0"/>
        <w:ind w:firstLine="560" w:firstLineChars="200"/>
        <w:jc w:val="both"/>
        <w:outlineLvl w:val="9"/>
        <w:rPr>
          <w:rFonts w:hint="eastAsia"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kern w:val="2"/>
          <w:sz w:val="28"/>
          <w:szCs w:val="28"/>
          <w:highlight w:val="none"/>
          <w:lang w:val="en-US" w:eastAsia="zh-CN" w:bidi="ar-SA"/>
        </w:rPr>
        <w:t>附件：上海电子信息职业技术学院非学历教育和培训办班申报表</w:t>
      </w:r>
    </w:p>
    <w:p>
      <w:pPr>
        <w:pStyle w:val="34"/>
        <w:pageBreakBefore w:val="0"/>
        <w:widowControl/>
        <w:shd w:val="clear" w:color="auto" w:fill="FFFFFF"/>
        <w:topLinePunct w:val="0"/>
        <w:bidi w:val="0"/>
        <w:spacing w:beforeAutospacing="0" w:after="90" w:afterAutospacing="0" w:line="24" w:lineRule="atLeast"/>
        <w:outlineLvl w:val="9"/>
        <w:rPr>
          <w:rFonts w:hint="eastAsia" w:ascii="仿宋_GB2312" w:hAnsi="仿宋_GB2312" w:eastAsia="仿宋_GB2312" w:cs="仿宋_GB2312"/>
          <w:color w:val="auto"/>
          <w:kern w:val="2"/>
          <w:sz w:val="28"/>
          <w:szCs w:val="28"/>
          <w:highlight w:val="none"/>
          <w:lang w:val="en-US" w:eastAsia="zh-CN" w:bidi="ar-SA"/>
        </w:rPr>
      </w:pPr>
    </w:p>
    <w:p>
      <w:pPr>
        <w:pStyle w:val="34"/>
        <w:pageBreakBefore w:val="0"/>
        <w:widowControl/>
        <w:shd w:val="clear" w:color="auto" w:fill="FFFFFF"/>
        <w:topLinePunct w:val="0"/>
        <w:bidi w:val="0"/>
        <w:spacing w:beforeAutospacing="0" w:after="90" w:afterAutospacing="0" w:line="24" w:lineRule="atLeast"/>
        <w:outlineLvl w:val="9"/>
        <w:rPr>
          <w:rFonts w:hint="eastAsia" w:ascii="仿宋_GB2312" w:hAnsi="仿宋_GB2312" w:eastAsia="仿宋_GB2312" w:cs="仿宋_GB2312"/>
          <w:color w:val="auto"/>
          <w:kern w:val="2"/>
          <w:sz w:val="28"/>
          <w:szCs w:val="28"/>
          <w:highlight w:val="none"/>
          <w:lang w:val="en-US" w:eastAsia="zh-CN" w:bidi="ar-SA"/>
        </w:rPr>
      </w:pPr>
    </w:p>
    <w:p>
      <w:pPr>
        <w:pStyle w:val="34"/>
        <w:pageBreakBefore w:val="0"/>
        <w:widowControl/>
        <w:shd w:val="clear" w:color="auto" w:fill="FFFFFF"/>
        <w:topLinePunct w:val="0"/>
        <w:bidi w:val="0"/>
        <w:spacing w:beforeAutospacing="0" w:after="90" w:afterAutospacing="0" w:line="24" w:lineRule="atLeast"/>
        <w:outlineLvl w:val="9"/>
        <w:rPr>
          <w:rFonts w:hint="eastAsia" w:ascii="仿宋_GB2312" w:hAnsi="仿宋_GB2312" w:eastAsia="仿宋_GB2312" w:cs="仿宋_GB2312"/>
          <w:color w:val="auto"/>
          <w:kern w:val="2"/>
          <w:sz w:val="28"/>
          <w:szCs w:val="28"/>
          <w:highlight w:val="none"/>
          <w:lang w:val="en-US" w:eastAsia="zh-CN" w:bidi="ar-SA"/>
        </w:rPr>
      </w:pPr>
    </w:p>
    <w:p>
      <w:pPr>
        <w:pStyle w:val="34"/>
        <w:pageBreakBefore w:val="0"/>
        <w:widowControl/>
        <w:shd w:val="clear" w:color="auto" w:fill="FFFFFF"/>
        <w:topLinePunct w:val="0"/>
        <w:bidi w:val="0"/>
        <w:spacing w:beforeAutospacing="0" w:after="90" w:afterAutospacing="0" w:line="24" w:lineRule="atLeast"/>
        <w:outlineLvl w:val="9"/>
        <w:rPr>
          <w:rFonts w:hint="eastAsia" w:ascii="仿宋_GB2312" w:hAnsi="仿宋_GB2312" w:eastAsia="仿宋_GB2312" w:cs="仿宋_GB2312"/>
          <w:color w:val="auto"/>
          <w:kern w:val="2"/>
          <w:sz w:val="28"/>
          <w:szCs w:val="28"/>
          <w:highlight w:val="none"/>
          <w:lang w:val="en-US" w:eastAsia="zh-CN" w:bidi="ar-SA"/>
        </w:rPr>
      </w:pPr>
    </w:p>
    <w:p>
      <w:pPr>
        <w:pStyle w:val="34"/>
        <w:pageBreakBefore w:val="0"/>
        <w:widowControl/>
        <w:shd w:val="clear" w:color="auto" w:fill="FFFFFF"/>
        <w:topLinePunct w:val="0"/>
        <w:bidi w:val="0"/>
        <w:spacing w:beforeAutospacing="0" w:after="90" w:afterAutospacing="0" w:line="24" w:lineRule="atLeast"/>
        <w:outlineLvl w:val="9"/>
        <w:rPr>
          <w:rFonts w:hint="eastAsia" w:ascii="仿宋_GB2312" w:hAnsi="仿宋_GB2312" w:eastAsia="仿宋_GB2312" w:cs="仿宋_GB2312"/>
          <w:color w:val="auto"/>
          <w:kern w:val="2"/>
          <w:sz w:val="28"/>
          <w:szCs w:val="28"/>
          <w:highlight w:val="none"/>
          <w:lang w:val="en-US" w:eastAsia="zh-CN" w:bidi="ar-SA"/>
        </w:rPr>
      </w:pPr>
    </w:p>
    <w:p>
      <w:pPr>
        <w:pStyle w:val="34"/>
        <w:pageBreakBefore w:val="0"/>
        <w:widowControl/>
        <w:shd w:val="clear" w:color="auto" w:fill="FFFFFF"/>
        <w:topLinePunct w:val="0"/>
        <w:bidi w:val="0"/>
        <w:spacing w:beforeAutospacing="0" w:after="90" w:afterAutospacing="0" w:line="24" w:lineRule="atLeast"/>
        <w:outlineLvl w:val="9"/>
        <w:rPr>
          <w:rFonts w:hint="eastAsia" w:ascii="仿宋_GB2312" w:hAnsi="仿宋_GB2312" w:eastAsia="仿宋_GB2312" w:cs="仿宋_GB2312"/>
          <w:color w:val="auto"/>
          <w:kern w:val="2"/>
          <w:sz w:val="28"/>
          <w:szCs w:val="28"/>
          <w:highlight w:val="none"/>
          <w:lang w:val="en-US" w:eastAsia="zh-CN" w:bidi="ar-SA"/>
        </w:rPr>
      </w:pPr>
    </w:p>
    <w:p>
      <w:pPr>
        <w:pStyle w:val="34"/>
        <w:pageBreakBefore w:val="0"/>
        <w:widowControl/>
        <w:shd w:val="clear" w:color="auto" w:fill="FFFFFF"/>
        <w:topLinePunct w:val="0"/>
        <w:bidi w:val="0"/>
        <w:spacing w:beforeAutospacing="0" w:after="90" w:afterAutospacing="0" w:line="24" w:lineRule="atLeast"/>
        <w:outlineLvl w:val="9"/>
        <w:rPr>
          <w:rFonts w:hint="eastAsia" w:ascii="仿宋_GB2312" w:hAnsi="仿宋_GB2312" w:eastAsia="仿宋_GB2312" w:cs="仿宋_GB2312"/>
          <w:color w:val="auto"/>
          <w:kern w:val="2"/>
          <w:sz w:val="28"/>
          <w:szCs w:val="28"/>
          <w:highlight w:val="none"/>
          <w:lang w:val="en-US" w:eastAsia="zh-CN" w:bidi="ar-SA"/>
        </w:rPr>
      </w:pPr>
    </w:p>
    <w:p>
      <w:pPr>
        <w:pStyle w:val="34"/>
        <w:pageBreakBefore w:val="0"/>
        <w:widowControl/>
        <w:shd w:val="clear" w:color="auto" w:fill="FFFFFF"/>
        <w:topLinePunct w:val="0"/>
        <w:bidi w:val="0"/>
        <w:spacing w:beforeAutospacing="0" w:after="90" w:afterAutospacing="0" w:line="24" w:lineRule="atLeast"/>
        <w:outlineLvl w:val="9"/>
        <w:rPr>
          <w:rFonts w:hint="eastAsia" w:ascii="仿宋_GB2312" w:hAnsi="仿宋_GB2312" w:eastAsia="仿宋_GB2312" w:cs="仿宋_GB2312"/>
          <w:color w:val="auto"/>
          <w:kern w:val="2"/>
          <w:sz w:val="28"/>
          <w:szCs w:val="28"/>
          <w:highlight w:val="none"/>
          <w:lang w:val="en-US" w:eastAsia="zh-CN" w:bidi="ar-SA"/>
        </w:rPr>
      </w:pPr>
    </w:p>
    <w:p>
      <w:pPr>
        <w:pStyle w:val="34"/>
        <w:pageBreakBefore w:val="0"/>
        <w:widowControl/>
        <w:shd w:val="clear" w:color="auto" w:fill="FFFFFF"/>
        <w:topLinePunct w:val="0"/>
        <w:bidi w:val="0"/>
        <w:spacing w:beforeAutospacing="0" w:after="90" w:afterAutospacing="0" w:line="24" w:lineRule="atLeast"/>
        <w:outlineLvl w:val="9"/>
        <w:rPr>
          <w:rFonts w:hint="eastAsia" w:ascii="仿宋_GB2312" w:hAnsi="仿宋_GB2312" w:eastAsia="仿宋_GB2312" w:cs="仿宋_GB2312"/>
          <w:color w:val="auto"/>
          <w:kern w:val="2"/>
          <w:sz w:val="28"/>
          <w:szCs w:val="28"/>
          <w:highlight w:val="none"/>
          <w:lang w:val="en-US" w:eastAsia="zh-CN" w:bidi="ar-SA"/>
        </w:rPr>
      </w:pPr>
    </w:p>
    <w:p>
      <w:pPr>
        <w:pageBreakBefore w:val="0"/>
        <w:widowControl/>
        <w:topLinePunct w:val="0"/>
        <w:bidi w:val="0"/>
        <w:jc w:val="left"/>
        <w:outlineLvl w:val="9"/>
        <w:rPr>
          <w:rFonts w:hint="eastAsia" w:ascii="黑体" w:hAnsi="黑体" w:eastAsia="黑体"/>
          <w:sz w:val="28"/>
          <w:szCs w:val="28"/>
        </w:rPr>
      </w:pPr>
    </w:p>
    <w:p>
      <w:pPr>
        <w:pageBreakBefore w:val="0"/>
        <w:widowControl/>
        <w:topLinePunct w:val="0"/>
        <w:bidi w:val="0"/>
        <w:jc w:val="left"/>
        <w:outlineLvl w:val="9"/>
        <w:rPr>
          <w:rFonts w:hint="eastAsia" w:ascii="黑体" w:hAnsi="黑体" w:eastAsia="黑体"/>
          <w:sz w:val="28"/>
          <w:szCs w:val="28"/>
        </w:rPr>
      </w:pPr>
    </w:p>
    <w:p>
      <w:pPr>
        <w:pageBreakBefore w:val="0"/>
        <w:widowControl/>
        <w:topLinePunct w:val="0"/>
        <w:bidi w:val="0"/>
        <w:jc w:val="left"/>
        <w:outlineLvl w:val="9"/>
        <w:rPr>
          <w:rFonts w:hint="eastAsia" w:ascii="黑体" w:hAnsi="黑体" w:eastAsia="黑体"/>
          <w:sz w:val="28"/>
          <w:szCs w:val="28"/>
          <w:lang w:val="en-US" w:eastAsia="zh-CN"/>
        </w:rPr>
      </w:pPr>
      <w:r>
        <w:rPr>
          <w:rFonts w:hint="eastAsia" w:ascii="仿宋_GB2312" w:hAnsi="仿宋_GB2312" w:eastAsia="仿宋_GB2312" w:cs="仿宋_GB2312"/>
          <w:sz w:val="28"/>
          <w:szCs w:val="28"/>
        </w:rPr>
        <w:t>附件</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 xml:space="preserve">  </w:t>
      </w:r>
      <w:r>
        <w:rPr>
          <w:rFonts w:hint="eastAsia" w:ascii="黑体" w:hAnsi="黑体" w:eastAsia="黑体"/>
          <w:sz w:val="28"/>
          <w:szCs w:val="28"/>
          <w:lang w:val="en-US" w:eastAsia="zh-CN"/>
        </w:rPr>
        <w:t xml:space="preserve">         </w:t>
      </w:r>
    </w:p>
    <w:p>
      <w:pPr>
        <w:pageBreakBefore w:val="0"/>
        <w:widowControl/>
        <w:topLinePunct w:val="0"/>
        <w:bidi w:val="0"/>
        <w:jc w:val="center"/>
        <w:outlineLvl w:val="9"/>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上海电子信息职业技术学院</w:t>
      </w:r>
    </w:p>
    <w:p>
      <w:pPr>
        <w:pageBreakBefore w:val="0"/>
        <w:topLinePunct w:val="0"/>
        <w:bidi w:val="0"/>
        <w:snapToGrid w:val="0"/>
        <w:jc w:val="center"/>
        <w:outlineLvl w:val="9"/>
        <w:rPr>
          <w:rFonts w:hint="eastAsia" w:ascii="宋体" w:hAnsi="宋体" w:eastAsia="宋体" w:cs="宋体"/>
          <w:b/>
          <w:bCs/>
          <w:sz w:val="30"/>
          <w:szCs w:val="30"/>
        </w:rPr>
      </w:pPr>
      <w:r>
        <w:rPr>
          <w:rFonts w:hint="eastAsia" w:ascii="宋体" w:hAnsi="宋体" w:eastAsia="宋体" w:cs="宋体"/>
          <w:b/>
          <w:bCs/>
          <w:sz w:val="30"/>
          <w:szCs w:val="30"/>
        </w:rPr>
        <w:t>非学历教育和培训办班申报表</w:t>
      </w:r>
    </w:p>
    <w:tbl>
      <w:tblPr>
        <w:tblStyle w:val="37"/>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3435"/>
        <w:gridCol w:w="1966"/>
        <w:gridCol w:w="2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21" w:type="dxa"/>
            <w:noWrap w:val="0"/>
            <w:vAlign w:val="center"/>
          </w:tcPr>
          <w:p>
            <w:pPr>
              <w:pageBreakBefore w:val="0"/>
              <w:topLinePunct w:val="0"/>
              <w:bidi w:val="0"/>
              <w:spacing w:line="360" w:lineRule="auto"/>
              <w:jc w:val="center"/>
              <w:outlineLvl w:val="9"/>
              <w:rPr>
                <w:rFonts w:ascii="宋体" w:hAnsi="宋体"/>
                <w:b/>
                <w:sz w:val="21"/>
                <w:szCs w:val="21"/>
              </w:rPr>
            </w:pPr>
            <w:r>
              <w:rPr>
                <w:rFonts w:hint="eastAsia" w:ascii="宋体" w:hAnsi="宋体"/>
                <w:b/>
                <w:sz w:val="21"/>
                <w:szCs w:val="21"/>
              </w:rPr>
              <w:t>培训班名称</w:t>
            </w:r>
          </w:p>
        </w:tc>
        <w:tc>
          <w:tcPr>
            <w:tcW w:w="3435" w:type="dxa"/>
            <w:noWrap w:val="0"/>
            <w:vAlign w:val="center"/>
          </w:tcPr>
          <w:p>
            <w:pPr>
              <w:pageBreakBefore w:val="0"/>
              <w:topLinePunct w:val="0"/>
              <w:bidi w:val="0"/>
              <w:spacing w:line="360" w:lineRule="auto"/>
              <w:jc w:val="center"/>
              <w:outlineLvl w:val="9"/>
              <w:rPr>
                <w:rFonts w:ascii="宋体" w:hAnsi="宋体"/>
                <w:b/>
                <w:sz w:val="21"/>
                <w:szCs w:val="21"/>
              </w:rPr>
            </w:pPr>
          </w:p>
        </w:tc>
        <w:tc>
          <w:tcPr>
            <w:tcW w:w="1966" w:type="dxa"/>
            <w:noWrap w:val="0"/>
            <w:vAlign w:val="center"/>
          </w:tcPr>
          <w:p>
            <w:pPr>
              <w:pageBreakBefore w:val="0"/>
              <w:topLinePunct w:val="0"/>
              <w:bidi w:val="0"/>
              <w:spacing w:line="360" w:lineRule="auto"/>
              <w:jc w:val="center"/>
              <w:outlineLvl w:val="9"/>
              <w:rPr>
                <w:rFonts w:ascii="宋体" w:hAnsi="宋体"/>
                <w:b w:val="0"/>
                <w:bCs/>
                <w:sz w:val="21"/>
                <w:szCs w:val="21"/>
              </w:rPr>
            </w:pPr>
            <w:r>
              <w:rPr>
                <w:rFonts w:hint="eastAsia" w:ascii="宋体" w:hAnsi="宋体"/>
                <w:b/>
                <w:sz w:val="21"/>
                <w:szCs w:val="21"/>
              </w:rPr>
              <w:t>招生对象</w:t>
            </w:r>
          </w:p>
        </w:tc>
        <w:tc>
          <w:tcPr>
            <w:tcW w:w="2296" w:type="dxa"/>
            <w:noWrap w:val="0"/>
            <w:vAlign w:val="center"/>
          </w:tcPr>
          <w:p>
            <w:pPr>
              <w:pageBreakBefore w:val="0"/>
              <w:topLinePunct w:val="0"/>
              <w:bidi w:val="0"/>
              <w:spacing w:line="360" w:lineRule="auto"/>
              <w:jc w:val="center"/>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21" w:type="dxa"/>
            <w:noWrap w:val="0"/>
            <w:vAlign w:val="center"/>
          </w:tcPr>
          <w:p>
            <w:pPr>
              <w:pageBreakBefore w:val="0"/>
              <w:topLinePunct w:val="0"/>
              <w:bidi w:val="0"/>
              <w:spacing w:line="360" w:lineRule="auto"/>
              <w:jc w:val="center"/>
              <w:outlineLvl w:val="9"/>
              <w:rPr>
                <w:rFonts w:ascii="宋体" w:hAnsi="宋体"/>
                <w:b/>
                <w:sz w:val="21"/>
                <w:szCs w:val="21"/>
              </w:rPr>
            </w:pPr>
            <w:r>
              <w:rPr>
                <w:rFonts w:hint="eastAsia" w:ascii="宋体" w:hAnsi="宋体"/>
                <w:b/>
                <w:sz w:val="21"/>
                <w:szCs w:val="21"/>
              </w:rPr>
              <w:t>主办单位</w:t>
            </w:r>
          </w:p>
        </w:tc>
        <w:tc>
          <w:tcPr>
            <w:tcW w:w="3435" w:type="dxa"/>
            <w:noWrap w:val="0"/>
            <w:vAlign w:val="center"/>
          </w:tcPr>
          <w:p>
            <w:pPr>
              <w:pageBreakBefore w:val="0"/>
              <w:topLinePunct w:val="0"/>
              <w:bidi w:val="0"/>
              <w:spacing w:line="360" w:lineRule="auto"/>
              <w:jc w:val="center"/>
              <w:outlineLvl w:val="9"/>
              <w:rPr>
                <w:rFonts w:ascii="宋体" w:hAnsi="宋体"/>
                <w:b/>
                <w:sz w:val="21"/>
                <w:szCs w:val="21"/>
              </w:rPr>
            </w:pPr>
          </w:p>
        </w:tc>
        <w:tc>
          <w:tcPr>
            <w:tcW w:w="1966" w:type="dxa"/>
            <w:noWrap w:val="0"/>
            <w:vAlign w:val="center"/>
          </w:tcPr>
          <w:p>
            <w:pPr>
              <w:pageBreakBefore w:val="0"/>
              <w:topLinePunct w:val="0"/>
              <w:bidi w:val="0"/>
              <w:spacing w:line="360" w:lineRule="auto"/>
              <w:jc w:val="center"/>
              <w:outlineLvl w:val="9"/>
              <w:rPr>
                <w:rFonts w:ascii="宋体" w:hAnsi="宋体"/>
                <w:b/>
                <w:sz w:val="21"/>
                <w:szCs w:val="21"/>
              </w:rPr>
            </w:pPr>
            <w:r>
              <w:rPr>
                <w:rFonts w:hint="eastAsia" w:ascii="宋体" w:hAnsi="宋体"/>
                <w:b/>
                <w:sz w:val="21"/>
                <w:szCs w:val="21"/>
              </w:rPr>
              <w:t>委托单位</w:t>
            </w:r>
          </w:p>
        </w:tc>
        <w:tc>
          <w:tcPr>
            <w:tcW w:w="2296" w:type="dxa"/>
            <w:noWrap w:val="0"/>
            <w:vAlign w:val="center"/>
          </w:tcPr>
          <w:p>
            <w:pPr>
              <w:pageBreakBefore w:val="0"/>
              <w:topLinePunct w:val="0"/>
              <w:bidi w:val="0"/>
              <w:spacing w:line="360" w:lineRule="auto"/>
              <w:jc w:val="center"/>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21" w:type="dxa"/>
            <w:noWrap w:val="0"/>
            <w:vAlign w:val="center"/>
          </w:tcPr>
          <w:p>
            <w:pPr>
              <w:pageBreakBefore w:val="0"/>
              <w:topLinePunct w:val="0"/>
              <w:bidi w:val="0"/>
              <w:spacing w:line="360" w:lineRule="auto"/>
              <w:jc w:val="center"/>
              <w:outlineLvl w:val="9"/>
              <w:rPr>
                <w:rFonts w:ascii="宋体" w:hAnsi="宋体"/>
                <w:b/>
                <w:sz w:val="21"/>
                <w:szCs w:val="21"/>
              </w:rPr>
            </w:pPr>
            <w:r>
              <w:rPr>
                <w:rFonts w:hint="eastAsia" w:ascii="宋体" w:hAnsi="宋体"/>
                <w:b/>
                <w:sz w:val="21"/>
                <w:szCs w:val="21"/>
              </w:rPr>
              <w:t>办班负责人</w:t>
            </w:r>
          </w:p>
        </w:tc>
        <w:tc>
          <w:tcPr>
            <w:tcW w:w="3435" w:type="dxa"/>
            <w:noWrap w:val="0"/>
            <w:vAlign w:val="center"/>
          </w:tcPr>
          <w:p>
            <w:pPr>
              <w:pageBreakBefore w:val="0"/>
              <w:topLinePunct w:val="0"/>
              <w:bidi w:val="0"/>
              <w:spacing w:line="360" w:lineRule="auto"/>
              <w:jc w:val="center"/>
              <w:outlineLvl w:val="9"/>
              <w:rPr>
                <w:rFonts w:ascii="宋体" w:hAnsi="宋体"/>
                <w:b/>
                <w:sz w:val="21"/>
                <w:szCs w:val="21"/>
              </w:rPr>
            </w:pPr>
          </w:p>
        </w:tc>
        <w:tc>
          <w:tcPr>
            <w:tcW w:w="1966" w:type="dxa"/>
            <w:noWrap w:val="0"/>
            <w:vAlign w:val="center"/>
          </w:tcPr>
          <w:p>
            <w:pPr>
              <w:pageBreakBefore w:val="0"/>
              <w:topLinePunct w:val="0"/>
              <w:bidi w:val="0"/>
              <w:spacing w:line="360" w:lineRule="auto"/>
              <w:jc w:val="center"/>
              <w:outlineLvl w:val="9"/>
              <w:rPr>
                <w:rFonts w:ascii="宋体" w:hAnsi="宋体"/>
                <w:b/>
                <w:sz w:val="21"/>
                <w:szCs w:val="21"/>
              </w:rPr>
            </w:pPr>
            <w:r>
              <w:rPr>
                <w:rFonts w:hint="eastAsia" w:ascii="宋体" w:hAnsi="宋体"/>
                <w:b/>
                <w:sz w:val="21"/>
                <w:szCs w:val="21"/>
              </w:rPr>
              <w:t>办班起止时间</w:t>
            </w:r>
          </w:p>
        </w:tc>
        <w:tc>
          <w:tcPr>
            <w:tcW w:w="2296" w:type="dxa"/>
            <w:noWrap w:val="0"/>
            <w:vAlign w:val="center"/>
          </w:tcPr>
          <w:p>
            <w:pPr>
              <w:pageBreakBefore w:val="0"/>
              <w:topLinePunct w:val="0"/>
              <w:bidi w:val="0"/>
              <w:spacing w:line="360" w:lineRule="auto"/>
              <w:jc w:val="center"/>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21" w:type="dxa"/>
            <w:noWrap w:val="0"/>
            <w:vAlign w:val="center"/>
          </w:tcPr>
          <w:p>
            <w:pPr>
              <w:pageBreakBefore w:val="0"/>
              <w:topLinePunct w:val="0"/>
              <w:bidi w:val="0"/>
              <w:spacing w:line="360" w:lineRule="auto"/>
              <w:jc w:val="center"/>
              <w:outlineLvl w:val="9"/>
              <w:rPr>
                <w:rFonts w:ascii="宋体" w:hAnsi="宋体"/>
                <w:b/>
                <w:sz w:val="21"/>
                <w:szCs w:val="21"/>
              </w:rPr>
            </w:pPr>
            <w:r>
              <w:rPr>
                <w:rFonts w:hint="eastAsia" w:ascii="宋体" w:hAnsi="宋体"/>
                <w:b/>
                <w:sz w:val="21"/>
                <w:szCs w:val="21"/>
              </w:rPr>
              <w:t>联系人</w:t>
            </w:r>
          </w:p>
        </w:tc>
        <w:tc>
          <w:tcPr>
            <w:tcW w:w="3435" w:type="dxa"/>
            <w:noWrap w:val="0"/>
            <w:vAlign w:val="center"/>
          </w:tcPr>
          <w:p>
            <w:pPr>
              <w:pageBreakBefore w:val="0"/>
              <w:topLinePunct w:val="0"/>
              <w:bidi w:val="0"/>
              <w:spacing w:line="360" w:lineRule="auto"/>
              <w:jc w:val="center"/>
              <w:outlineLvl w:val="9"/>
              <w:rPr>
                <w:rFonts w:ascii="宋体" w:hAnsi="宋体"/>
                <w:b/>
                <w:sz w:val="21"/>
                <w:szCs w:val="21"/>
              </w:rPr>
            </w:pPr>
          </w:p>
        </w:tc>
        <w:tc>
          <w:tcPr>
            <w:tcW w:w="1966" w:type="dxa"/>
            <w:noWrap w:val="0"/>
            <w:vAlign w:val="center"/>
          </w:tcPr>
          <w:p>
            <w:pPr>
              <w:pageBreakBefore w:val="0"/>
              <w:topLinePunct w:val="0"/>
              <w:bidi w:val="0"/>
              <w:spacing w:line="360" w:lineRule="auto"/>
              <w:jc w:val="center"/>
              <w:outlineLvl w:val="9"/>
              <w:rPr>
                <w:rFonts w:ascii="宋体" w:hAnsi="宋体"/>
                <w:b/>
                <w:sz w:val="21"/>
                <w:szCs w:val="21"/>
              </w:rPr>
            </w:pPr>
            <w:r>
              <w:rPr>
                <w:rFonts w:hint="eastAsia" w:ascii="宋体" w:hAnsi="宋体"/>
                <w:b/>
                <w:sz w:val="21"/>
                <w:szCs w:val="21"/>
              </w:rPr>
              <w:t>电话</w:t>
            </w:r>
          </w:p>
        </w:tc>
        <w:tc>
          <w:tcPr>
            <w:tcW w:w="2296" w:type="dxa"/>
            <w:noWrap w:val="0"/>
            <w:vAlign w:val="center"/>
          </w:tcPr>
          <w:p>
            <w:pPr>
              <w:pageBreakBefore w:val="0"/>
              <w:topLinePunct w:val="0"/>
              <w:bidi w:val="0"/>
              <w:spacing w:line="360" w:lineRule="auto"/>
              <w:jc w:val="center"/>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321" w:type="dxa"/>
            <w:vMerge w:val="restart"/>
            <w:noWrap w:val="0"/>
            <w:vAlign w:val="center"/>
          </w:tcPr>
          <w:p>
            <w:pPr>
              <w:pageBreakBefore w:val="0"/>
              <w:topLinePunct w:val="0"/>
              <w:bidi w:val="0"/>
              <w:spacing w:line="360" w:lineRule="auto"/>
              <w:jc w:val="center"/>
              <w:outlineLvl w:val="9"/>
              <w:rPr>
                <w:rFonts w:ascii="宋体" w:hAnsi="宋体"/>
                <w:b/>
                <w:sz w:val="21"/>
                <w:szCs w:val="21"/>
              </w:rPr>
            </w:pPr>
            <w:r>
              <w:rPr>
                <w:rFonts w:hint="eastAsia" w:ascii="宋体" w:hAnsi="宋体"/>
                <w:b/>
                <w:sz w:val="21"/>
                <w:szCs w:val="21"/>
              </w:rPr>
              <w:t>收费标准</w:t>
            </w:r>
          </w:p>
        </w:tc>
        <w:tc>
          <w:tcPr>
            <w:tcW w:w="3435" w:type="dxa"/>
            <w:noWrap w:val="0"/>
            <w:vAlign w:val="center"/>
          </w:tcPr>
          <w:p>
            <w:pPr>
              <w:pageBreakBefore w:val="0"/>
              <w:topLinePunct w:val="0"/>
              <w:bidi w:val="0"/>
              <w:spacing w:line="360" w:lineRule="auto"/>
              <w:jc w:val="left"/>
              <w:outlineLvl w:val="9"/>
              <w:rPr>
                <w:rFonts w:ascii="宋体" w:hAnsi="宋体"/>
                <w:sz w:val="21"/>
                <w:szCs w:val="21"/>
              </w:rPr>
            </w:pPr>
            <w:r>
              <w:rPr>
                <w:rFonts w:hint="eastAsia" w:ascii="宋体" w:hAnsi="宋体"/>
                <w:sz w:val="21"/>
                <w:szCs w:val="21"/>
              </w:rPr>
              <w:t xml:space="preserve">培训费每人          </w:t>
            </w:r>
            <w:r>
              <w:rPr>
                <w:rFonts w:ascii="宋体" w:hAnsi="宋体"/>
                <w:sz w:val="21"/>
                <w:szCs w:val="21"/>
              </w:rPr>
              <w:t xml:space="preserve"> </w:t>
            </w:r>
            <w:r>
              <w:rPr>
                <w:rFonts w:hint="eastAsia" w:ascii="宋体" w:hAnsi="宋体"/>
                <w:sz w:val="21"/>
                <w:szCs w:val="21"/>
              </w:rPr>
              <w:t xml:space="preserve"> 元</w:t>
            </w:r>
          </w:p>
        </w:tc>
        <w:tc>
          <w:tcPr>
            <w:tcW w:w="1966" w:type="dxa"/>
            <w:noWrap w:val="0"/>
            <w:vAlign w:val="center"/>
          </w:tcPr>
          <w:p>
            <w:pPr>
              <w:pageBreakBefore w:val="0"/>
              <w:topLinePunct w:val="0"/>
              <w:bidi w:val="0"/>
              <w:spacing w:line="360" w:lineRule="auto"/>
              <w:jc w:val="center"/>
              <w:outlineLvl w:val="9"/>
              <w:rPr>
                <w:rFonts w:ascii="宋体" w:hAnsi="宋体"/>
                <w:b/>
                <w:sz w:val="21"/>
                <w:szCs w:val="21"/>
              </w:rPr>
            </w:pPr>
            <w:r>
              <w:rPr>
                <w:rFonts w:hint="eastAsia" w:ascii="宋体" w:hAnsi="宋体"/>
                <w:b/>
                <w:sz w:val="21"/>
                <w:szCs w:val="21"/>
              </w:rPr>
              <w:t>教学计划制定单位</w:t>
            </w:r>
          </w:p>
        </w:tc>
        <w:tc>
          <w:tcPr>
            <w:tcW w:w="2296" w:type="dxa"/>
            <w:noWrap w:val="0"/>
            <w:vAlign w:val="center"/>
          </w:tcPr>
          <w:p>
            <w:pPr>
              <w:pageBreakBefore w:val="0"/>
              <w:topLinePunct w:val="0"/>
              <w:bidi w:val="0"/>
              <w:spacing w:line="360" w:lineRule="auto"/>
              <w:jc w:val="center"/>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1321" w:type="dxa"/>
            <w:vMerge w:val="continue"/>
            <w:noWrap w:val="0"/>
            <w:vAlign w:val="center"/>
          </w:tcPr>
          <w:p>
            <w:pPr>
              <w:pageBreakBefore w:val="0"/>
              <w:topLinePunct w:val="0"/>
              <w:bidi w:val="0"/>
              <w:spacing w:line="360" w:lineRule="auto"/>
              <w:jc w:val="center"/>
              <w:outlineLvl w:val="9"/>
              <w:rPr>
                <w:rFonts w:ascii="宋体" w:hAnsi="宋体"/>
                <w:b/>
                <w:sz w:val="21"/>
                <w:szCs w:val="21"/>
              </w:rPr>
            </w:pPr>
          </w:p>
        </w:tc>
        <w:tc>
          <w:tcPr>
            <w:tcW w:w="3435" w:type="dxa"/>
            <w:noWrap w:val="0"/>
            <w:vAlign w:val="center"/>
          </w:tcPr>
          <w:p>
            <w:pPr>
              <w:pageBreakBefore w:val="0"/>
              <w:topLinePunct w:val="0"/>
              <w:bidi w:val="0"/>
              <w:spacing w:line="360" w:lineRule="auto"/>
              <w:outlineLvl w:val="9"/>
              <w:rPr>
                <w:rFonts w:ascii="宋体" w:hAnsi="宋体"/>
                <w:sz w:val="21"/>
                <w:szCs w:val="21"/>
              </w:rPr>
            </w:pPr>
            <w:r>
              <w:rPr>
                <w:rFonts w:hint="eastAsia" w:ascii="宋体" w:hAnsi="宋体"/>
                <w:sz w:val="21"/>
                <w:szCs w:val="21"/>
              </w:rPr>
              <w:t xml:space="preserve">代办费每人           </w:t>
            </w:r>
            <w:r>
              <w:rPr>
                <w:rFonts w:ascii="宋体" w:hAnsi="宋体"/>
                <w:sz w:val="21"/>
                <w:szCs w:val="21"/>
              </w:rPr>
              <w:t xml:space="preserve"> </w:t>
            </w:r>
            <w:r>
              <w:rPr>
                <w:rFonts w:hint="eastAsia" w:ascii="宋体" w:hAnsi="宋体"/>
                <w:sz w:val="21"/>
                <w:szCs w:val="21"/>
              </w:rPr>
              <w:t>元</w:t>
            </w:r>
          </w:p>
        </w:tc>
        <w:tc>
          <w:tcPr>
            <w:tcW w:w="1966" w:type="dxa"/>
            <w:noWrap w:val="0"/>
            <w:vAlign w:val="center"/>
          </w:tcPr>
          <w:p>
            <w:pPr>
              <w:pageBreakBefore w:val="0"/>
              <w:topLinePunct w:val="0"/>
              <w:bidi w:val="0"/>
              <w:spacing w:line="360" w:lineRule="auto"/>
              <w:jc w:val="center"/>
              <w:outlineLvl w:val="9"/>
              <w:rPr>
                <w:rFonts w:ascii="宋体" w:hAnsi="宋体"/>
                <w:b/>
                <w:sz w:val="21"/>
                <w:szCs w:val="21"/>
              </w:rPr>
            </w:pPr>
            <w:r>
              <w:rPr>
                <w:rFonts w:hint="eastAsia" w:ascii="宋体" w:hAnsi="宋体"/>
                <w:b/>
                <w:sz w:val="21"/>
                <w:szCs w:val="21"/>
              </w:rPr>
              <w:t>发证单位</w:t>
            </w:r>
          </w:p>
        </w:tc>
        <w:tc>
          <w:tcPr>
            <w:tcW w:w="2296" w:type="dxa"/>
            <w:noWrap w:val="0"/>
            <w:vAlign w:val="center"/>
          </w:tcPr>
          <w:p>
            <w:pPr>
              <w:pageBreakBefore w:val="0"/>
              <w:topLinePunct w:val="0"/>
              <w:bidi w:val="0"/>
              <w:spacing w:line="360" w:lineRule="auto"/>
              <w:outlineLvl w:val="9"/>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7" w:hRule="atLeast"/>
          <w:jc w:val="center"/>
        </w:trPr>
        <w:tc>
          <w:tcPr>
            <w:tcW w:w="9018" w:type="dxa"/>
            <w:gridSpan w:val="4"/>
            <w:noWrap w:val="0"/>
            <w:vAlign w:val="top"/>
          </w:tcPr>
          <w:p>
            <w:pPr>
              <w:pageBreakBefore w:val="0"/>
              <w:topLinePunct w:val="0"/>
              <w:bidi w:val="0"/>
              <w:spacing w:line="360" w:lineRule="auto"/>
              <w:outlineLvl w:val="9"/>
              <w:rPr>
                <w:rFonts w:ascii="宋体" w:hAnsi="宋体"/>
                <w:b/>
                <w:sz w:val="21"/>
                <w:szCs w:val="21"/>
              </w:rPr>
            </w:pPr>
            <w:r>
              <w:rPr>
                <w:rFonts w:hint="eastAsia" w:ascii="宋体" w:hAnsi="宋体"/>
                <w:b/>
                <w:sz w:val="21"/>
                <w:szCs w:val="21"/>
              </w:rPr>
              <w:t>办班院（部）主管领导意见：</w:t>
            </w:r>
          </w:p>
          <w:p>
            <w:pPr>
              <w:pageBreakBefore w:val="0"/>
              <w:topLinePunct w:val="0"/>
              <w:bidi w:val="0"/>
              <w:spacing w:line="360" w:lineRule="auto"/>
              <w:outlineLvl w:val="9"/>
              <w:rPr>
                <w:rFonts w:ascii="宋体" w:hAnsi="宋体"/>
                <w:sz w:val="21"/>
                <w:szCs w:val="21"/>
              </w:rPr>
            </w:pPr>
          </w:p>
          <w:p>
            <w:pPr>
              <w:pageBreakBefore w:val="0"/>
              <w:topLinePunct w:val="0"/>
              <w:bidi w:val="0"/>
              <w:spacing w:line="360" w:lineRule="auto"/>
              <w:outlineLvl w:val="9"/>
              <w:rPr>
                <w:rFonts w:ascii="宋体" w:hAnsi="宋体"/>
                <w:sz w:val="21"/>
                <w:szCs w:val="21"/>
              </w:rPr>
            </w:pP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18"/>
                <w:szCs w:val="18"/>
              </w:rPr>
              <w:t>（签</w:t>
            </w:r>
            <w:r>
              <w:rPr>
                <w:rFonts w:hint="eastAsia" w:ascii="宋体" w:hAnsi="宋体"/>
                <w:sz w:val="18"/>
                <w:szCs w:val="18"/>
                <w:lang w:eastAsia="zh-CN"/>
              </w:rPr>
              <w:t>章</w:t>
            </w:r>
            <w:r>
              <w:rPr>
                <w:rFonts w:hint="eastAsia" w:ascii="宋体" w:hAnsi="宋体"/>
                <w:sz w:val="18"/>
                <w:szCs w:val="18"/>
              </w:rPr>
              <w:t>）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1" w:hRule="atLeast"/>
          <w:jc w:val="center"/>
        </w:trPr>
        <w:tc>
          <w:tcPr>
            <w:tcW w:w="9018" w:type="dxa"/>
            <w:gridSpan w:val="4"/>
            <w:noWrap w:val="0"/>
            <w:vAlign w:val="top"/>
          </w:tcPr>
          <w:p>
            <w:pPr>
              <w:pageBreakBefore w:val="0"/>
              <w:topLinePunct w:val="0"/>
              <w:bidi w:val="0"/>
              <w:spacing w:line="360" w:lineRule="auto"/>
              <w:outlineLvl w:val="9"/>
              <w:rPr>
                <w:rFonts w:ascii="宋体" w:hAnsi="宋体"/>
                <w:b/>
                <w:sz w:val="21"/>
                <w:szCs w:val="21"/>
              </w:rPr>
            </w:pPr>
            <w:r>
              <w:rPr>
                <w:rFonts w:hint="eastAsia" w:ascii="宋体" w:hAnsi="宋体"/>
                <w:b/>
                <w:sz w:val="21"/>
                <w:szCs w:val="21"/>
              </w:rPr>
              <w:t>继续教育学院意见：</w:t>
            </w:r>
          </w:p>
          <w:p>
            <w:pPr>
              <w:pageBreakBefore w:val="0"/>
              <w:topLinePunct w:val="0"/>
              <w:bidi w:val="0"/>
              <w:spacing w:line="360" w:lineRule="auto"/>
              <w:outlineLvl w:val="9"/>
              <w:rPr>
                <w:rFonts w:ascii="宋体" w:hAnsi="宋体"/>
                <w:sz w:val="21"/>
                <w:szCs w:val="21"/>
              </w:rPr>
            </w:pPr>
          </w:p>
          <w:p>
            <w:pPr>
              <w:pageBreakBefore w:val="0"/>
              <w:topLinePunct w:val="0"/>
              <w:bidi w:val="0"/>
              <w:spacing w:line="360" w:lineRule="auto"/>
              <w:outlineLvl w:val="9"/>
              <w:rPr>
                <w:rFonts w:ascii="宋体" w:hAnsi="宋体"/>
                <w:sz w:val="21"/>
                <w:szCs w:val="21"/>
              </w:rPr>
            </w:pP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w:t>
            </w:r>
            <w:r>
              <w:rPr>
                <w:rFonts w:hint="eastAsia" w:ascii="宋体" w:hAnsi="宋体"/>
                <w:sz w:val="18"/>
                <w:szCs w:val="18"/>
              </w:rPr>
              <w:t>（公章）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6" w:hRule="atLeast"/>
          <w:jc w:val="center"/>
        </w:trPr>
        <w:tc>
          <w:tcPr>
            <w:tcW w:w="9018" w:type="dxa"/>
            <w:gridSpan w:val="4"/>
            <w:noWrap w:val="0"/>
            <w:vAlign w:val="top"/>
          </w:tcPr>
          <w:p>
            <w:pPr>
              <w:pageBreakBefore w:val="0"/>
              <w:topLinePunct w:val="0"/>
              <w:bidi w:val="0"/>
              <w:spacing w:line="360" w:lineRule="auto"/>
              <w:outlineLvl w:val="9"/>
              <w:rPr>
                <w:rFonts w:hint="eastAsia" w:ascii="宋体" w:hAnsi="宋体"/>
                <w:b/>
                <w:sz w:val="21"/>
                <w:szCs w:val="21"/>
              </w:rPr>
            </w:pPr>
            <w:r>
              <w:rPr>
                <w:rFonts w:hint="eastAsia" w:ascii="宋体" w:hAnsi="宋体"/>
                <w:b/>
                <w:sz w:val="21"/>
                <w:szCs w:val="21"/>
              </w:rPr>
              <w:t>财务处意见：</w:t>
            </w:r>
          </w:p>
          <w:p>
            <w:pPr>
              <w:pageBreakBefore w:val="0"/>
              <w:topLinePunct w:val="0"/>
              <w:bidi w:val="0"/>
              <w:spacing w:line="360" w:lineRule="auto"/>
              <w:outlineLvl w:val="9"/>
              <w:rPr>
                <w:rFonts w:hint="eastAsia" w:ascii="宋体" w:hAnsi="宋体"/>
                <w:b/>
                <w:sz w:val="21"/>
                <w:szCs w:val="21"/>
                <w:lang w:eastAsia="zh-CN"/>
              </w:rPr>
            </w:pPr>
          </w:p>
          <w:p>
            <w:pPr>
              <w:pageBreakBefore w:val="0"/>
              <w:topLinePunct w:val="0"/>
              <w:bidi w:val="0"/>
              <w:spacing w:line="360" w:lineRule="auto"/>
              <w:outlineLvl w:val="9"/>
              <w:rPr>
                <w:rFonts w:ascii="宋体" w:hAnsi="宋体"/>
                <w:sz w:val="21"/>
                <w:szCs w:val="21"/>
              </w:rPr>
            </w:pPr>
            <w:r>
              <w:rPr>
                <w:rFonts w:hint="eastAsia" w:ascii="宋体" w:hAnsi="宋体"/>
                <w:sz w:val="21"/>
                <w:szCs w:val="21"/>
              </w:rPr>
              <w:t>票据号：</w:t>
            </w:r>
          </w:p>
          <w:p>
            <w:pPr>
              <w:pageBreakBefore w:val="0"/>
              <w:topLinePunct w:val="0"/>
              <w:bidi w:val="0"/>
              <w:spacing w:line="360" w:lineRule="auto"/>
              <w:outlineLvl w:val="9"/>
              <w:rPr>
                <w:rFonts w:ascii="宋体" w:hAnsi="宋体"/>
                <w:sz w:val="21"/>
                <w:szCs w:val="21"/>
              </w:rPr>
            </w:pPr>
            <w:r>
              <w:rPr>
                <w:rFonts w:hint="eastAsia" w:ascii="宋体" w:hAnsi="宋体"/>
                <w:sz w:val="21"/>
                <w:szCs w:val="21"/>
              </w:rPr>
              <w:t>领用人：</w:t>
            </w:r>
          </w:p>
          <w:p>
            <w:pPr>
              <w:pageBreakBefore w:val="0"/>
              <w:tabs>
                <w:tab w:val="left" w:pos="5292"/>
                <w:tab w:val="left" w:pos="6912"/>
              </w:tabs>
              <w:topLinePunct w:val="0"/>
              <w:bidi w:val="0"/>
              <w:spacing w:line="360" w:lineRule="auto"/>
              <w:outlineLvl w:val="9"/>
              <w:rPr>
                <w:rFonts w:ascii="宋体" w:hAnsi="宋体"/>
                <w:sz w:val="21"/>
                <w:szCs w:val="21"/>
              </w:rPr>
            </w:pPr>
            <w:r>
              <w:rPr>
                <w:rFonts w:hint="eastAsia" w:ascii="宋体" w:hAnsi="宋体"/>
                <w:sz w:val="21"/>
                <w:szCs w:val="21"/>
              </w:rPr>
              <w:t xml:space="preserve">                                           </w:t>
            </w:r>
            <w:r>
              <w:rPr>
                <w:rFonts w:hint="eastAsia" w:ascii="宋体" w:hAnsi="宋体"/>
                <w:sz w:val="18"/>
                <w:szCs w:val="18"/>
              </w:rPr>
              <w:t>（公章）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6" w:hRule="atLeast"/>
          <w:jc w:val="center"/>
        </w:trPr>
        <w:tc>
          <w:tcPr>
            <w:tcW w:w="9018" w:type="dxa"/>
            <w:gridSpan w:val="4"/>
            <w:noWrap w:val="0"/>
            <w:vAlign w:val="top"/>
          </w:tcPr>
          <w:p>
            <w:pPr>
              <w:pageBreakBefore w:val="0"/>
              <w:topLinePunct w:val="0"/>
              <w:bidi w:val="0"/>
              <w:spacing w:line="360" w:lineRule="auto"/>
              <w:outlineLvl w:val="9"/>
              <w:rPr>
                <w:rFonts w:ascii="宋体" w:hAnsi="宋体"/>
                <w:b/>
                <w:sz w:val="21"/>
                <w:szCs w:val="21"/>
              </w:rPr>
            </w:pPr>
            <w:r>
              <w:rPr>
                <w:rFonts w:hint="eastAsia" w:ascii="宋体" w:hAnsi="宋体"/>
                <w:b/>
                <w:sz w:val="21"/>
                <w:szCs w:val="21"/>
              </w:rPr>
              <w:t>教务处意见：</w:t>
            </w:r>
          </w:p>
          <w:p>
            <w:pPr>
              <w:pageBreakBefore w:val="0"/>
              <w:topLinePunct w:val="0"/>
              <w:bidi w:val="0"/>
              <w:spacing w:line="360" w:lineRule="auto"/>
              <w:outlineLvl w:val="9"/>
              <w:rPr>
                <w:rFonts w:hint="eastAsia" w:ascii="宋体" w:hAnsi="宋体" w:eastAsia="宋体"/>
                <w:sz w:val="21"/>
                <w:szCs w:val="21"/>
                <w:lang w:val="en-US" w:eastAsia="zh-CN"/>
              </w:rPr>
            </w:pPr>
          </w:p>
          <w:p>
            <w:pPr>
              <w:pageBreakBefore w:val="0"/>
              <w:topLinePunct w:val="0"/>
              <w:bidi w:val="0"/>
              <w:spacing w:line="360" w:lineRule="auto"/>
              <w:outlineLvl w:val="9"/>
              <w:rPr>
                <w:rFonts w:hint="eastAsia" w:ascii="宋体" w:hAnsi="宋体" w:eastAsia="宋体"/>
                <w:sz w:val="21"/>
                <w:szCs w:val="21"/>
                <w:lang w:val="en-US" w:eastAsia="zh-CN"/>
              </w:rPr>
            </w:pPr>
          </w:p>
          <w:p>
            <w:pPr>
              <w:pageBreakBefore w:val="0"/>
              <w:topLinePunct w:val="0"/>
              <w:bidi w:val="0"/>
              <w:spacing w:line="360" w:lineRule="auto"/>
              <w:outlineLvl w:val="9"/>
              <w:rPr>
                <w:rFonts w:ascii="宋体" w:hAnsi="宋体"/>
                <w:sz w:val="21"/>
                <w:szCs w:val="21"/>
              </w:rPr>
            </w:pPr>
            <w:r>
              <w:rPr>
                <w:rFonts w:hint="eastAsia" w:ascii="宋体" w:hAnsi="宋体"/>
                <w:sz w:val="21"/>
                <w:szCs w:val="21"/>
              </w:rPr>
              <w:t xml:space="preserve">                                           </w:t>
            </w:r>
            <w:r>
              <w:rPr>
                <w:rFonts w:hint="eastAsia" w:ascii="宋体" w:hAnsi="宋体"/>
                <w:sz w:val="18"/>
                <w:szCs w:val="18"/>
              </w:rPr>
              <w:t>（公章）      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1" w:hRule="atLeast"/>
          <w:jc w:val="center"/>
        </w:trPr>
        <w:tc>
          <w:tcPr>
            <w:tcW w:w="9018" w:type="dxa"/>
            <w:gridSpan w:val="4"/>
            <w:noWrap w:val="0"/>
            <w:vAlign w:val="top"/>
          </w:tcPr>
          <w:p>
            <w:pPr>
              <w:pageBreakBefore w:val="0"/>
              <w:tabs>
                <w:tab w:val="left" w:pos="6912"/>
              </w:tabs>
              <w:topLinePunct w:val="0"/>
              <w:bidi w:val="0"/>
              <w:spacing w:line="360" w:lineRule="auto"/>
              <w:outlineLvl w:val="9"/>
              <w:rPr>
                <w:rFonts w:ascii="宋体" w:hAnsi="宋体"/>
                <w:sz w:val="21"/>
                <w:szCs w:val="21"/>
              </w:rPr>
            </w:pPr>
            <w:r>
              <w:rPr>
                <w:rFonts w:hint="eastAsia" w:ascii="宋体" w:hAnsi="宋体"/>
                <w:b/>
                <w:sz w:val="21"/>
                <w:szCs w:val="21"/>
              </w:rPr>
              <w:t>分管校长意见：</w:t>
            </w:r>
          </w:p>
          <w:p>
            <w:pPr>
              <w:pageBreakBefore w:val="0"/>
              <w:tabs>
                <w:tab w:val="left" w:pos="6912"/>
              </w:tabs>
              <w:topLinePunct w:val="0"/>
              <w:bidi w:val="0"/>
              <w:spacing w:line="360" w:lineRule="auto"/>
              <w:outlineLvl w:val="9"/>
              <w:rPr>
                <w:rFonts w:ascii="宋体" w:hAnsi="宋体"/>
                <w:sz w:val="21"/>
                <w:szCs w:val="21"/>
              </w:rPr>
            </w:pPr>
            <w:r>
              <w:rPr>
                <w:rFonts w:hint="eastAsia" w:ascii="宋体" w:hAnsi="宋体"/>
                <w:sz w:val="21"/>
                <w:szCs w:val="21"/>
              </w:rPr>
              <w:t xml:space="preserve">                                    </w:t>
            </w:r>
            <w:r>
              <w:rPr>
                <w:rFonts w:ascii="宋体" w:hAnsi="宋体"/>
                <w:sz w:val="21"/>
                <w:szCs w:val="21"/>
              </w:rPr>
              <w:t xml:space="preserve">      </w:t>
            </w:r>
          </w:p>
          <w:p>
            <w:pPr>
              <w:pageBreakBefore w:val="0"/>
              <w:tabs>
                <w:tab w:val="left" w:pos="6912"/>
              </w:tabs>
              <w:topLinePunct w:val="0"/>
              <w:bidi w:val="0"/>
              <w:spacing w:line="360" w:lineRule="auto"/>
              <w:jc w:val="center"/>
              <w:outlineLvl w:val="9"/>
              <w:rPr>
                <w:rFonts w:ascii="宋体" w:hAnsi="宋体"/>
                <w:sz w:val="21"/>
                <w:szCs w:val="21"/>
              </w:rPr>
            </w:pPr>
            <w:r>
              <w:rPr>
                <w:rFonts w:hint="eastAsia" w:ascii="宋体" w:hAnsi="宋体"/>
                <w:sz w:val="21"/>
                <w:szCs w:val="21"/>
                <w:lang w:val="en-US" w:eastAsia="zh-CN"/>
              </w:rPr>
              <w:t xml:space="preserve">                    </w:t>
            </w:r>
            <w:r>
              <w:rPr>
                <w:rFonts w:hint="eastAsia" w:ascii="宋体" w:hAnsi="宋体"/>
                <w:sz w:val="18"/>
                <w:szCs w:val="18"/>
              </w:rPr>
              <w:t>（签名）      日期：</w:t>
            </w:r>
          </w:p>
        </w:tc>
      </w:tr>
    </w:tbl>
    <w:p>
      <w:pPr>
        <w:pageBreakBefore w:val="0"/>
        <w:numPr>
          <w:ilvl w:val="0"/>
          <w:numId w:val="22"/>
        </w:numPr>
        <w:topLinePunct w:val="0"/>
        <w:bidi w:val="0"/>
        <w:spacing w:line="360" w:lineRule="auto"/>
        <w:ind w:left="-2" w:leftChars="-71" w:hanging="147" w:hangingChars="70"/>
        <w:outlineLvl w:val="9"/>
        <w:rPr>
          <w:rFonts w:hint="eastAsia" w:ascii="宋体" w:hAnsi="宋体"/>
          <w:b w:val="0"/>
          <w:bCs/>
          <w:sz w:val="21"/>
          <w:szCs w:val="21"/>
          <w:lang w:eastAsia="zh-CN"/>
        </w:rPr>
      </w:pPr>
      <w:r>
        <w:rPr>
          <w:rFonts w:hint="eastAsia" w:ascii="宋体" w:hAnsi="宋体"/>
          <w:b w:val="0"/>
          <w:bCs/>
          <w:sz w:val="21"/>
          <w:szCs w:val="21"/>
        </w:rPr>
        <w:t>办班申报时需附：（1）</w:t>
      </w:r>
      <w:r>
        <w:rPr>
          <w:rFonts w:hint="eastAsia" w:ascii="宋体" w:hAnsi="宋体"/>
          <w:b w:val="0"/>
          <w:bCs/>
          <w:sz w:val="21"/>
          <w:szCs w:val="21"/>
          <w:lang w:eastAsia="zh-CN"/>
        </w:rPr>
        <w:t>学员信息表</w:t>
      </w:r>
      <w:r>
        <w:rPr>
          <w:rFonts w:hint="eastAsia" w:ascii="宋体" w:hAnsi="宋体"/>
          <w:b w:val="0"/>
          <w:bCs/>
          <w:sz w:val="21"/>
          <w:szCs w:val="21"/>
        </w:rPr>
        <w:t>（2）</w:t>
      </w:r>
      <w:r>
        <w:rPr>
          <w:rFonts w:hint="eastAsia" w:ascii="宋体" w:hAnsi="宋体"/>
          <w:b w:val="0"/>
          <w:bCs/>
          <w:sz w:val="21"/>
          <w:szCs w:val="21"/>
          <w:lang w:eastAsia="zh-CN"/>
        </w:rPr>
        <w:t>教师信息表（</w:t>
      </w:r>
      <w:r>
        <w:rPr>
          <w:rFonts w:hint="eastAsia" w:ascii="宋体" w:hAnsi="宋体"/>
          <w:b w:val="0"/>
          <w:bCs/>
          <w:sz w:val="21"/>
          <w:szCs w:val="21"/>
          <w:lang w:val="en-US" w:eastAsia="zh-CN"/>
        </w:rPr>
        <w:t>3</w:t>
      </w:r>
      <w:r>
        <w:rPr>
          <w:rFonts w:hint="eastAsia" w:ascii="宋体" w:hAnsi="宋体"/>
          <w:b w:val="0"/>
          <w:bCs/>
          <w:sz w:val="21"/>
          <w:szCs w:val="21"/>
          <w:lang w:eastAsia="zh-CN"/>
        </w:rPr>
        <w:t>）培训协议或招生简章</w:t>
      </w:r>
    </w:p>
    <w:p>
      <w:pPr>
        <w:pageBreakBefore w:val="0"/>
        <w:numPr>
          <w:ilvl w:val="0"/>
          <w:numId w:val="22"/>
        </w:numPr>
        <w:topLinePunct w:val="0"/>
        <w:bidi w:val="0"/>
        <w:spacing w:line="360" w:lineRule="auto"/>
        <w:ind w:left="-2" w:leftChars="-71" w:hanging="147" w:hangingChars="70"/>
        <w:outlineLvl w:val="9"/>
        <w:rPr>
          <w:b w:val="0"/>
          <w:bCs/>
          <w:sz w:val="21"/>
          <w:szCs w:val="21"/>
        </w:rPr>
      </w:pPr>
      <w:r>
        <w:rPr>
          <w:rFonts w:hint="eastAsia" w:ascii="宋体" w:hAnsi="宋体"/>
          <w:b w:val="0"/>
          <w:bCs/>
          <w:sz w:val="21"/>
          <w:szCs w:val="21"/>
          <w:lang w:val="en-US" w:eastAsia="zh-CN"/>
        </w:rPr>
        <w:t>2</w:t>
      </w:r>
      <w:r>
        <w:rPr>
          <w:rFonts w:ascii="宋体" w:hAnsi="宋体"/>
          <w:b w:val="0"/>
          <w:bCs/>
          <w:sz w:val="21"/>
          <w:szCs w:val="21"/>
        </w:rPr>
        <w:t>.</w:t>
      </w:r>
      <w:r>
        <w:rPr>
          <w:rFonts w:hint="eastAsia" w:ascii="宋体" w:hAnsi="宋体"/>
          <w:b w:val="0"/>
          <w:bCs/>
          <w:sz w:val="21"/>
          <w:szCs w:val="21"/>
        </w:rPr>
        <w:t>特殊办班，需分管校长审批</w:t>
      </w:r>
    </w:p>
    <w:p>
      <w:pPr>
        <w:pageBreakBefore w:val="0"/>
        <w:widowControl w:val="0"/>
        <w:numPr>
          <w:ilvl w:val="0"/>
          <w:numId w:val="0"/>
        </w:numPr>
        <w:topLinePunct w:val="0"/>
        <w:bidi w:val="0"/>
        <w:spacing w:line="360" w:lineRule="auto"/>
        <w:jc w:val="both"/>
        <w:outlineLvl w:val="9"/>
        <w:rPr>
          <w:rFonts w:hint="eastAsia" w:ascii="宋体" w:hAnsi="宋体"/>
          <w:b w:val="0"/>
          <w:bCs/>
          <w:sz w:val="21"/>
          <w:szCs w:val="21"/>
        </w:rPr>
      </w:pPr>
    </w:p>
    <w:p>
      <w:pPr>
        <w:pageBreakBefore w:val="0"/>
        <w:widowControl w:val="0"/>
        <w:numPr>
          <w:ilvl w:val="0"/>
          <w:numId w:val="0"/>
        </w:numPr>
        <w:topLinePunct w:val="0"/>
        <w:bidi w:val="0"/>
        <w:spacing w:line="360" w:lineRule="auto"/>
        <w:jc w:val="both"/>
        <w:outlineLvl w:val="9"/>
        <w:rPr>
          <w:rFonts w:hint="eastAsia" w:ascii="宋体" w:hAnsi="宋体"/>
          <w:b w:val="0"/>
          <w:bCs/>
          <w:sz w:val="21"/>
          <w:szCs w:val="21"/>
        </w:rPr>
      </w:pPr>
    </w:p>
    <w:p>
      <w:pPr>
        <w:pageBreakBefore w:val="0"/>
        <w:widowControl w:val="0"/>
        <w:numPr>
          <w:ilvl w:val="0"/>
          <w:numId w:val="0"/>
        </w:numPr>
        <w:topLinePunct w:val="0"/>
        <w:bidi w:val="0"/>
        <w:spacing w:line="360" w:lineRule="auto"/>
        <w:jc w:val="both"/>
        <w:outlineLvl w:val="9"/>
        <w:rPr>
          <w:rFonts w:hint="eastAsia" w:ascii="宋体" w:hAnsi="宋体"/>
          <w:b w:val="0"/>
          <w:bCs/>
          <w:sz w:val="21"/>
          <w:szCs w:val="21"/>
        </w:rPr>
      </w:pPr>
    </w:p>
    <w:p>
      <w:pPr>
        <w:keepNext w:val="0"/>
        <w:keepLines w:val="0"/>
        <w:pageBreakBefore w:val="0"/>
        <w:widowControl/>
        <w:suppressLineNumbers w:val="0"/>
        <w:topLinePunct w:val="0"/>
        <w:bidi w:val="0"/>
        <w:jc w:val="left"/>
        <w:outlineLvl w:val="9"/>
        <w:rPr>
          <w:rFonts w:ascii="华文中宋" w:hAnsi="华文中宋" w:eastAsia="华文中宋" w:cs="华文中宋"/>
          <w:b/>
          <w:bCs/>
          <w:color w:val="FF0000"/>
          <w:kern w:val="0"/>
          <w:sz w:val="56"/>
          <w:szCs w:val="56"/>
          <w:lang w:val="en-US" w:eastAsia="zh-CN" w:bidi="ar"/>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rPr>
      </w:pPr>
      <w:r>
        <w:rPr>
          <w:rFonts w:hint="eastAsia" w:ascii="华文中宋" w:hAnsi="华文中宋" w:eastAsia="华文中宋" w:cs="Times New Roman"/>
          <w:b/>
          <w:color w:val="FF0000"/>
          <w:spacing w:val="10"/>
          <w:sz w:val="56"/>
          <w:szCs w:val="56"/>
          <w:lang w:val="en-US" w:eastAsia="zh-CN"/>
        </w:rPr>
        <w:t xml:space="preserve">上海电子信息职业技术学院文件 </w:t>
      </w:r>
    </w:p>
    <w:p>
      <w:pPr>
        <w:keepNext w:val="0"/>
        <w:keepLines w:val="0"/>
        <w:pageBreakBefore w:val="0"/>
        <w:widowControl/>
        <w:suppressLineNumbers w:val="0"/>
        <w:topLinePunct w:val="0"/>
        <w:bidi w:val="0"/>
        <w:jc w:val="center"/>
        <w:outlineLvl w:val="9"/>
        <w:rPr>
          <w:rFonts w:ascii="仿宋" w:hAnsi="仿宋" w:eastAsia="仿宋" w:cs="仿宋"/>
          <w:color w:val="000000"/>
          <w:kern w:val="0"/>
          <w:sz w:val="32"/>
          <w:szCs w:val="32"/>
          <w:lang w:val="en-US" w:eastAsia="zh-CN" w:bidi="ar"/>
        </w:rPr>
      </w:pPr>
    </w:p>
    <w:p>
      <w:pPr>
        <w:keepNext w:val="0"/>
        <w:keepLines w:val="0"/>
        <w:pageBreakBefore w:val="0"/>
        <w:widowControl/>
        <w:suppressLineNumbers w:val="0"/>
        <w:topLinePunct w:val="0"/>
        <w:bidi w:val="0"/>
        <w:ind w:firstLine="3200" w:firstLineChars="1000"/>
        <w:jc w:val="both"/>
        <w:outlineLvl w:val="9"/>
        <w:rPr>
          <w:rFonts w:hint="default"/>
          <w:u w:val="single"/>
          <w:lang w:val="en-US"/>
        </w:rPr>
      </w:pPr>
      <w:r>
        <w:rPr>
          <w:rFonts w:ascii="仿宋" w:hAnsi="仿宋" w:eastAsia="仿宋" w:cs="仿宋"/>
          <w:color w:val="000000"/>
          <w:kern w:val="0"/>
          <w:sz w:val="32"/>
          <w:szCs w:val="32"/>
          <w:lang w:val="en-US" w:eastAsia="zh-CN" w:bidi="ar"/>
        </w:rPr>
        <w:t>沪电信职院〔</w:t>
      </w:r>
      <w:r>
        <w:rPr>
          <w:rFonts w:hint="default" w:ascii="Times New Roman" w:hAnsi="Times New Roman" w:eastAsia="宋体" w:cs="Times New Roman"/>
          <w:color w:val="000000"/>
          <w:kern w:val="0"/>
          <w:sz w:val="32"/>
          <w:szCs w:val="32"/>
          <w:lang w:val="en-US" w:eastAsia="zh-CN" w:bidi="ar"/>
        </w:rPr>
        <w:t>202</w:t>
      </w:r>
      <w:r>
        <w:rPr>
          <w:rFonts w:hint="eastAsia" w:ascii="Times New Roman" w:hAnsi="Times New Roman" w:eastAsia="宋体" w:cs="Times New Roman"/>
          <w:color w:val="000000"/>
          <w:kern w:val="0"/>
          <w:sz w:val="32"/>
          <w:szCs w:val="32"/>
          <w:lang w:val="en-US" w:eastAsia="zh-CN" w:bidi="ar"/>
        </w:rPr>
        <w:t>2</w:t>
      </w:r>
      <w:r>
        <w:rPr>
          <w:rFonts w:hint="eastAsia" w:ascii="仿宋" w:hAnsi="仿宋" w:eastAsia="仿宋" w:cs="仿宋"/>
          <w:color w:val="000000"/>
          <w:kern w:val="0"/>
          <w:sz w:val="32"/>
          <w:szCs w:val="32"/>
          <w:lang w:val="en-US" w:eastAsia="zh-CN" w:bidi="ar"/>
        </w:rPr>
        <w:t xml:space="preserve">〕8号    </w:t>
      </w:r>
    </w:p>
    <w:p>
      <w:pPr>
        <w:keepNext w:val="0"/>
        <w:keepLines w:val="0"/>
        <w:pageBreakBefore w:val="0"/>
        <w:widowControl/>
        <w:suppressLineNumbers w:val="0"/>
        <w:topLinePunct w:val="0"/>
        <w:bidi w:val="0"/>
        <w:jc w:val="left"/>
        <w:outlineLvl w:val="9"/>
        <w:rPr>
          <w:rFonts w:hint="eastAsia"/>
          <w:b/>
          <w:kern w:val="44"/>
          <w:sz w:val="32"/>
          <w:szCs w:val="32"/>
        </w:rPr>
      </w:pPr>
      <w:r>
        <w:rPr>
          <w:rFonts w:hint="eastAsia" w:ascii="华文中宋" w:hAnsi="华文中宋" w:eastAsia="华文中宋" w:cs="华文中宋"/>
          <w:b/>
          <w:bCs/>
          <w:color w:val="FF0000"/>
          <w:kern w:val="0"/>
          <w:sz w:val="36"/>
          <w:szCs w:val="36"/>
          <w:u w:val="thick"/>
          <w:lang w:val="en-US" w:eastAsia="zh-CN" w:bidi="ar"/>
        </w:rPr>
        <w:t xml:space="preserve">                                                </w:t>
      </w: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
          <w:sz w:val="36"/>
          <w:szCs w:val="36"/>
        </w:rPr>
      </w:pPr>
      <w:bookmarkStart w:id="372" w:name="_Toc20327"/>
      <w:r>
        <w:rPr>
          <w:rFonts w:hint="eastAsia" w:ascii="黑体" w:hAnsi="黑体" w:eastAsia="黑体" w:cs="黑体"/>
          <w:b/>
          <w:sz w:val="36"/>
          <w:szCs w:val="36"/>
        </w:rPr>
        <w:t>关于印发《上海电子信息职业技术学院专业分类管理和专业动态调整实施办法》的通知</w:t>
      </w:r>
      <w:bookmarkEnd w:id="372"/>
    </w:p>
    <w:p>
      <w:pPr>
        <w:pageBreakBefore w:val="0"/>
        <w:topLinePunct w:val="0"/>
        <w:bidi w:val="0"/>
        <w:spacing w:line="560" w:lineRule="exact"/>
        <w:outlineLvl w:val="9"/>
        <w:rPr>
          <w:rFonts w:hint="eastAsia" w:eastAsia="仿宋_GB2312"/>
          <w:sz w:val="32"/>
          <w:szCs w:val="32"/>
        </w:rPr>
      </w:pPr>
    </w:p>
    <w:p>
      <w:pPr>
        <w:pageBreakBefore w:val="0"/>
        <w:topLinePunct w:val="0"/>
        <w:bidi w:val="0"/>
        <w:spacing w:line="500" w:lineRule="exact"/>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各教学单位、职能部门：</w:t>
      </w:r>
    </w:p>
    <w:p>
      <w:pPr>
        <w:pageBreakBefore w:val="0"/>
        <w:topLinePunct w:val="0"/>
        <w:bidi w:val="0"/>
        <w:jc w:val="center"/>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val="en-US" w:eastAsia="zh-CN"/>
        </w:rPr>
        <w:t xml:space="preserve"> 现将</w:t>
      </w:r>
      <w:r>
        <w:rPr>
          <w:rFonts w:hint="eastAsia" w:ascii="仿宋_GB2312" w:hAnsi="仿宋_GB2312" w:eastAsia="仿宋_GB2312" w:cs="仿宋_GB2312"/>
          <w:sz w:val="28"/>
          <w:szCs w:val="28"/>
        </w:rPr>
        <w:t>《上海电子信息职业技术学院专业分类管理和专业动态调整实施办法》</w:t>
      </w:r>
      <w:r>
        <w:rPr>
          <w:rFonts w:hint="eastAsia" w:ascii="仿宋_GB2312" w:hAnsi="仿宋_GB2312" w:eastAsia="仿宋_GB2312" w:cs="仿宋_GB2312"/>
          <w:sz w:val="28"/>
          <w:szCs w:val="28"/>
          <w:lang w:val="en-US" w:eastAsia="zh-CN"/>
        </w:rPr>
        <w:t>印发给你们</w:t>
      </w:r>
      <w:r>
        <w:rPr>
          <w:rFonts w:hint="eastAsia" w:ascii="仿宋_GB2312" w:hAnsi="仿宋_GB2312" w:eastAsia="仿宋_GB2312" w:cs="仿宋_GB2312"/>
          <w:sz w:val="28"/>
          <w:szCs w:val="28"/>
        </w:rPr>
        <w:t>，</w:t>
      </w:r>
      <w:r>
        <w:rPr>
          <w:rFonts w:hint="eastAsia" w:ascii="仿宋_GB2312" w:hAnsi="仿宋_GB2312" w:eastAsia="仿宋_GB2312" w:cs="仿宋_GB2312"/>
          <w:color w:val="000000"/>
          <w:kern w:val="0"/>
          <w:sz w:val="28"/>
          <w:szCs w:val="28"/>
        </w:rPr>
        <w:t>请结合本部门工作实际，认真研究执行。</w:t>
      </w:r>
    </w:p>
    <w:p>
      <w:pPr>
        <w:pageBreakBefore w:val="0"/>
        <w:topLinePunct w:val="0"/>
        <w:bidi w:val="0"/>
        <w:spacing w:line="500" w:lineRule="exact"/>
        <w:ind w:right="1120" w:firstLine="560" w:firstLineChars="200"/>
        <w:jc w:val="left"/>
        <w:outlineLvl w:val="9"/>
        <w:rPr>
          <w:rFonts w:hint="eastAsia" w:ascii="仿宋_GB2312" w:hAnsi="仿宋_GB2312" w:eastAsia="仿宋_GB2312" w:cs="仿宋_GB2312"/>
          <w:sz w:val="28"/>
          <w:szCs w:val="28"/>
        </w:rPr>
      </w:pPr>
    </w:p>
    <w:p>
      <w:pPr>
        <w:pageBreakBefore w:val="0"/>
        <w:topLinePunct w:val="0"/>
        <w:bidi w:val="0"/>
        <w:spacing w:line="500" w:lineRule="exact"/>
        <w:ind w:right="1120" w:firstLine="280" w:firstLineChars="100"/>
        <w:jc w:val="left"/>
        <w:outlineLvl w:val="9"/>
        <w:rPr>
          <w:rFonts w:hint="eastAsia" w:ascii="仿宋_GB2312" w:hAnsi="仿宋_GB2312" w:eastAsia="仿宋_GB2312" w:cs="仿宋_GB2312"/>
          <w:sz w:val="28"/>
          <w:szCs w:val="28"/>
        </w:rPr>
      </w:pPr>
    </w:p>
    <w:p>
      <w:pPr>
        <w:pageBreakBefore w:val="0"/>
        <w:topLinePunct w:val="0"/>
        <w:bidi w:val="0"/>
        <w:spacing w:line="500" w:lineRule="exact"/>
        <w:ind w:right="-100" w:rightChars="0"/>
        <w:jc w:val="left"/>
        <w:outlineLvl w:val="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附件：上海电子信息职业技术学院专业分类管理和专业动态调整实施办法</w:t>
      </w:r>
    </w:p>
    <w:p>
      <w:pPr>
        <w:pageBreakBefore w:val="0"/>
        <w:topLinePunct w:val="0"/>
        <w:bidi w:val="0"/>
        <w:spacing w:line="500" w:lineRule="exact"/>
        <w:ind w:right="-100" w:rightChars="0"/>
        <w:jc w:val="right"/>
        <w:outlineLvl w:val="9"/>
        <w:rPr>
          <w:rFonts w:hint="eastAsia" w:ascii="仿宋_GB2312" w:hAnsi="仿宋_GB2312" w:eastAsia="仿宋_GB2312" w:cs="仿宋_GB2312"/>
          <w:sz w:val="28"/>
          <w:szCs w:val="28"/>
        </w:rPr>
      </w:pPr>
    </w:p>
    <w:p>
      <w:pPr>
        <w:pageBreakBefore w:val="0"/>
        <w:topLinePunct w:val="0"/>
        <w:bidi w:val="0"/>
        <w:spacing w:line="500" w:lineRule="exact"/>
        <w:jc w:val="right"/>
        <w:outlineLvl w:val="9"/>
        <w:rPr>
          <w:rFonts w:hint="eastAsia" w:ascii="仿宋_GB2312" w:hAnsi="仿宋_GB2312" w:eastAsia="仿宋_GB2312" w:cs="仿宋_GB2312"/>
          <w:sz w:val="28"/>
          <w:szCs w:val="28"/>
        </w:rPr>
      </w:pPr>
    </w:p>
    <w:p>
      <w:pPr>
        <w:pageBreakBefore w:val="0"/>
        <w:topLinePunct w:val="0"/>
        <w:bidi w:val="0"/>
        <w:spacing w:line="500" w:lineRule="exact"/>
        <w:jc w:val="right"/>
        <w:outlineLvl w:val="9"/>
        <w:rPr>
          <w:rFonts w:hint="eastAsia" w:ascii="仿宋_GB2312" w:hAnsi="仿宋_GB2312" w:eastAsia="仿宋_GB2312" w:cs="仿宋_GB2312"/>
          <w:sz w:val="28"/>
          <w:szCs w:val="28"/>
        </w:rPr>
      </w:pPr>
    </w:p>
    <w:p>
      <w:pPr>
        <w:pageBreakBefore w:val="0"/>
        <w:topLinePunct w:val="0"/>
        <w:bidi w:val="0"/>
        <w:spacing w:line="500" w:lineRule="exact"/>
        <w:jc w:val="right"/>
        <w:outlineLvl w:val="9"/>
        <w:rPr>
          <w:rFonts w:hint="eastAsia" w:ascii="仿宋_GB2312" w:hAnsi="仿宋_GB2312" w:eastAsia="仿宋_GB2312" w:cs="仿宋_GB2312"/>
          <w:sz w:val="28"/>
          <w:szCs w:val="28"/>
        </w:rPr>
      </w:pPr>
    </w:p>
    <w:p>
      <w:pPr>
        <w:pageBreakBefore w:val="0"/>
        <w:topLinePunct w:val="0"/>
        <w:bidi w:val="0"/>
        <w:spacing w:line="500" w:lineRule="exact"/>
        <w:jc w:val="right"/>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上海电子信息职业技术学院                            </w:t>
      </w:r>
    </w:p>
    <w:p>
      <w:pPr>
        <w:pageBreakBefore w:val="0"/>
        <w:topLinePunct w:val="0"/>
        <w:bidi w:val="0"/>
        <w:spacing w:line="500" w:lineRule="exact"/>
        <w:ind w:right="640"/>
        <w:jc w:val="right"/>
        <w:outlineLvl w:val="9"/>
        <w:rPr>
          <w:rFonts w:hint="eastAsia"/>
          <w:b/>
          <w:bCs/>
          <w:sz w:val="44"/>
          <w:szCs w:val="44"/>
        </w:rPr>
      </w:pPr>
      <w:r>
        <w:rPr>
          <w:rFonts w:hint="eastAsia" w:ascii="仿宋_GB2312" w:hAnsi="仿宋_GB2312" w:eastAsia="仿宋_GB2312" w:cs="仿宋_GB2312"/>
          <w:sz w:val="28"/>
          <w:szCs w:val="28"/>
        </w:rPr>
        <w:t>202</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14</w:t>
      </w:r>
      <w:r>
        <w:rPr>
          <w:rFonts w:hint="eastAsia" w:ascii="仿宋_GB2312" w:hAnsi="仿宋_GB2312" w:eastAsia="仿宋_GB2312" w:cs="仿宋_GB2312"/>
          <w:sz w:val="28"/>
          <w:szCs w:val="28"/>
        </w:rPr>
        <w:t>日</w:t>
      </w:r>
    </w:p>
    <w:p>
      <w:pPr>
        <w:pageBreakBefore w:val="0"/>
        <w:topLinePunct w:val="0"/>
        <w:bidi w:val="0"/>
        <w:jc w:val="left"/>
        <w:outlineLvl w:val="9"/>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附件：</w:t>
      </w:r>
    </w:p>
    <w:p>
      <w:pPr>
        <w:pageBreakBefore w:val="0"/>
        <w:topLinePunct w:val="0"/>
        <w:bidi w:val="0"/>
        <w:jc w:val="center"/>
        <w:outlineLvl w:val="9"/>
        <w:rPr>
          <w:rFonts w:hint="eastAsia" w:ascii="黑体" w:hAnsi="黑体" w:eastAsia="黑体" w:cs="黑体"/>
          <w:b/>
          <w:sz w:val="36"/>
          <w:szCs w:val="36"/>
        </w:rPr>
      </w:pPr>
      <w:r>
        <w:rPr>
          <w:rFonts w:hint="eastAsia" w:ascii="黑体" w:hAnsi="黑体" w:eastAsia="黑体" w:cs="黑体"/>
          <w:b/>
          <w:sz w:val="36"/>
          <w:szCs w:val="36"/>
        </w:rPr>
        <w:t>上海电子信息职业技术学院</w:t>
      </w:r>
    </w:p>
    <w:p>
      <w:pPr>
        <w:pageBreakBefore w:val="0"/>
        <w:topLinePunct w:val="0"/>
        <w:bidi w:val="0"/>
        <w:jc w:val="center"/>
        <w:outlineLvl w:val="9"/>
        <w:rPr>
          <w:spacing w:val="-12"/>
          <w:lang w:val="en-US"/>
        </w:rPr>
      </w:pPr>
      <w:r>
        <w:rPr>
          <w:rFonts w:hint="eastAsia" w:ascii="黑体" w:hAnsi="黑体" w:eastAsia="黑体" w:cs="黑体"/>
          <w:b/>
          <w:sz w:val="36"/>
          <w:szCs w:val="36"/>
        </w:rPr>
        <w:t>专业分类管理和专业动态调整实施办法</w:t>
      </w:r>
    </w:p>
    <w:p>
      <w:pPr>
        <w:pStyle w:val="15"/>
        <w:pageBreakBefore w:val="0"/>
        <w:topLinePunct w:val="0"/>
        <w:bidi w:val="0"/>
        <w:spacing w:line="600" w:lineRule="exact"/>
        <w:ind w:firstLine="571"/>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根据中共中央办公厅、国务院办公厅印发的《关于推动给现代职业教育高质量发展的意见》文件精神，为进一步优化学校专业结构，加强专业建设，提高生源质量，提升办学水平，突出专业特色，提高学校整体专业的竞争力，现结合我校实际，特制定本实施办法。</w:t>
      </w:r>
    </w:p>
    <w:p>
      <w:pPr>
        <w:pStyle w:val="15"/>
        <w:pageBreakBefore w:val="0"/>
        <w:topLinePunct w:val="0"/>
        <w:bidi w:val="0"/>
        <w:spacing w:line="600" w:lineRule="exact"/>
        <w:jc w:val="left"/>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一、指导思想</w:t>
      </w:r>
    </w:p>
    <w:p>
      <w:pPr>
        <w:pStyle w:val="34"/>
        <w:pageBreakBefore w:val="0"/>
        <w:widowControl/>
        <w:topLinePunct w:val="0"/>
        <w:bidi w:val="0"/>
        <w:spacing w:before="0" w:beforeAutospacing="0" w:after="0" w:afterAutospacing="0" w:line="6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全面贯彻落实党的教育方针，结合</w:t>
      </w:r>
      <w:r>
        <w:rPr>
          <w:rFonts w:hint="eastAsia" w:ascii="仿宋_GB2312" w:hAnsi="仿宋_GB2312" w:eastAsia="仿宋_GB2312" w:cs="仿宋_GB2312"/>
          <w:kern w:val="2"/>
          <w:sz w:val="28"/>
          <w:szCs w:val="28"/>
          <w:highlight w:val="none"/>
          <w:lang w:val="en-US" w:eastAsia="zh-CN" w:bidi="ar-SA"/>
        </w:rPr>
        <w:t>上海区域化</w:t>
      </w:r>
      <w:r>
        <w:rPr>
          <w:rFonts w:hint="eastAsia" w:ascii="仿宋_GB2312" w:hAnsi="仿宋_GB2312" w:eastAsia="仿宋_GB2312" w:cs="仿宋_GB2312"/>
          <w:kern w:val="2"/>
          <w:sz w:val="28"/>
          <w:szCs w:val="28"/>
          <w:highlight w:val="none"/>
          <w:lang w:val="zh-CN" w:eastAsia="zh-CN" w:bidi="ar-SA"/>
        </w:rPr>
        <w:t>经济社会发展需要，坚持</w:t>
      </w:r>
      <w:r>
        <w:rPr>
          <w:rFonts w:hint="eastAsia" w:ascii="仿宋_GB2312" w:hAnsi="仿宋_GB2312" w:eastAsia="仿宋_GB2312" w:cs="仿宋_GB2312"/>
          <w:kern w:val="2"/>
          <w:sz w:val="28"/>
          <w:szCs w:val="28"/>
          <w:highlight w:val="none"/>
          <w:lang w:val="en-US" w:eastAsia="zh-CN" w:bidi="ar-SA"/>
        </w:rPr>
        <w:t>发展以社会需要</w:t>
      </w:r>
      <w:r>
        <w:rPr>
          <w:rFonts w:hint="eastAsia" w:ascii="仿宋_GB2312" w:hAnsi="仿宋_GB2312" w:eastAsia="仿宋_GB2312" w:cs="仿宋_GB2312"/>
          <w:kern w:val="2"/>
          <w:sz w:val="28"/>
          <w:szCs w:val="28"/>
          <w:highlight w:val="none"/>
          <w:lang w:val="zh-CN" w:eastAsia="zh-CN" w:bidi="ar-SA"/>
        </w:rPr>
        <w:t>、</w:t>
      </w:r>
      <w:r>
        <w:rPr>
          <w:rFonts w:hint="eastAsia" w:ascii="仿宋_GB2312" w:hAnsi="仿宋_GB2312" w:eastAsia="仿宋_GB2312" w:cs="仿宋_GB2312"/>
          <w:kern w:val="2"/>
          <w:sz w:val="28"/>
          <w:szCs w:val="28"/>
          <w:highlight w:val="none"/>
          <w:lang w:val="en-US" w:eastAsia="zh-CN" w:bidi="ar-SA"/>
        </w:rPr>
        <w:t>就业创业需求为</w:t>
      </w:r>
      <w:r>
        <w:rPr>
          <w:rFonts w:hint="eastAsia" w:ascii="仿宋_GB2312" w:hAnsi="仿宋_GB2312" w:eastAsia="仿宋_GB2312" w:cs="仿宋_GB2312"/>
          <w:kern w:val="2"/>
          <w:sz w:val="28"/>
          <w:szCs w:val="28"/>
          <w:highlight w:val="none"/>
          <w:lang w:val="zh-CN" w:eastAsia="zh-CN" w:bidi="ar-SA"/>
        </w:rPr>
        <w:t>导向的专业，</w:t>
      </w:r>
      <w:r>
        <w:rPr>
          <w:rFonts w:hint="eastAsia" w:ascii="仿宋_GB2312" w:hAnsi="仿宋_GB2312" w:eastAsia="仿宋_GB2312" w:cs="仿宋_GB2312"/>
          <w:kern w:val="2"/>
          <w:sz w:val="28"/>
          <w:szCs w:val="28"/>
          <w:highlight w:val="none"/>
          <w:lang w:val="en-US" w:eastAsia="zh-CN" w:bidi="ar-SA"/>
        </w:rPr>
        <w:t>通过对</w:t>
      </w:r>
      <w:r>
        <w:rPr>
          <w:rFonts w:hint="eastAsia" w:ascii="仿宋_GB2312" w:hAnsi="仿宋_GB2312" w:eastAsia="仿宋_GB2312" w:cs="仿宋_GB2312"/>
          <w:kern w:val="2"/>
          <w:sz w:val="28"/>
          <w:szCs w:val="28"/>
          <w:highlight w:val="none"/>
          <w:lang w:val="zh-CN" w:eastAsia="zh-CN" w:bidi="ar-SA"/>
        </w:rPr>
        <w:t>专业办学条件、教学质量、学生发展、生源与就业等</w:t>
      </w:r>
      <w:r>
        <w:rPr>
          <w:rFonts w:hint="eastAsia" w:ascii="仿宋_GB2312" w:hAnsi="仿宋_GB2312" w:eastAsia="仿宋_GB2312" w:cs="仿宋_GB2312"/>
          <w:kern w:val="2"/>
          <w:sz w:val="28"/>
          <w:szCs w:val="28"/>
          <w:highlight w:val="none"/>
          <w:lang w:val="en-US" w:eastAsia="zh-CN" w:bidi="ar-SA"/>
        </w:rPr>
        <w:t>多方因素</w:t>
      </w:r>
      <w:r>
        <w:rPr>
          <w:rFonts w:hint="eastAsia" w:ascii="仿宋_GB2312" w:hAnsi="仿宋_GB2312" w:eastAsia="仿宋_GB2312" w:cs="仿宋_GB2312"/>
          <w:kern w:val="2"/>
          <w:sz w:val="28"/>
          <w:szCs w:val="28"/>
          <w:highlight w:val="none"/>
          <w:lang w:val="zh-CN" w:eastAsia="zh-CN" w:bidi="ar-SA"/>
        </w:rPr>
        <w:t>强化特色和内涵建设，建立健全专业分类管理及动态调整机制，使专业人才</w:t>
      </w:r>
      <w:r>
        <w:rPr>
          <w:rFonts w:hint="eastAsia" w:ascii="仿宋_GB2312" w:hAnsi="仿宋_GB2312" w:eastAsia="仿宋_GB2312" w:cs="仿宋_GB2312"/>
          <w:kern w:val="2"/>
          <w:sz w:val="28"/>
          <w:szCs w:val="28"/>
          <w:highlight w:val="none"/>
          <w:lang w:val="en-US" w:eastAsia="zh-CN" w:bidi="ar-SA"/>
        </w:rPr>
        <w:t>的</w:t>
      </w:r>
      <w:r>
        <w:rPr>
          <w:rFonts w:hint="eastAsia" w:ascii="仿宋_GB2312" w:hAnsi="仿宋_GB2312" w:eastAsia="仿宋_GB2312" w:cs="仿宋_GB2312"/>
          <w:kern w:val="2"/>
          <w:sz w:val="28"/>
          <w:szCs w:val="28"/>
          <w:highlight w:val="none"/>
          <w:lang w:val="zh-CN" w:eastAsia="zh-CN" w:bidi="ar-SA"/>
        </w:rPr>
        <w:t>培养能够切实符合适应经济社会转型升级的需要。</w:t>
      </w:r>
    </w:p>
    <w:p>
      <w:pPr>
        <w:pStyle w:val="15"/>
        <w:pageBreakBefore w:val="0"/>
        <w:numPr>
          <w:ilvl w:val="0"/>
          <w:numId w:val="23"/>
        </w:numPr>
        <w:topLinePunct w:val="0"/>
        <w:bidi w:val="0"/>
        <w:spacing w:line="60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调整原则</w:t>
      </w:r>
    </w:p>
    <w:p>
      <w:pPr>
        <w:pStyle w:val="15"/>
        <w:pageBreakBefore w:val="0"/>
        <w:topLinePunct w:val="0"/>
        <w:bidi w:val="0"/>
        <w:spacing w:line="600" w:lineRule="exact"/>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需求导向：符合学校的整体的专业布局与规划需求，围绕国家和上海区域化经济建设和社会发展需要，以就业市场为导向，遵循教育规律，体现职教特色，建立专业分类管理及动态调整机制，优先发展特色突出、社会认可度高的专业，缩减发展前景有限、培养特色不明显的专业数量。</w:t>
      </w:r>
    </w:p>
    <w:p>
      <w:pPr>
        <w:pStyle w:val="34"/>
        <w:pageBreakBefore w:val="0"/>
        <w:widowControl/>
        <w:topLinePunct w:val="0"/>
        <w:bidi w:val="0"/>
        <w:spacing w:before="0" w:beforeAutospacing="0" w:after="0" w:afterAutospacing="0" w:line="6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2.质量为本：提高</w:t>
      </w:r>
      <w:r>
        <w:rPr>
          <w:rFonts w:hint="eastAsia" w:ascii="仿宋_GB2312" w:hAnsi="仿宋_GB2312" w:eastAsia="仿宋_GB2312" w:cs="仿宋_GB2312"/>
          <w:kern w:val="2"/>
          <w:sz w:val="28"/>
          <w:szCs w:val="28"/>
          <w:highlight w:val="none"/>
          <w:lang w:val="zh-CN" w:eastAsia="zh-CN" w:bidi="ar-SA"/>
        </w:rPr>
        <w:t>人才培养中心地位，不断提高人才培养目标与国家和区域经济社会发展需求的适应度，促进专业人才培养质量的提高和培养过程的持续改进，</w:t>
      </w:r>
      <w:r>
        <w:rPr>
          <w:rFonts w:hint="eastAsia" w:ascii="仿宋_GB2312" w:hAnsi="仿宋_GB2312" w:eastAsia="仿宋_GB2312" w:cs="仿宋_GB2312"/>
          <w:kern w:val="2"/>
          <w:sz w:val="28"/>
          <w:szCs w:val="28"/>
          <w:highlight w:val="none"/>
          <w:lang w:val="en-US" w:eastAsia="zh-CN" w:bidi="ar-SA"/>
        </w:rPr>
        <w:t>发展</w:t>
      </w:r>
      <w:r>
        <w:rPr>
          <w:rFonts w:hint="eastAsia" w:ascii="仿宋_GB2312" w:hAnsi="仿宋_GB2312" w:eastAsia="仿宋_GB2312" w:cs="仿宋_GB2312"/>
          <w:kern w:val="2"/>
          <w:sz w:val="28"/>
          <w:szCs w:val="28"/>
          <w:highlight w:val="none"/>
          <w:lang w:val="zh-CN" w:eastAsia="zh-CN" w:bidi="ar-SA"/>
        </w:rPr>
        <w:t>有利于提高教育质量和办学效益，优化职业教育层次、结构和布局</w:t>
      </w:r>
      <w:r>
        <w:rPr>
          <w:rFonts w:hint="eastAsia" w:ascii="仿宋_GB2312" w:hAnsi="仿宋_GB2312" w:eastAsia="仿宋_GB2312" w:cs="仿宋_GB2312"/>
          <w:kern w:val="2"/>
          <w:sz w:val="28"/>
          <w:szCs w:val="28"/>
          <w:highlight w:val="none"/>
          <w:lang w:val="en-US" w:eastAsia="zh-CN" w:bidi="ar-SA"/>
        </w:rPr>
        <w:t>的专业</w:t>
      </w:r>
      <w:r>
        <w:rPr>
          <w:rFonts w:hint="eastAsia" w:ascii="仿宋_GB2312" w:hAnsi="仿宋_GB2312" w:eastAsia="仿宋_GB2312" w:cs="仿宋_GB2312"/>
          <w:kern w:val="2"/>
          <w:sz w:val="28"/>
          <w:szCs w:val="28"/>
          <w:highlight w:val="none"/>
          <w:lang w:val="zh-CN" w:eastAsia="zh-CN" w:bidi="ar-SA"/>
        </w:rPr>
        <w:t>，避免</w:t>
      </w:r>
      <w:r>
        <w:rPr>
          <w:rFonts w:hint="eastAsia" w:ascii="仿宋_GB2312" w:hAnsi="仿宋_GB2312" w:eastAsia="仿宋_GB2312" w:cs="仿宋_GB2312"/>
          <w:kern w:val="2"/>
          <w:sz w:val="28"/>
          <w:szCs w:val="28"/>
          <w:highlight w:val="none"/>
          <w:lang w:val="en-US" w:eastAsia="zh-CN" w:bidi="ar-SA"/>
        </w:rPr>
        <w:t>有</w:t>
      </w:r>
      <w:r>
        <w:rPr>
          <w:rFonts w:hint="eastAsia" w:ascii="仿宋_GB2312" w:hAnsi="仿宋_GB2312" w:eastAsia="仿宋_GB2312" w:cs="仿宋_GB2312"/>
          <w:kern w:val="2"/>
          <w:sz w:val="28"/>
          <w:szCs w:val="28"/>
          <w:highlight w:val="none"/>
          <w:lang w:val="zh-CN" w:eastAsia="zh-CN" w:bidi="ar-SA"/>
        </w:rPr>
        <w:t>重复设置</w:t>
      </w:r>
      <w:r>
        <w:rPr>
          <w:rFonts w:hint="eastAsia" w:ascii="仿宋_GB2312" w:hAnsi="仿宋_GB2312" w:eastAsia="仿宋_GB2312" w:cs="仿宋_GB2312"/>
          <w:kern w:val="2"/>
          <w:sz w:val="28"/>
          <w:szCs w:val="28"/>
          <w:highlight w:val="none"/>
          <w:lang w:val="en-US" w:eastAsia="zh-CN" w:bidi="ar-SA"/>
        </w:rPr>
        <w:t>的专业</w:t>
      </w:r>
      <w:r>
        <w:rPr>
          <w:rFonts w:hint="eastAsia" w:ascii="仿宋_GB2312" w:hAnsi="仿宋_GB2312" w:eastAsia="仿宋_GB2312" w:cs="仿宋_GB2312"/>
          <w:kern w:val="2"/>
          <w:sz w:val="28"/>
          <w:szCs w:val="28"/>
          <w:highlight w:val="none"/>
          <w:lang w:val="zh-CN" w:eastAsia="zh-CN" w:bidi="ar-SA"/>
        </w:rPr>
        <w:t>。</w:t>
      </w:r>
    </w:p>
    <w:p>
      <w:pPr>
        <w:pStyle w:val="34"/>
        <w:pageBreakBefore w:val="0"/>
        <w:widowControl/>
        <w:topLinePunct w:val="0"/>
        <w:bidi w:val="0"/>
        <w:spacing w:before="0" w:beforeAutospacing="0" w:after="0" w:afterAutospacing="0" w:line="6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3.优化布局：加强对</w:t>
      </w:r>
      <w:r>
        <w:rPr>
          <w:rFonts w:hint="eastAsia" w:ascii="仿宋_GB2312" w:hAnsi="仿宋_GB2312" w:eastAsia="仿宋_GB2312" w:cs="仿宋_GB2312"/>
          <w:kern w:val="2"/>
          <w:sz w:val="28"/>
          <w:szCs w:val="28"/>
          <w:highlight w:val="none"/>
          <w:lang w:val="zh-CN" w:eastAsia="zh-CN" w:bidi="ar-SA"/>
        </w:rPr>
        <w:t>人才社会需求和人才培养的社会背景、产业背景、行业背景、职业背景的调研与论证以及专业发展前景分析，对</w:t>
      </w:r>
      <w:r>
        <w:rPr>
          <w:rFonts w:hint="eastAsia" w:ascii="仿宋_GB2312" w:hAnsi="仿宋_GB2312" w:eastAsia="仿宋_GB2312" w:cs="仿宋_GB2312"/>
          <w:kern w:val="2"/>
          <w:sz w:val="28"/>
          <w:szCs w:val="28"/>
          <w:highlight w:val="none"/>
          <w:lang w:val="en-US" w:eastAsia="zh-CN" w:bidi="ar-SA"/>
        </w:rPr>
        <w:t>现有</w:t>
      </w:r>
      <w:r>
        <w:rPr>
          <w:rFonts w:hint="eastAsia" w:ascii="仿宋_GB2312" w:hAnsi="仿宋_GB2312" w:eastAsia="仿宋_GB2312" w:cs="仿宋_GB2312"/>
          <w:kern w:val="2"/>
          <w:sz w:val="28"/>
          <w:szCs w:val="28"/>
          <w:highlight w:val="none"/>
          <w:lang w:val="zh-CN" w:eastAsia="zh-CN" w:bidi="ar-SA"/>
        </w:rPr>
        <w:t>专业</w:t>
      </w:r>
      <w:r>
        <w:rPr>
          <w:rFonts w:hint="eastAsia" w:ascii="仿宋_GB2312" w:hAnsi="仿宋_GB2312" w:eastAsia="仿宋_GB2312" w:cs="仿宋_GB2312"/>
          <w:kern w:val="2"/>
          <w:sz w:val="28"/>
          <w:szCs w:val="28"/>
          <w:highlight w:val="none"/>
          <w:lang w:val="en-US" w:eastAsia="zh-CN" w:bidi="ar-SA"/>
        </w:rPr>
        <w:t>经常性进行行业</w:t>
      </w:r>
      <w:r>
        <w:rPr>
          <w:rFonts w:hint="eastAsia" w:ascii="仿宋_GB2312" w:hAnsi="仿宋_GB2312" w:eastAsia="仿宋_GB2312" w:cs="仿宋_GB2312"/>
          <w:kern w:val="2"/>
          <w:sz w:val="28"/>
          <w:szCs w:val="28"/>
          <w:highlight w:val="none"/>
          <w:lang w:val="zh-CN" w:eastAsia="zh-CN" w:bidi="ar-SA"/>
        </w:rPr>
        <w:t>调研论证；保持专业规模基本稳定，控制新增</w:t>
      </w:r>
      <w:r>
        <w:rPr>
          <w:rFonts w:hint="eastAsia" w:ascii="仿宋_GB2312" w:hAnsi="仿宋_GB2312" w:eastAsia="仿宋_GB2312" w:cs="仿宋_GB2312"/>
          <w:kern w:val="2"/>
          <w:sz w:val="28"/>
          <w:szCs w:val="28"/>
          <w:highlight w:val="none"/>
          <w:lang w:val="en-US" w:eastAsia="zh-CN" w:bidi="ar-SA"/>
        </w:rPr>
        <w:t>专业</w:t>
      </w:r>
      <w:r>
        <w:rPr>
          <w:rFonts w:hint="eastAsia" w:ascii="仿宋_GB2312" w:hAnsi="仿宋_GB2312" w:eastAsia="仿宋_GB2312" w:cs="仿宋_GB2312"/>
          <w:kern w:val="2"/>
          <w:sz w:val="28"/>
          <w:szCs w:val="28"/>
          <w:highlight w:val="none"/>
          <w:lang w:val="zh-CN" w:eastAsia="zh-CN" w:bidi="ar-SA"/>
        </w:rPr>
        <w:t>数量，做到专业设置有上有下，对不适应国家和区域经济社会发展需要的专业减少或停止招生，积极增设国家急需的新兴专业。</w:t>
      </w:r>
    </w:p>
    <w:p>
      <w:pPr>
        <w:pStyle w:val="15"/>
        <w:pageBreakBefore w:val="0"/>
        <w:topLinePunct w:val="0"/>
        <w:bidi w:val="0"/>
        <w:spacing w:line="600" w:lineRule="exact"/>
        <w:jc w:val="left"/>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三</w:t>
      </w:r>
      <w:r>
        <w:rPr>
          <w:rFonts w:hint="eastAsia" w:ascii="仿宋_GB2312" w:hAnsi="仿宋_GB2312" w:eastAsia="仿宋_GB2312" w:cs="仿宋_GB2312"/>
          <w:kern w:val="2"/>
          <w:sz w:val="28"/>
          <w:szCs w:val="28"/>
          <w:highlight w:val="none"/>
          <w:lang w:val="zh-CN" w:eastAsia="zh-CN" w:bidi="ar-SA"/>
        </w:rPr>
        <w:t>、专业分类管理</w:t>
      </w:r>
    </w:p>
    <w:p>
      <w:pPr>
        <w:pStyle w:val="15"/>
        <w:pageBreakBefore w:val="0"/>
        <w:topLinePunct w:val="0"/>
        <w:bidi w:val="0"/>
        <w:spacing w:line="60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根据《上海电子信息职业技术学院专业分类管理及动态调整评估指标体系表》（附件1），学校每年对学校所有专业进行评估。</w:t>
      </w:r>
    </w:p>
    <w:p>
      <w:pPr>
        <w:pageBreakBefore w:val="0"/>
        <w:topLinePunct w:val="0"/>
        <w:bidi w:val="0"/>
        <w:spacing w:line="6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1.每年</w:t>
      </w:r>
      <w:r>
        <w:rPr>
          <w:rFonts w:hint="eastAsia" w:ascii="仿宋_GB2312" w:hAnsi="仿宋_GB2312" w:eastAsia="仿宋_GB2312" w:cs="仿宋_GB2312"/>
          <w:kern w:val="2"/>
          <w:sz w:val="28"/>
          <w:szCs w:val="28"/>
          <w:highlight w:val="none"/>
          <w:lang w:val="zh-CN" w:eastAsia="zh-CN" w:bidi="ar-SA"/>
        </w:rPr>
        <w:t>根据</w:t>
      </w:r>
      <w:r>
        <w:rPr>
          <w:rFonts w:hint="eastAsia" w:ascii="仿宋_GB2312" w:hAnsi="仿宋_GB2312" w:eastAsia="仿宋_GB2312" w:cs="仿宋_GB2312"/>
          <w:kern w:val="2"/>
          <w:sz w:val="28"/>
          <w:szCs w:val="28"/>
          <w:highlight w:val="none"/>
          <w:lang w:val="en-US" w:eastAsia="zh-CN" w:bidi="ar-SA"/>
        </w:rPr>
        <w:t>专业</w:t>
      </w:r>
      <w:r>
        <w:rPr>
          <w:rFonts w:hint="eastAsia" w:ascii="仿宋_GB2312" w:hAnsi="仿宋_GB2312" w:eastAsia="仿宋_GB2312" w:cs="仿宋_GB2312"/>
          <w:kern w:val="2"/>
          <w:sz w:val="28"/>
          <w:szCs w:val="28"/>
          <w:highlight w:val="none"/>
          <w:lang w:val="zh-CN" w:eastAsia="zh-CN" w:bidi="ar-SA"/>
        </w:rPr>
        <w:t>评估结果，将专业分为四类：</w:t>
      </w:r>
    </w:p>
    <w:p>
      <w:pPr>
        <w:pageBreakBefore w:val="0"/>
        <w:numPr>
          <w:ilvl w:val="0"/>
          <w:numId w:val="24"/>
        </w:numPr>
        <w:topLinePunct w:val="0"/>
        <w:bidi w:val="0"/>
        <w:spacing w:line="6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A类</w:t>
      </w:r>
      <w:r>
        <w:rPr>
          <w:rFonts w:hint="eastAsia" w:ascii="仿宋_GB2312" w:hAnsi="仿宋_GB2312" w:eastAsia="仿宋_GB2312" w:cs="仿宋_GB2312"/>
          <w:kern w:val="2"/>
          <w:sz w:val="28"/>
          <w:szCs w:val="28"/>
          <w:highlight w:val="none"/>
          <w:lang w:val="zh-CN" w:eastAsia="zh-CN" w:bidi="ar-SA"/>
        </w:rPr>
        <w:t>专业</w:t>
      </w:r>
      <w:r>
        <w:rPr>
          <w:rFonts w:hint="eastAsia" w:ascii="仿宋_GB2312" w:hAnsi="仿宋_GB2312" w:eastAsia="仿宋_GB2312" w:cs="仿宋_GB2312"/>
          <w:kern w:val="2"/>
          <w:sz w:val="28"/>
          <w:szCs w:val="28"/>
          <w:highlight w:val="none"/>
          <w:lang w:val="en-US" w:eastAsia="zh-CN" w:bidi="ar-SA"/>
        </w:rPr>
        <w:t>，评估排名在所有专业中占前30%</w:t>
      </w:r>
      <w:r>
        <w:rPr>
          <w:rFonts w:hint="eastAsia" w:ascii="仿宋_GB2312" w:hAnsi="仿宋_GB2312" w:eastAsia="仿宋_GB2312" w:cs="仿宋_GB2312"/>
          <w:kern w:val="2"/>
          <w:sz w:val="28"/>
          <w:szCs w:val="28"/>
          <w:highlight w:val="none"/>
          <w:lang w:val="zh-CN" w:eastAsia="zh-CN" w:bidi="ar-SA"/>
        </w:rPr>
        <w:t>；</w:t>
      </w:r>
    </w:p>
    <w:p>
      <w:pPr>
        <w:pageBreakBefore w:val="0"/>
        <w:numPr>
          <w:ilvl w:val="0"/>
          <w:numId w:val="24"/>
        </w:numPr>
        <w:topLinePunct w:val="0"/>
        <w:bidi w:val="0"/>
        <w:spacing w:line="6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B类专业，评估排名在所有专业中占前31-60%</w:t>
      </w:r>
      <w:r>
        <w:rPr>
          <w:rFonts w:hint="eastAsia" w:ascii="仿宋_GB2312" w:hAnsi="仿宋_GB2312" w:eastAsia="仿宋_GB2312" w:cs="仿宋_GB2312"/>
          <w:kern w:val="2"/>
          <w:sz w:val="28"/>
          <w:szCs w:val="28"/>
          <w:highlight w:val="none"/>
          <w:lang w:val="zh-CN" w:eastAsia="zh-CN" w:bidi="ar-SA"/>
        </w:rPr>
        <w:t>；</w:t>
      </w:r>
    </w:p>
    <w:p>
      <w:pPr>
        <w:pageBreakBefore w:val="0"/>
        <w:numPr>
          <w:ilvl w:val="0"/>
          <w:numId w:val="24"/>
        </w:numPr>
        <w:topLinePunct w:val="0"/>
        <w:bidi w:val="0"/>
        <w:spacing w:line="6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C类专业，评估排名在所有专业中占前61%-90%，或综合评估分低于38</w:t>
      </w:r>
      <w:r>
        <w:rPr>
          <w:rFonts w:hint="eastAsia" w:ascii="仿宋_GB2312" w:hAnsi="仿宋_GB2312" w:eastAsia="仿宋_GB2312" w:cs="仿宋_GB2312"/>
          <w:kern w:val="2"/>
          <w:sz w:val="28"/>
          <w:szCs w:val="28"/>
          <w:highlight w:val="none"/>
          <w:lang w:val="zh-CN" w:eastAsia="zh-CN" w:bidi="ar-SA"/>
        </w:rPr>
        <w:t>；</w:t>
      </w:r>
    </w:p>
    <w:p>
      <w:pPr>
        <w:pageBreakBefore w:val="0"/>
        <w:numPr>
          <w:ilvl w:val="0"/>
          <w:numId w:val="24"/>
        </w:numPr>
        <w:topLinePunct w:val="0"/>
        <w:bidi w:val="0"/>
        <w:spacing w:line="6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D类专业，评估排名在所有专业中占最后10%，或综合平均分低于28</w:t>
      </w:r>
      <w:r>
        <w:rPr>
          <w:rFonts w:hint="eastAsia" w:ascii="仿宋_GB2312" w:hAnsi="仿宋_GB2312" w:eastAsia="仿宋_GB2312" w:cs="仿宋_GB2312"/>
          <w:kern w:val="2"/>
          <w:sz w:val="28"/>
          <w:szCs w:val="28"/>
          <w:highlight w:val="none"/>
          <w:lang w:val="zh-CN" w:eastAsia="zh-CN" w:bidi="ar-SA"/>
        </w:rPr>
        <w:t>。</w:t>
      </w:r>
    </w:p>
    <w:p>
      <w:pPr>
        <w:pageBreakBefore w:val="0"/>
        <w:topLinePunct w:val="0"/>
        <w:bidi w:val="0"/>
        <w:spacing w:line="6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2.近年连续2年被评为A类的专业，优先得到推荐国家级、上海市级等重点专业的推荐机会，并获得较多的资源配置的权利。</w:t>
      </w:r>
    </w:p>
    <w:p>
      <w:pPr>
        <w:pageBreakBefore w:val="0"/>
        <w:topLinePunct w:val="0"/>
        <w:bidi w:val="0"/>
        <w:spacing w:line="6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3.根据评估结果，B类专业所在二级学院</w:t>
      </w:r>
      <w:r>
        <w:rPr>
          <w:rFonts w:hint="eastAsia" w:ascii="仿宋_GB2312" w:hAnsi="仿宋_GB2312" w:eastAsia="仿宋_GB2312" w:cs="仿宋_GB2312"/>
          <w:kern w:val="2"/>
          <w:sz w:val="28"/>
          <w:szCs w:val="28"/>
          <w:highlight w:val="none"/>
          <w:lang w:val="zh-CN" w:eastAsia="zh-CN" w:bidi="ar-SA"/>
        </w:rPr>
        <w:t>根据评估结果，</w:t>
      </w:r>
      <w:r>
        <w:rPr>
          <w:rFonts w:hint="eastAsia" w:ascii="仿宋_GB2312" w:hAnsi="仿宋_GB2312" w:eastAsia="仿宋_GB2312" w:cs="仿宋_GB2312"/>
          <w:kern w:val="2"/>
          <w:sz w:val="28"/>
          <w:szCs w:val="28"/>
          <w:highlight w:val="none"/>
          <w:lang w:val="en-US" w:eastAsia="zh-CN" w:bidi="ar-SA"/>
        </w:rPr>
        <w:t>每年</w:t>
      </w:r>
      <w:r>
        <w:rPr>
          <w:rFonts w:hint="eastAsia" w:ascii="仿宋_GB2312" w:hAnsi="仿宋_GB2312" w:eastAsia="仿宋_GB2312" w:cs="仿宋_GB2312"/>
          <w:kern w:val="2"/>
          <w:sz w:val="28"/>
          <w:szCs w:val="28"/>
          <w:highlight w:val="none"/>
          <w:lang w:val="zh-CN" w:eastAsia="zh-CN" w:bidi="ar-SA"/>
        </w:rPr>
        <w:t>针对</w:t>
      </w:r>
      <w:r>
        <w:rPr>
          <w:rFonts w:hint="eastAsia" w:ascii="仿宋_GB2312" w:hAnsi="仿宋_GB2312" w:eastAsia="仿宋_GB2312" w:cs="仿宋_GB2312"/>
          <w:kern w:val="2"/>
          <w:sz w:val="28"/>
          <w:szCs w:val="28"/>
          <w:highlight w:val="none"/>
          <w:lang w:val="en-US" w:eastAsia="zh-CN" w:bidi="ar-SA"/>
        </w:rPr>
        <w:t>本</w:t>
      </w:r>
      <w:r>
        <w:rPr>
          <w:rFonts w:hint="eastAsia" w:ascii="仿宋_GB2312" w:hAnsi="仿宋_GB2312" w:eastAsia="仿宋_GB2312" w:cs="仿宋_GB2312"/>
          <w:kern w:val="2"/>
          <w:sz w:val="28"/>
          <w:szCs w:val="28"/>
          <w:highlight w:val="none"/>
          <w:lang w:val="zh-CN" w:eastAsia="zh-CN" w:bidi="ar-SA"/>
        </w:rPr>
        <w:t>专业</w:t>
      </w:r>
      <w:r>
        <w:rPr>
          <w:rFonts w:hint="eastAsia" w:ascii="仿宋_GB2312" w:hAnsi="仿宋_GB2312" w:eastAsia="仿宋_GB2312" w:cs="仿宋_GB2312"/>
          <w:kern w:val="2"/>
          <w:sz w:val="28"/>
          <w:szCs w:val="28"/>
          <w:highlight w:val="none"/>
          <w:lang w:val="en-US" w:eastAsia="zh-CN" w:bidi="ar-SA"/>
        </w:rPr>
        <w:t>的短板</w:t>
      </w:r>
      <w:r>
        <w:rPr>
          <w:rFonts w:hint="eastAsia" w:ascii="仿宋_GB2312" w:hAnsi="仿宋_GB2312" w:eastAsia="仿宋_GB2312" w:cs="仿宋_GB2312"/>
          <w:kern w:val="2"/>
          <w:sz w:val="28"/>
          <w:szCs w:val="28"/>
          <w:highlight w:val="none"/>
          <w:lang w:val="zh-CN" w:eastAsia="zh-CN" w:bidi="ar-SA"/>
        </w:rPr>
        <w:t>，</w:t>
      </w:r>
      <w:r>
        <w:rPr>
          <w:rFonts w:hint="eastAsia" w:ascii="仿宋_GB2312" w:hAnsi="仿宋_GB2312" w:eastAsia="仿宋_GB2312" w:cs="仿宋_GB2312"/>
          <w:kern w:val="2"/>
          <w:sz w:val="28"/>
          <w:szCs w:val="28"/>
          <w:highlight w:val="none"/>
          <w:lang w:val="en-US" w:eastAsia="zh-CN" w:bidi="ar-SA"/>
        </w:rPr>
        <w:t>制定</w:t>
      </w:r>
      <w:r>
        <w:rPr>
          <w:rFonts w:hint="eastAsia" w:ascii="仿宋_GB2312" w:hAnsi="仿宋_GB2312" w:eastAsia="仿宋_GB2312" w:cs="仿宋_GB2312"/>
          <w:kern w:val="2"/>
          <w:sz w:val="28"/>
          <w:szCs w:val="28"/>
          <w:highlight w:val="none"/>
          <w:lang w:val="zh-CN" w:eastAsia="zh-CN" w:bidi="ar-SA"/>
        </w:rPr>
        <w:t>分析与优化发展举措报告，</w:t>
      </w:r>
      <w:r>
        <w:rPr>
          <w:rFonts w:hint="eastAsia" w:ascii="仿宋_GB2312" w:hAnsi="仿宋_GB2312" w:eastAsia="仿宋_GB2312" w:cs="仿宋_GB2312"/>
          <w:kern w:val="2"/>
          <w:sz w:val="28"/>
          <w:szCs w:val="28"/>
          <w:highlight w:val="none"/>
          <w:lang w:val="en-US" w:eastAsia="zh-CN" w:bidi="ar-SA"/>
        </w:rPr>
        <w:t>优先获得学校在</w:t>
      </w:r>
      <w:r>
        <w:rPr>
          <w:rFonts w:hint="eastAsia" w:ascii="仿宋_GB2312" w:hAnsi="仿宋_GB2312" w:eastAsia="仿宋_GB2312" w:cs="仿宋_GB2312"/>
          <w:kern w:val="2"/>
          <w:sz w:val="28"/>
          <w:szCs w:val="28"/>
          <w:highlight w:val="none"/>
          <w:lang w:val="zh-CN" w:eastAsia="zh-CN" w:bidi="ar-SA"/>
        </w:rPr>
        <w:t>师资引进、资源匹配等方面</w:t>
      </w:r>
      <w:r>
        <w:rPr>
          <w:rFonts w:hint="eastAsia" w:ascii="仿宋_GB2312" w:hAnsi="仿宋_GB2312" w:eastAsia="仿宋_GB2312" w:cs="仿宋_GB2312"/>
          <w:kern w:val="2"/>
          <w:sz w:val="28"/>
          <w:szCs w:val="28"/>
          <w:highlight w:val="none"/>
          <w:lang w:val="en-US" w:eastAsia="zh-CN" w:bidi="ar-SA"/>
        </w:rPr>
        <w:t>的</w:t>
      </w:r>
      <w:r>
        <w:rPr>
          <w:rFonts w:hint="eastAsia" w:ascii="仿宋_GB2312" w:hAnsi="仿宋_GB2312" w:eastAsia="仿宋_GB2312" w:cs="仿宋_GB2312"/>
          <w:kern w:val="2"/>
          <w:sz w:val="28"/>
          <w:szCs w:val="28"/>
          <w:highlight w:val="none"/>
          <w:lang w:val="zh-CN" w:eastAsia="zh-CN" w:bidi="ar-SA"/>
        </w:rPr>
        <w:t>做出统筹调整。</w:t>
      </w:r>
    </w:p>
    <w:p>
      <w:pPr>
        <w:pageBreakBefore w:val="0"/>
        <w:topLinePunct w:val="0"/>
        <w:bidi w:val="0"/>
        <w:spacing w:line="6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w:t>
      </w:r>
      <w:r>
        <w:rPr>
          <w:rFonts w:hint="eastAsia" w:ascii="仿宋_GB2312" w:hAnsi="仿宋_GB2312" w:eastAsia="仿宋_GB2312" w:cs="仿宋_GB2312"/>
          <w:kern w:val="2"/>
          <w:sz w:val="28"/>
          <w:szCs w:val="28"/>
          <w:highlight w:val="none"/>
          <w:lang w:val="zh-CN" w:eastAsia="zh-CN" w:bidi="ar-SA"/>
        </w:rPr>
        <w:t>.</w:t>
      </w:r>
      <w:r>
        <w:rPr>
          <w:rFonts w:hint="eastAsia" w:ascii="仿宋_GB2312" w:hAnsi="仿宋_GB2312" w:eastAsia="仿宋_GB2312" w:cs="仿宋_GB2312"/>
          <w:kern w:val="2"/>
          <w:sz w:val="28"/>
          <w:szCs w:val="28"/>
          <w:highlight w:val="none"/>
          <w:lang w:val="en-US" w:eastAsia="zh-CN" w:bidi="ar-SA"/>
        </w:rPr>
        <w:t>专业评分五年内有3次被列为C类</w:t>
      </w:r>
      <w:r>
        <w:rPr>
          <w:rFonts w:hint="eastAsia" w:ascii="仿宋_GB2312" w:hAnsi="仿宋_GB2312" w:eastAsia="仿宋_GB2312" w:cs="仿宋_GB2312"/>
          <w:kern w:val="2"/>
          <w:sz w:val="28"/>
          <w:szCs w:val="28"/>
          <w:highlight w:val="none"/>
          <w:lang w:val="zh-CN" w:eastAsia="zh-CN" w:bidi="ar-SA"/>
        </w:rPr>
        <w:t>的专业，列为限制发展专业，</w:t>
      </w:r>
      <w:r>
        <w:rPr>
          <w:rFonts w:hint="eastAsia" w:ascii="仿宋_GB2312" w:hAnsi="仿宋_GB2312" w:eastAsia="仿宋_GB2312" w:cs="仿宋_GB2312"/>
          <w:kern w:val="2"/>
          <w:sz w:val="28"/>
          <w:szCs w:val="28"/>
          <w:highlight w:val="none"/>
          <w:lang w:val="en-US" w:eastAsia="zh-CN" w:bidi="ar-SA"/>
        </w:rPr>
        <w:t>学校</w:t>
      </w:r>
      <w:r>
        <w:rPr>
          <w:rFonts w:hint="eastAsia" w:ascii="仿宋_GB2312" w:hAnsi="仿宋_GB2312" w:eastAsia="仿宋_GB2312" w:cs="仿宋_GB2312"/>
          <w:kern w:val="2"/>
          <w:sz w:val="28"/>
          <w:szCs w:val="28"/>
          <w:highlight w:val="none"/>
          <w:lang w:val="zh-CN" w:eastAsia="zh-CN" w:bidi="ar-SA"/>
        </w:rPr>
        <w:t>暂缓</w:t>
      </w:r>
      <w:r>
        <w:rPr>
          <w:rFonts w:hint="eastAsia" w:ascii="仿宋_GB2312" w:hAnsi="仿宋_GB2312" w:eastAsia="仿宋_GB2312" w:cs="仿宋_GB2312"/>
          <w:kern w:val="2"/>
          <w:sz w:val="28"/>
          <w:szCs w:val="28"/>
          <w:highlight w:val="none"/>
          <w:lang w:val="en-US" w:eastAsia="zh-CN" w:bidi="ar-SA"/>
        </w:rPr>
        <w:t>在师资引进、资源配置方面的统筹调整，所在二级学院根据评估结果</w:t>
      </w:r>
      <w:r>
        <w:rPr>
          <w:rFonts w:hint="eastAsia" w:ascii="仿宋_GB2312" w:hAnsi="仿宋_GB2312" w:eastAsia="仿宋_GB2312" w:cs="仿宋_GB2312"/>
          <w:kern w:val="2"/>
          <w:sz w:val="28"/>
          <w:szCs w:val="28"/>
          <w:highlight w:val="none"/>
          <w:lang w:val="zh-CN" w:eastAsia="zh-CN" w:bidi="ar-SA"/>
        </w:rPr>
        <w:t>，</w:t>
      </w:r>
      <w:r>
        <w:rPr>
          <w:rFonts w:hint="eastAsia" w:ascii="仿宋_GB2312" w:hAnsi="仿宋_GB2312" w:eastAsia="仿宋_GB2312" w:cs="仿宋_GB2312"/>
          <w:kern w:val="2"/>
          <w:sz w:val="28"/>
          <w:szCs w:val="28"/>
          <w:highlight w:val="none"/>
          <w:lang w:val="en-US" w:eastAsia="zh-CN" w:bidi="ar-SA"/>
        </w:rPr>
        <w:t>需制定全面分析报告和调整规划。</w:t>
      </w:r>
    </w:p>
    <w:p>
      <w:pPr>
        <w:pageBreakBefore w:val="0"/>
        <w:topLinePunct w:val="0"/>
        <w:bidi w:val="0"/>
        <w:spacing w:line="6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5.新申报专业暂定为B类专业，需制定未来3年的全面分析报告和调整规划，优先获得学校在</w:t>
      </w:r>
      <w:r>
        <w:rPr>
          <w:rFonts w:hint="eastAsia" w:ascii="仿宋_GB2312" w:hAnsi="仿宋_GB2312" w:eastAsia="仿宋_GB2312" w:cs="仿宋_GB2312"/>
          <w:kern w:val="2"/>
          <w:sz w:val="28"/>
          <w:szCs w:val="28"/>
          <w:highlight w:val="none"/>
          <w:lang w:val="zh-CN" w:eastAsia="zh-CN" w:bidi="ar-SA"/>
        </w:rPr>
        <w:t>师资引进、资源匹配等方面做出统筹调整，</w:t>
      </w:r>
      <w:r>
        <w:rPr>
          <w:rFonts w:hint="eastAsia" w:ascii="仿宋_GB2312" w:hAnsi="仿宋_GB2312" w:eastAsia="仿宋_GB2312" w:cs="仿宋_GB2312"/>
          <w:kern w:val="2"/>
          <w:sz w:val="28"/>
          <w:szCs w:val="28"/>
          <w:highlight w:val="none"/>
          <w:lang w:val="en-US" w:eastAsia="zh-CN" w:bidi="ar-SA"/>
        </w:rPr>
        <w:t>新申报专业建设周期为3年，3年后参与全校专业的统一评估。</w:t>
      </w:r>
    </w:p>
    <w:p>
      <w:pPr>
        <w:pStyle w:val="34"/>
        <w:pageBreakBefore w:val="0"/>
        <w:widowControl/>
        <w:topLinePunct w:val="0"/>
        <w:bidi w:val="0"/>
        <w:spacing w:before="0" w:beforeAutospacing="0" w:after="0" w:afterAutospacing="0" w:line="6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D类专业将实行招生的预警机制，下年度将减少招生，连续2年被列为D类的专业，实行隔年招生，停止新教师的引进；连续3年被列为D类的专业，停止招生，不再参与申报与专业建设相关的项目，停止学校师资引进与资源配置方面的统筹调整。</w:t>
      </w:r>
    </w:p>
    <w:p>
      <w:pPr>
        <w:pageBreakBefore w:val="0"/>
        <w:topLinePunct w:val="0"/>
        <w:bidi w:val="0"/>
        <w:spacing w:line="6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7</w:t>
      </w:r>
      <w:r>
        <w:rPr>
          <w:rFonts w:hint="eastAsia" w:ascii="仿宋_GB2312" w:hAnsi="仿宋_GB2312" w:eastAsia="仿宋_GB2312" w:cs="仿宋_GB2312"/>
          <w:kern w:val="2"/>
          <w:sz w:val="28"/>
          <w:szCs w:val="28"/>
          <w:highlight w:val="none"/>
          <w:lang w:val="zh-CN" w:eastAsia="zh-CN" w:bidi="ar-SA"/>
        </w:rPr>
        <w:t>.评估结果作为二级学院专业招生、建设资金分配、内涵项目申报的重要依据。</w:t>
      </w:r>
    </w:p>
    <w:p>
      <w:pPr>
        <w:pageBreakBefore w:val="0"/>
        <w:topLinePunct w:val="0"/>
        <w:bidi w:val="0"/>
        <w:spacing w:line="6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8.三年制高职专业数原则上不再增加；有D类专业或C类、D类专业占比达40%的二级学院，将限制申报新专业。</w:t>
      </w:r>
    </w:p>
    <w:p>
      <w:pPr>
        <w:pageBreakBefore w:val="0"/>
        <w:topLinePunct w:val="0"/>
        <w:bidi w:val="0"/>
        <w:spacing w:line="6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zh-CN" w:eastAsia="zh-CN" w:bidi="ar-SA"/>
        </w:rPr>
        <w:t>9.根据职业本科学校申报工作进展以及学校的发展等情况，学校将参考专业评估的数据，及时动态调整专业布局。</w:t>
      </w:r>
    </w:p>
    <w:p>
      <w:pPr>
        <w:pStyle w:val="15"/>
        <w:pageBreakBefore w:val="0"/>
        <w:topLinePunct w:val="0"/>
        <w:bidi w:val="0"/>
        <w:spacing w:line="600" w:lineRule="exact"/>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四、组织实施</w:t>
      </w:r>
    </w:p>
    <w:p>
      <w:pPr>
        <w:pageBreakBefore w:val="0"/>
        <w:topLinePunct w:val="0"/>
        <w:bidi w:val="0"/>
        <w:spacing w:line="6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1.每年9月，教务处教务处在校园网公告栏发布“关于提交各专业分级自评表的通知”，各个二级学院按照本专业分类管理和专业动态调整评估指标体系要求进行填写，并提供相关佐证材料。</w:t>
      </w:r>
    </w:p>
    <w:p>
      <w:pPr>
        <w:pageBreakBefore w:val="0"/>
        <w:topLinePunct w:val="0"/>
        <w:bidi w:val="0"/>
        <w:spacing w:line="600" w:lineRule="exact"/>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2.指标分值中标注当年度数据为：统计年份前一年的9月1日到统计年度8月31日，招生数据根据学生报到时间适当延后。</w:t>
      </w:r>
    </w:p>
    <w:p>
      <w:pPr>
        <w:pageBreakBefore w:val="0"/>
        <w:topLinePunct w:val="0"/>
        <w:bidi w:val="0"/>
        <w:spacing w:line="600" w:lineRule="exact"/>
        <w:ind w:firstLine="560" w:firstLineChars="200"/>
        <w:outlineLvl w:val="9"/>
        <w:rPr>
          <w:rFonts w:hint="eastAsia" w:ascii="仿宋_GB2312" w:hAnsi="仿宋_GB2312" w:eastAsia="仿宋_GB2312" w:cs="仿宋_GB2312"/>
          <w:kern w:val="2"/>
          <w:sz w:val="28"/>
          <w:szCs w:val="28"/>
          <w:highlight w:val="none"/>
          <w:lang w:val="zh-CN" w:eastAsia="zh-CN" w:bidi="ar-SA"/>
        </w:rPr>
      </w:pPr>
      <w:r>
        <w:rPr>
          <w:rFonts w:hint="eastAsia" w:ascii="仿宋_GB2312" w:hAnsi="仿宋_GB2312" w:eastAsia="仿宋_GB2312" w:cs="仿宋_GB2312"/>
          <w:kern w:val="2"/>
          <w:sz w:val="28"/>
          <w:szCs w:val="28"/>
          <w:highlight w:val="none"/>
          <w:lang w:val="en-US" w:eastAsia="zh-CN" w:bidi="ar-SA"/>
        </w:rPr>
        <w:t>3.</w:t>
      </w:r>
      <w:r>
        <w:rPr>
          <w:rFonts w:hint="eastAsia" w:ascii="仿宋_GB2312" w:hAnsi="仿宋_GB2312" w:eastAsia="仿宋_GB2312" w:cs="仿宋_GB2312"/>
          <w:kern w:val="2"/>
          <w:sz w:val="28"/>
          <w:szCs w:val="28"/>
          <w:highlight w:val="none"/>
          <w:lang w:val="zh-CN" w:eastAsia="zh-CN" w:bidi="ar-SA"/>
        </w:rPr>
        <w:t>学校组织校内外专家组成专家组，采取审阅专业分级自评表、查看专业自评支撑材料、与专业教师面对面座谈会方式进行评估；专家组意见和建议反馈学院和专业，并按照专业分类管理条例进行实施。</w:t>
      </w: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p>
    <w:p>
      <w:pPr>
        <w:pageBreakBefore w:val="0"/>
        <w:topLinePunct w:val="0"/>
        <w:bidi w:val="0"/>
        <w:spacing w:before="49"/>
        <w:jc w:val="left"/>
        <w:outlineLvl w:val="9"/>
        <w:rPr>
          <w:rFonts w:hint="eastAsia" w:ascii="仿宋_GB2312" w:hAnsi="仿宋_GB2312" w:eastAsia="仿宋_GB2312" w:cs="仿宋_GB2312"/>
          <w:color w:val="333333"/>
          <w:w w:val="95"/>
          <w:sz w:val="28"/>
          <w:szCs w:val="28"/>
          <w:lang w:val="en-US" w:eastAsia="zh-CN"/>
        </w:rPr>
      </w:pPr>
      <w:r>
        <w:rPr>
          <w:rFonts w:hint="eastAsia" w:ascii="仿宋_GB2312" w:hAnsi="仿宋_GB2312" w:eastAsia="仿宋_GB2312" w:cs="仿宋_GB2312"/>
          <w:color w:val="333333"/>
          <w:w w:val="95"/>
          <w:sz w:val="28"/>
          <w:szCs w:val="28"/>
          <w:lang w:val="en-US" w:eastAsia="zh-CN"/>
        </w:rPr>
        <w:t>附件1</w:t>
      </w:r>
    </w:p>
    <w:p>
      <w:pPr>
        <w:pageBreakBefore w:val="0"/>
        <w:topLinePunct w:val="0"/>
        <w:bidi w:val="0"/>
        <w:spacing w:before="49"/>
        <w:jc w:val="both"/>
        <w:outlineLvl w:val="9"/>
        <w:rPr>
          <w:rFonts w:hint="eastAsia"/>
          <w:color w:val="333333"/>
          <w:w w:val="95"/>
          <w:lang w:val="en-US"/>
        </w:rPr>
      </w:pPr>
    </w:p>
    <w:p>
      <w:pPr>
        <w:pageBreakBefore w:val="0"/>
        <w:topLinePunct w:val="0"/>
        <w:bidi w:val="0"/>
        <w:spacing w:before="49"/>
        <w:jc w:val="center"/>
        <w:outlineLvl w:val="9"/>
        <w:rPr>
          <w:rFonts w:hint="eastAsia"/>
          <w:color w:val="333333"/>
          <w:w w:val="95"/>
          <w:sz w:val="52"/>
          <w:szCs w:val="52"/>
          <w:lang w:val="en-US"/>
        </w:rPr>
      </w:pPr>
    </w:p>
    <w:p>
      <w:pPr>
        <w:pageBreakBefore w:val="0"/>
        <w:topLinePunct w:val="0"/>
        <w:bidi w:val="0"/>
        <w:spacing w:before="49"/>
        <w:jc w:val="center"/>
        <w:outlineLvl w:val="9"/>
        <w:rPr>
          <w:color w:val="333333"/>
          <w:w w:val="95"/>
          <w:sz w:val="52"/>
          <w:szCs w:val="52"/>
          <w:lang w:val="en-US"/>
        </w:rPr>
      </w:pPr>
      <w:r>
        <w:rPr>
          <w:rFonts w:hint="eastAsia"/>
          <w:color w:val="333333"/>
          <w:w w:val="95"/>
          <w:sz w:val="52"/>
          <w:szCs w:val="52"/>
          <w:lang w:val="en-US"/>
        </w:rPr>
        <w:t>上海电子信息职业技术学院</w:t>
      </w:r>
    </w:p>
    <w:p>
      <w:pPr>
        <w:pageBreakBefore w:val="0"/>
        <w:topLinePunct w:val="0"/>
        <w:bidi w:val="0"/>
        <w:spacing w:before="49"/>
        <w:jc w:val="center"/>
        <w:outlineLvl w:val="9"/>
        <w:rPr>
          <w:color w:val="333333"/>
          <w:w w:val="95"/>
          <w:lang w:val="en-US"/>
        </w:rPr>
      </w:pPr>
    </w:p>
    <w:p>
      <w:pPr>
        <w:pageBreakBefore w:val="0"/>
        <w:topLinePunct w:val="0"/>
        <w:bidi w:val="0"/>
        <w:spacing w:before="49"/>
        <w:jc w:val="center"/>
        <w:outlineLvl w:val="9"/>
        <w:rPr>
          <w:rFonts w:hint="eastAsia"/>
          <w:color w:val="333333"/>
          <w:w w:val="95"/>
          <w:sz w:val="36"/>
          <w:szCs w:val="36"/>
          <w:lang w:val="en-US"/>
        </w:rPr>
      </w:pPr>
    </w:p>
    <w:p>
      <w:pPr>
        <w:pageBreakBefore w:val="0"/>
        <w:topLinePunct w:val="0"/>
        <w:bidi w:val="0"/>
        <w:spacing w:before="49"/>
        <w:jc w:val="center"/>
        <w:outlineLvl w:val="9"/>
        <w:rPr>
          <w:rFonts w:hint="eastAsia"/>
          <w:color w:val="333333"/>
          <w:w w:val="95"/>
          <w:sz w:val="36"/>
          <w:szCs w:val="36"/>
          <w:lang w:val="en-US"/>
        </w:rPr>
      </w:pPr>
    </w:p>
    <w:p>
      <w:pPr>
        <w:pageBreakBefore w:val="0"/>
        <w:topLinePunct w:val="0"/>
        <w:bidi w:val="0"/>
        <w:spacing w:before="49"/>
        <w:jc w:val="center"/>
        <w:outlineLvl w:val="9"/>
        <w:rPr>
          <w:rFonts w:hint="eastAsia"/>
          <w:color w:val="333333"/>
          <w:w w:val="95"/>
          <w:sz w:val="36"/>
          <w:szCs w:val="36"/>
          <w:lang w:val="en-US"/>
        </w:rPr>
      </w:pPr>
    </w:p>
    <w:p>
      <w:pPr>
        <w:pageBreakBefore w:val="0"/>
        <w:topLinePunct w:val="0"/>
        <w:bidi w:val="0"/>
        <w:spacing w:before="49"/>
        <w:jc w:val="center"/>
        <w:outlineLvl w:val="9"/>
        <w:rPr>
          <w:color w:val="333333"/>
          <w:w w:val="95"/>
          <w:sz w:val="36"/>
          <w:szCs w:val="36"/>
          <w:lang w:val="en-US"/>
        </w:rPr>
      </w:pPr>
      <w:r>
        <w:rPr>
          <w:rFonts w:hint="eastAsia"/>
          <w:color w:val="333333"/>
          <w:w w:val="95"/>
          <w:sz w:val="36"/>
          <w:szCs w:val="36"/>
          <w:lang w:val="en-US"/>
        </w:rPr>
        <w:t>专业分类管理和专业动态调整评估</w:t>
      </w:r>
    </w:p>
    <w:p>
      <w:pPr>
        <w:pageBreakBefore w:val="0"/>
        <w:topLinePunct w:val="0"/>
        <w:bidi w:val="0"/>
        <w:spacing w:before="49"/>
        <w:jc w:val="center"/>
        <w:outlineLvl w:val="9"/>
        <w:rPr>
          <w:color w:val="333333"/>
          <w:w w:val="95"/>
          <w:sz w:val="36"/>
          <w:szCs w:val="36"/>
          <w:lang w:val="en-US"/>
        </w:rPr>
      </w:pPr>
    </w:p>
    <w:p>
      <w:pPr>
        <w:pageBreakBefore w:val="0"/>
        <w:topLinePunct w:val="0"/>
        <w:bidi w:val="0"/>
        <w:spacing w:before="49"/>
        <w:jc w:val="center"/>
        <w:outlineLvl w:val="9"/>
        <w:rPr>
          <w:color w:val="333333"/>
          <w:w w:val="95"/>
          <w:sz w:val="36"/>
          <w:szCs w:val="36"/>
          <w:lang w:val="en-US"/>
        </w:rPr>
      </w:pPr>
    </w:p>
    <w:p>
      <w:pPr>
        <w:pageBreakBefore w:val="0"/>
        <w:topLinePunct w:val="0"/>
        <w:bidi w:val="0"/>
        <w:spacing w:before="49"/>
        <w:jc w:val="center"/>
        <w:outlineLvl w:val="9"/>
        <w:rPr>
          <w:color w:val="333333"/>
          <w:w w:val="95"/>
          <w:sz w:val="36"/>
          <w:szCs w:val="36"/>
          <w:lang w:val="en-US"/>
        </w:rPr>
      </w:pPr>
      <w:r>
        <w:rPr>
          <w:rFonts w:hint="eastAsia"/>
          <w:color w:val="333333"/>
          <w:w w:val="95"/>
          <w:sz w:val="36"/>
          <w:szCs w:val="36"/>
          <w:lang w:val="en-US"/>
        </w:rPr>
        <w:t>指标体系</w:t>
      </w:r>
    </w:p>
    <w:p>
      <w:pPr>
        <w:pageBreakBefore w:val="0"/>
        <w:topLinePunct w:val="0"/>
        <w:bidi w:val="0"/>
        <w:spacing w:line="537" w:lineRule="auto"/>
        <w:jc w:val="both"/>
        <w:outlineLvl w:val="9"/>
        <w:rPr>
          <w:sz w:val="36"/>
        </w:rPr>
      </w:pPr>
    </w:p>
    <w:p>
      <w:pPr>
        <w:pageBreakBefore w:val="0"/>
        <w:topLinePunct w:val="0"/>
        <w:bidi w:val="0"/>
        <w:spacing w:line="537" w:lineRule="auto"/>
        <w:jc w:val="center"/>
        <w:outlineLvl w:val="9"/>
        <w:rPr>
          <w:sz w:val="36"/>
        </w:rPr>
        <w:sectPr>
          <w:pgSz w:w="11906" w:h="16838"/>
          <w:pgMar w:top="1440" w:right="1803" w:bottom="1440" w:left="1803" w:header="851" w:footer="992" w:gutter="0"/>
          <w:pgNumType w:fmt="decimal"/>
          <w:cols w:space="425" w:num="1"/>
          <w:docGrid w:type="lines" w:linePitch="312" w:charSpace="0"/>
        </w:sectPr>
      </w:pPr>
    </w:p>
    <w:p>
      <w:pPr>
        <w:pageBreakBefore w:val="0"/>
        <w:topLinePunct w:val="0"/>
        <w:bidi w:val="0"/>
        <w:spacing w:line="320" w:lineRule="exact"/>
        <w:outlineLvl w:val="9"/>
        <w:rPr>
          <w:rFonts w:ascii="仿宋" w:hAnsi="仿宋" w:eastAsia="仿宋" w:cs="仿宋"/>
          <w:sz w:val="32"/>
          <w:lang w:bidi="zh-CN"/>
        </w:rPr>
      </w:pPr>
      <w:r>
        <w:rPr>
          <w:rFonts w:hint="eastAsia" w:ascii="仿宋" w:hAnsi="仿宋" w:eastAsia="仿宋" w:cs="仿宋"/>
          <w:sz w:val="32"/>
          <w:lang w:bidi="zh-CN"/>
        </w:rPr>
        <w:t>一、指标分值</w:t>
      </w:r>
    </w:p>
    <w:p>
      <w:pPr>
        <w:pageBreakBefore w:val="0"/>
        <w:topLinePunct w:val="0"/>
        <w:bidi w:val="0"/>
        <w:spacing w:line="240" w:lineRule="exact"/>
        <w:outlineLvl w:val="9"/>
        <w:rPr>
          <w:rFonts w:ascii="仿宋" w:hAnsi="仿宋" w:eastAsia="仿宋" w:cs="仿宋"/>
          <w:sz w:val="32"/>
          <w:lang w:bidi="zh-CN"/>
        </w:rPr>
      </w:pPr>
    </w:p>
    <w:p>
      <w:pPr>
        <w:pageBreakBefore w:val="0"/>
        <w:topLinePunct w:val="0"/>
        <w:bidi w:val="0"/>
        <w:spacing w:line="240" w:lineRule="exact"/>
        <w:outlineLvl w:val="9"/>
        <w:rPr>
          <w:rFonts w:ascii="仿宋" w:hAnsi="仿宋" w:eastAsia="仿宋" w:cs="仿宋"/>
          <w:sz w:val="24"/>
          <w:lang w:bidi="zh-CN"/>
        </w:rPr>
      </w:pPr>
    </w:p>
    <w:p>
      <w:pPr>
        <w:pageBreakBefore w:val="0"/>
        <w:topLinePunct w:val="0"/>
        <w:bidi w:val="0"/>
        <w:spacing w:line="240" w:lineRule="exact"/>
        <w:outlineLvl w:val="9"/>
        <w:rPr>
          <w:rFonts w:ascii="仿宋" w:hAnsi="仿宋" w:eastAsia="仿宋" w:cs="仿宋"/>
          <w:sz w:val="24"/>
          <w:lang w:bidi="zh-CN"/>
        </w:rPr>
      </w:pPr>
    </w:p>
    <w:tbl>
      <w:tblPr>
        <w:tblStyle w:val="37"/>
        <w:tblpPr w:leftFromText="180" w:rightFromText="180" w:vertAnchor="text" w:horzAnchor="page" w:tblpX="1357" w:tblpY="-88"/>
        <w:tblOverlap w:val="never"/>
        <w:tblW w:w="141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2"/>
        <w:gridCol w:w="1496"/>
        <w:gridCol w:w="2720"/>
        <w:gridCol w:w="4742"/>
        <w:gridCol w:w="36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622" w:type="dxa"/>
            <w:noWrap w:val="0"/>
            <w:vAlign w:val="center"/>
          </w:tcPr>
          <w:p>
            <w:pPr>
              <w:pStyle w:val="108"/>
              <w:pageBreakBefore w:val="0"/>
              <w:topLinePunct w:val="0"/>
              <w:bidi w:val="0"/>
              <w:jc w:val="center"/>
              <w:outlineLvl w:val="9"/>
              <w:rPr>
                <w:rFonts w:ascii="Times New Roman"/>
                <w:sz w:val="20"/>
              </w:rPr>
            </w:pPr>
          </w:p>
          <w:p>
            <w:pPr>
              <w:pStyle w:val="108"/>
              <w:pageBreakBefore w:val="0"/>
              <w:topLinePunct w:val="0"/>
              <w:bidi w:val="0"/>
              <w:spacing w:before="131"/>
              <w:jc w:val="center"/>
              <w:outlineLvl w:val="9"/>
              <w:rPr>
                <w:b/>
              </w:rPr>
            </w:pPr>
            <w:r>
              <w:rPr>
                <w:b/>
              </w:rPr>
              <w:t>一级指标</w:t>
            </w:r>
          </w:p>
        </w:tc>
        <w:tc>
          <w:tcPr>
            <w:tcW w:w="1496" w:type="dxa"/>
            <w:noWrap w:val="0"/>
            <w:vAlign w:val="center"/>
          </w:tcPr>
          <w:p>
            <w:pPr>
              <w:pStyle w:val="108"/>
              <w:pageBreakBefore w:val="0"/>
              <w:topLinePunct w:val="0"/>
              <w:bidi w:val="0"/>
              <w:jc w:val="center"/>
              <w:outlineLvl w:val="9"/>
              <w:rPr>
                <w:rFonts w:ascii="Times New Roman"/>
                <w:sz w:val="20"/>
              </w:rPr>
            </w:pPr>
          </w:p>
          <w:p>
            <w:pPr>
              <w:pStyle w:val="108"/>
              <w:pageBreakBefore w:val="0"/>
              <w:topLinePunct w:val="0"/>
              <w:bidi w:val="0"/>
              <w:spacing w:before="131"/>
              <w:jc w:val="center"/>
              <w:outlineLvl w:val="9"/>
              <w:rPr>
                <w:b/>
              </w:rPr>
            </w:pPr>
            <w:r>
              <w:rPr>
                <w:b/>
              </w:rPr>
              <w:t>二级指标</w:t>
            </w:r>
          </w:p>
        </w:tc>
        <w:tc>
          <w:tcPr>
            <w:tcW w:w="2720" w:type="dxa"/>
            <w:noWrap w:val="0"/>
            <w:vAlign w:val="center"/>
          </w:tcPr>
          <w:p>
            <w:pPr>
              <w:pStyle w:val="108"/>
              <w:pageBreakBefore w:val="0"/>
              <w:topLinePunct w:val="0"/>
              <w:bidi w:val="0"/>
              <w:jc w:val="center"/>
              <w:outlineLvl w:val="9"/>
              <w:rPr>
                <w:rFonts w:ascii="Times New Roman"/>
                <w:sz w:val="20"/>
              </w:rPr>
            </w:pPr>
          </w:p>
          <w:p>
            <w:pPr>
              <w:pStyle w:val="108"/>
              <w:pageBreakBefore w:val="0"/>
              <w:topLinePunct w:val="0"/>
              <w:bidi w:val="0"/>
              <w:spacing w:before="131"/>
              <w:jc w:val="center"/>
              <w:outlineLvl w:val="9"/>
              <w:rPr>
                <w:b/>
              </w:rPr>
            </w:pPr>
            <w:r>
              <w:rPr>
                <w:b/>
              </w:rPr>
              <w:t>三级指标</w:t>
            </w:r>
          </w:p>
        </w:tc>
        <w:tc>
          <w:tcPr>
            <w:tcW w:w="4742" w:type="dxa"/>
            <w:noWrap w:val="0"/>
            <w:vAlign w:val="center"/>
          </w:tcPr>
          <w:p>
            <w:pPr>
              <w:pStyle w:val="108"/>
              <w:pageBreakBefore w:val="0"/>
              <w:topLinePunct w:val="0"/>
              <w:bidi w:val="0"/>
              <w:jc w:val="center"/>
              <w:outlineLvl w:val="9"/>
              <w:rPr>
                <w:rFonts w:ascii="Times New Roman"/>
                <w:sz w:val="20"/>
              </w:rPr>
            </w:pPr>
          </w:p>
          <w:p>
            <w:pPr>
              <w:pStyle w:val="108"/>
              <w:pageBreakBefore w:val="0"/>
              <w:topLinePunct w:val="0"/>
              <w:bidi w:val="0"/>
              <w:spacing w:before="131"/>
              <w:jc w:val="center"/>
              <w:outlineLvl w:val="9"/>
              <w:rPr>
                <w:b/>
              </w:rPr>
            </w:pPr>
            <w:r>
              <w:rPr>
                <w:b/>
              </w:rPr>
              <w:t>数据来源及说明</w:t>
            </w:r>
          </w:p>
        </w:tc>
        <w:tc>
          <w:tcPr>
            <w:tcW w:w="3619" w:type="dxa"/>
            <w:noWrap w:val="0"/>
            <w:vAlign w:val="center"/>
          </w:tcPr>
          <w:p>
            <w:pPr>
              <w:pStyle w:val="108"/>
              <w:pageBreakBefore w:val="0"/>
              <w:topLinePunct w:val="0"/>
              <w:bidi w:val="0"/>
              <w:jc w:val="center"/>
              <w:outlineLvl w:val="9"/>
              <w:rPr>
                <w:rFonts w:ascii="Times New Roman"/>
                <w:sz w:val="20"/>
              </w:rPr>
            </w:pPr>
          </w:p>
          <w:p>
            <w:pPr>
              <w:pStyle w:val="108"/>
              <w:pageBreakBefore w:val="0"/>
              <w:topLinePunct w:val="0"/>
              <w:bidi w:val="0"/>
              <w:spacing w:before="131"/>
              <w:ind w:left="32" w:right="27"/>
              <w:jc w:val="center"/>
              <w:outlineLvl w:val="9"/>
              <w:rPr>
                <w:b/>
                <w:lang w:val="en-US"/>
              </w:rPr>
            </w:pPr>
            <w:r>
              <w:rPr>
                <w:rFonts w:hint="eastAsia"/>
                <w:b/>
                <w:lang w:val="en-US"/>
              </w:rPr>
              <w:t>分值计算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7" w:hRule="atLeast"/>
        </w:trPr>
        <w:tc>
          <w:tcPr>
            <w:tcW w:w="1622" w:type="dxa"/>
            <w:vMerge w:val="restart"/>
            <w:noWrap w:val="0"/>
            <w:vAlign w:val="center"/>
          </w:tcPr>
          <w:p>
            <w:pPr>
              <w:pStyle w:val="108"/>
              <w:pageBreakBefore w:val="0"/>
              <w:topLinePunct w:val="0"/>
              <w:bidi w:val="0"/>
              <w:spacing w:before="131"/>
              <w:ind w:left="223"/>
              <w:outlineLvl w:val="9"/>
              <w:rPr>
                <w:b/>
                <w:lang w:val="en-US"/>
              </w:rPr>
            </w:pPr>
            <w:r>
              <w:rPr>
                <w:rFonts w:hint="eastAsia"/>
                <w:b/>
                <w:lang w:val="en-US"/>
              </w:rPr>
              <w:t>1．师资条件</w:t>
            </w:r>
          </w:p>
          <w:p>
            <w:pPr>
              <w:pStyle w:val="108"/>
              <w:pageBreakBefore w:val="0"/>
              <w:topLinePunct w:val="0"/>
              <w:bidi w:val="0"/>
              <w:spacing w:before="131"/>
              <w:ind w:left="223"/>
              <w:jc w:val="center"/>
              <w:outlineLvl w:val="9"/>
              <w:rPr>
                <w:b/>
                <w:lang w:val="en-US"/>
              </w:rPr>
            </w:pPr>
            <w:r>
              <w:rPr>
                <w:rFonts w:hint="eastAsia"/>
                <w:b/>
                <w:lang w:val="en-US"/>
              </w:rPr>
              <w:t>（</w:t>
            </w:r>
            <w:r>
              <w:rPr>
                <w:b/>
                <w:lang w:val="en-US"/>
              </w:rPr>
              <w:t>28</w:t>
            </w:r>
            <w:r>
              <w:rPr>
                <w:rFonts w:hint="eastAsia"/>
                <w:b/>
                <w:lang w:val="en-US"/>
              </w:rPr>
              <w:t>分）</w:t>
            </w:r>
          </w:p>
          <w:p>
            <w:pPr>
              <w:pStyle w:val="108"/>
              <w:pageBreakBefore w:val="0"/>
              <w:topLinePunct w:val="0"/>
              <w:bidi w:val="0"/>
              <w:spacing w:before="131"/>
              <w:ind w:left="223"/>
              <w:jc w:val="center"/>
              <w:outlineLvl w:val="9"/>
              <w:rPr>
                <w:b/>
                <w:lang w:val="en-US"/>
              </w:rPr>
            </w:pPr>
          </w:p>
        </w:tc>
        <w:tc>
          <w:tcPr>
            <w:tcW w:w="1496" w:type="dxa"/>
            <w:vMerge w:val="restart"/>
            <w:noWrap w:val="0"/>
            <w:vAlign w:val="center"/>
          </w:tcPr>
          <w:p>
            <w:pPr>
              <w:pStyle w:val="108"/>
              <w:pageBreakBefore w:val="0"/>
              <w:topLinePunct w:val="0"/>
              <w:bidi w:val="0"/>
              <w:spacing w:before="131"/>
              <w:jc w:val="center"/>
              <w:outlineLvl w:val="9"/>
              <w:rPr>
                <w:b/>
                <w:lang w:val="en-US"/>
              </w:rPr>
            </w:pPr>
            <w:r>
              <w:rPr>
                <w:rFonts w:hint="eastAsia"/>
                <w:b/>
                <w:lang w:val="en-US"/>
              </w:rPr>
              <w:t>1</w:t>
            </w:r>
            <w:r>
              <w:rPr>
                <w:rFonts w:ascii="Times New Roman" w:eastAsia="Times New Roman"/>
                <w:b/>
              </w:rPr>
              <w:t>-</w:t>
            </w:r>
            <w:r>
              <w:rPr>
                <w:rFonts w:hint="eastAsia"/>
                <w:b/>
                <w:lang w:val="en-US"/>
              </w:rPr>
              <w:t>1师资队伍</w:t>
            </w:r>
          </w:p>
          <w:p>
            <w:pPr>
              <w:pStyle w:val="108"/>
              <w:pageBreakBefore w:val="0"/>
              <w:topLinePunct w:val="0"/>
              <w:bidi w:val="0"/>
              <w:spacing w:before="131"/>
              <w:jc w:val="center"/>
              <w:outlineLvl w:val="9"/>
              <w:rPr>
                <w:b/>
                <w:lang w:val="en-US"/>
              </w:rPr>
            </w:pPr>
            <w:r>
              <w:rPr>
                <w:rFonts w:hint="eastAsia"/>
                <w:b/>
                <w:lang w:val="en-US"/>
              </w:rPr>
              <w:t>（</w:t>
            </w:r>
            <w:r>
              <w:rPr>
                <w:b/>
                <w:lang w:val="en-US"/>
              </w:rPr>
              <w:t>28</w:t>
            </w:r>
            <w:r>
              <w:rPr>
                <w:rFonts w:hint="eastAsia"/>
                <w:b/>
                <w:lang w:val="en-US"/>
              </w:rPr>
              <w:t>分）</w:t>
            </w:r>
          </w:p>
        </w:tc>
        <w:tc>
          <w:tcPr>
            <w:tcW w:w="2720" w:type="dxa"/>
            <w:noWrap w:val="0"/>
            <w:vAlign w:val="center"/>
          </w:tcPr>
          <w:p>
            <w:pPr>
              <w:pStyle w:val="108"/>
              <w:pageBreakBefore w:val="0"/>
              <w:topLinePunct w:val="0"/>
              <w:bidi w:val="0"/>
              <w:spacing w:before="131"/>
              <w:jc w:val="center"/>
              <w:outlineLvl w:val="9"/>
              <w:rPr>
                <w:b/>
              </w:rPr>
            </w:pPr>
            <w:r>
              <w:rPr>
                <w:rFonts w:hint="eastAsia"/>
                <w:b/>
              </w:rPr>
              <w:t>专业专任教师数</w:t>
            </w:r>
          </w:p>
          <w:p>
            <w:pPr>
              <w:pStyle w:val="108"/>
              <w:pageBreakBefore w:val="0"/>
              <w:topLinePunct w:val="0"/>
              <w:bidi w:val="0"/>
              <w:spacing w:before="131"/>
              <w:jc w:val="center"/>
              <w:outlineLvl w:val="9"/>
              <w:rPr>
                <w:b/>
                <w:lang w:val="en-US"/>
              </w:rPr>
            </w:pPr>
            <w:r>
              <w:rPr>
                <w:rFonts w:hint="eastAsia"/>
                <w:b/>
              </w:rPr>
              <w:t>（</w:t>
            </w:r>
            <w:r>
              <w:rPr>
                <w:rFonts w:hint="eastAsia"/>
                <w:b/>
                <w:lang w:val="en-US"/>
              </w:rPr>
              <w:t>4分）</w:t>
            </w:r>
          </w:p>
        </w:tc>
        <w:tc>
          <w:tcPr>
            <w:tcW w:w="4742" w:type="dxa"/>
            <w:noWrap w:val="0"/>
            <w:vAlign w:val="center"/>
          </w:tcPr>
          <w:p>
            <w:pPr>
              <w:pStyle w:val="108"/>
              <w:pageBreakBefore w:val="0"/>
              <w:numPr>
                <w:ilvl w:val="0"/>
                <w:numId w:val="25"/>
              </w:numPr>
              <w:tabs>
                <w:tab w:val="left" w:pos="636"/>
              </w:tabs>
              <w:topLinePunct w:val="0"/>
              <w:bidi w:val="0"/>
              <w:spacing w:before="22" w:line="278" w:lineRule="auto"/>
              <w:ind w:right="99"/>
              <w:jc w:val="left"/>
              <w:outlineLvl w:val="9"/>
              <w:rPr>
                <w:b/>
                <w:spacing w:val="-3"/>
                <w:sz w:val="19"/>
                <w:szCs w:val="19"/>
                <w:lang w:val="en-US"/>
              </w:rPr>
            </w:pPr>
            <w:r>
              <w:rPr>
                <w:rFonts w:hint="eastAsia"/>
                <w:b/>
                <w:spacing w:val="-3"/>
                <w:sz w:val="19"/>
                <w:szCs w:val="19"/>
                <w:lang w:val="en-US"/>
              </w:rPr>
              <w:t>专业专任教师指本专业教师数。</w:t>
            </w:r>
          </w:p>
          <w:p>
            <w:pPr>
              <w:pStyle w:val="108"/>
              <w:pageBreakBefore w:val="0"/>
              <w:numPr>
                <w:ilvl w:val="0"/>
                <w:numId w:val="25"/>
              </w:numPr>
              <w:tabs>
                <w:tab w:val="left" w:pos="636"/>
              </w:tabs>
              <w:topLinePunct w:val="0"/>
              <w:bidi w:val="0"/>
              <w:spacing w:before="22" w:line="278" w:lineRule="auto"/>
              <w:ind w:right="99"/>
              <w:jc w:val="left"/>
              <w:outlineLvl w:val="9"/>
              <w:rPr>
                <w:b/>
                <w:lang w:val="en-US"/>
              </w:rPr>
            </w:pPr>
            <w:r>
              <w:rPr>
                <w:rFonts w:hint="eastAsia"/>
                <w:b/>
                <w:spacing w:val="-3"/>
                <w:sz w:val="19"/>
                <w:szCs w:val="19"/>
                <w:lang w:val="en-US"/>
              </w:rPr>
              <w:t>每个专业专任教师只能归属一个专业，以人事处统计数据为准。</w:t>
            </w:r>
          </w:p>
        </w:tc>
        <w:tc>
          <w:tcPr>
            <w:tcW w:w="3619" w:type="dxa"/>
            <w:noWrap w:val="0"/>
            <w:vAlign w:val="center"/>
          </w:tcPr>
          <w:p>
            <w:pPr>
              <w:pStyle w:val="108"/>
              <w:pageBreakBefore w:val="0"/>
              <w:numPr>
                <w:ilvl w:val="0"/>
                <w:numId w:val="26"/>
              </w:numPr>
              <w:tabs>
                <w:tab w:val="left" w:pos="636"/>
              </w:tabs>
              <w:topLinePunct w:val="0"/>
              <w:bidi w:val="0"/>
              <w:spacing w:before="22" w:line="278" w:lineRule="auto"/>
              <w:ind w:right="99"/>
              <w:jc w:val="left"/>
              <w:outlineLvl w:val="9"/>
              <w:rPr>
                <w:b/>
                <w:spacing w:val="-3"/>
                <w:sz w:val="19"/>
                <w:szCs w:val="19"/>
                <w:lang w:val="en-US"/>
              </w:rPr>
            </w:pPr>
            <w:r>
              <w:rPr>
                <w:rFonts w:hint="eastAsia"/>
                <w:b/>
                <w:spacing w:val="-3"/>
                <w:sz w:val="19"/>
                <w:szCs w:val="19"/>
                <w:lang w:val="en-US"/>
              </w:rPr>
              <w:t>≥8人，比值为100%</w:t>
            </w:r>
          </w:p>
          <w:p>
            <w:pPr>
              <w:pStyle w:val="108"/>
              <w:pageBreakBefore w:val="0"/>
              <w:numPr>
                <w:ilvl w:val="0"/>
                <w:numId w:val="26"/>
              </w:numPr>
              <w:tabs>
                <w:tab w:val="left" w:pos="636"/>
              </w:tabs>
              <w:topLinePunct w:val="0"/>
              <w:bidi w:val="0"/>
              <w:spacing w:before="22" w:line="278" w:lineRule="auto"/>
              <w:ind w:right="99"/>
              <w:jc w:val="left"/>
              <w:outlineLvl w:val="9"/>
              <w:rPr>
                <w:b/>
                <w:spacing w:val="-3"/>
                <w:sz w:val="19"/>
                <w:szCs w:val="19"/>
                <w:lang w:val="en-US"/>
              </w:rPr>
            </w:pPr>
            <w:r>
              <w:rPr>
                <w:b/>
                <w:spacing w:val="-3"/>
                <w:sz w:val="19"/>
                <w:szCs w:val="19"/>
                <w:lang w:val="en-US"/>
              </w:rPr>
              <w:t>6-7人</w:t>
            </w:r>
            <w:r>
              <w:rPr>
                <w:rFonts w:hint="eastAsia"/>
                <w:b/>
                <w:spacing w:val="-3"/>
                <w:sz w:val="19"/>
                <w:szCs w:val="19"/>
                <w:lang w:val="en-US"/>
              </w:rPr>
              <w:t>，比值为80%</w:t>
            </w:r>
          </w:p>
          <w:p>
            <w:pPr>
              <w:pStyle w:val="108"/>
              <w:pageBreakBefore w:val="0"/>
              <w:numPr>
                <w:ilvl w:val="0"/>
                <w:numId w:val="26"/>
              </w:numPr>
              <w:tabs>
                <w:tab w:val="left" w:pos="636"/>
              </w:tabs>
              <w:topLinePunct w:val="0"/>
              <w:bidi w:val="0"/>
              <w:spacing w:before="22" w:line="278" w:lineRule="auto"/>
              <w:ind w:right="99"/>
              <w:jc w:val="left"/>
              <w:outlineLvl w:val="9"/>
              <w:rPr>
                <w:b/>
                <w:spacing w:val="-3"/>
                <w:lang w:val="en-US"/>
              </w:rPr>
            </w:pPr>
            <w:r>
              <w:rPr>
                <w:b/>
                <w:spacing w:val="-3"/>
                <w:sz w:val="19"/>
                <w:szCs w:val="19"/>
                <w:lang w:val="en-US"/>
              </w:rPr>
              <w:t>4-5人</w:t>
            </w:r>
            <w:r>
              <w:rPr>
                <w:rFonts w:hint="eastAsia"/>
                <w:b/>
                <w:spacing w:val="-3"/>
                <w:sz w:val="19"/>
                <w:szCs w:val="19"/>
                <w:lang w:val="en-US"/>
              </w:rPr>
              <w:t>，比值为60%</w:t>
            </w:r>
          </w:p>
          <w:p>
            <w:pPr>
              <w:pStyle w:val="108"/>
              <w:pageBreakBefore w:val="0"/>
              <w:numPr>
                <w:ilvl w:val="0"/>
                <w:numId w:val="26"/>
              </w:numPr>
              <w:tabs>
                <w:tab w:val="left" w:pos="636"/>
              </w:tabs>
              <w:topLinePunct w:val="0"/>
              <w:bidi w:val="0"/>
              <w:spacing w:before="22" w:line="278" w:lineRule="auto"/>
              <w:ind w:right="99"/>
              <w:jc w:val="left"/>
              <w:outlineLvl w:val="9"/>
              <w:rPr>
                <w:b/>
                <w:spacing w:val="-3"/>
                <w:lang w:val="en-US"/>
              </w:rPr>
            </w:pPr>
            <w:r>
              <w:rPr>
                <w:b/>
                <w:spacing w:val="-3"/>
                <w:sz w:val="19"/>
                <w:szCs w:val="19"/>
                <w:lang w:val="en-US"/>
              </w:rPr>
              <w:t>≤3人</w:t>
            </w:r>
            <w:r>
              <w:rPr>
                <w:rFonts w:hint="eastAsia"/>
                <w:b/>
                <w:spacing w:val="-3"/>
                <w:sz w:val="19"/>
                <w:szCs w:val="19"/>
                <w:lang w:val="en-US"/>
              </w:rPr>
              <w:t>，比值为0%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2" w:hRule="atLeast"/>
        </w:trPr>
        <w:tc>
          <w:tcPr>
            <w:tcW w:w="1622" w:type="dxa"/>
            <w:vMerge w:val="continue"/>
            <w:noWrap w:val="0"/>
            <w:vAlign w:val="center"/>
          </w:tcPr>
          <w:p>
            <w:pPr>
              <w:pStyle w:val="108"/>
              <w:pageBreakBefore w:val="0"/>
              <w:topLinePunct w:val="0"/>
              <w:bidi w:val="0"/>
              <w:spacing w:before="131"/>
              <w:ind w:left="223"/>
              <w:jc w:val="left"/>
              <w:outlineLvl w:val="9"/>
              <w:rPr>
                <w:b/>
                <w:lang w:val="en-US"/>
              </w:rPr>
            </w:pPr>
          </w:p>
        </w:tc>
        <w:tc>
          <w:tcPr>
            <w:tcW w:w="1496" w:type="dxa"/>
            <w:vMerge w:val="continue"/>
            <w:noWrap w:val="0"/>
            <w:vAlign w:val="center"/>
          </w:tcPr>
          <w:p>
            <w:pPr>
              <w:pStyle w:val="108"/>
              <w:pageBreakBefore w:val="0"/>
              <w:topLinePunct w:val="0"/>
              <w:bidi w:val="0"/>
              <w:spacing w:before="131"/>
              <w:jc w:val="left"/>
              <w:outlineLvl w:val="9"/>
              <w:rPr>
                <w:b/>
                <w:lang w:val="en-US"/>
              </w:rPr>
            </w:pPr>
          </w:p>
        </w:tc>
        <w:tc>
          <w:tcPr>
            <w:tcW w:w="2720" w:type="dxa"/>
            <w:noWrap w:val="0"/>
            <w:vAlign w:val="center"/>
          </w:tcPr>
          <w:p>
            <w:pPr>
              <w:pStyle w:val="108"/>
              <w:pageBreakBefore w:val="0"/>
              <w:tabs>
                <w:tab w:val="left" w:pos="636"/>
              </w:tabs>
              <w:topLinePunct w:val="0"/>
              <w:bidi w:val="0"/>
              <w:spacing w:before="22" w:line="278" w:lineRule="auto"/>
              <w:ind w:right="99"/>
              <w:jc w:val="center"/>
              <w:outlineLvl w:val="9"/>
              <w:rPr>
                <w:b/>
                <w:spacing w:val="-3"/>
                <w:sz w:val="19"/>
                <w:szCs w:val="19"/>
                <w:lang w:val="en-US"/>
              </w:rPr>
            </w:pPr>
            <w:r>
              <w:rPr>
                <w:rFonts w:hint="eastAsia"/>
                <w:b/>
                <w:spacing w:val="-3"/>
                <w:sz w:val="19"/>
                <w:szCs w:val="19"/>
                <w:lang w:val="en-US"/>
              </w:rPr>
              <w:t>专任教师与该专业在校生人数之比</w:t>
            </w:r>
          </w:p>
          <w:p>
            <w:pPr>
              <w:pStyle w:val="108"/>
              <w:pageBreakBefore w:val="0"/>
              <w:tabs>
                <w:tab w:val="left" w:pos="636"/>
              </w:tabs>
              <w:topLinePunct w:val="0"/>
              <w:bidi w:val="0"/>
              <w:spacing w:before="22" w:line="278" w:lineRule="auto"/>
              <w:ind w:right="99"/>
              <w:jc w:val="center"/>
              <w:outlineLvl w:val="9"/>
              <w:rPr>
                <w:b/>
                <w:spacing w:val="-3"/>
                <w:sz w:val="19"/>
                <w:szCs w:val="19"/>
                <w:lang w:val="en-US"/>
              </w:rPr>
            </w:pPr>
            <w:r>
              <w:rPr>
                <w:rFonts w:hint="eastAsia"/>
                <w:b/>
              </w:rPr>
              <w:t>（</w:t>
            </w:r>
            <w:r>
              <w:rPr>
                <w:rFonts w:hint="eastAsia"/>
                <w:b/>
                <w:lang w:val="en-US"/>
              </w:rPr>
              <w:t>8分）</w:t>
            </w:r>
          </w:p>
        </w:tc>
        <w:tc>
          <w:tcPr>
            <w:tcW w:w="4742" w:type="dxa"/>
            <w:noWrap w:val="0"/>
            <w:vAlign w:val="center"/>
          </w:tcPr>
          <w:p>
            <w:pPr>
              <w:pStyle w:val="108"/>
              <w:pageBreakBefore w:val="0"/>
              <w:numPr>
                <w:ilvl w:val="0"/>
                <w:numId w:val="27"/>
              </w:numPr>
              <w:tabs>
                <w:tab w:val="left" w:pos="636"/>
              </w:tabs>
              <w:topLinePunct w:val="0"/>
              <w:bidi w:val="0"/>
              <w:spacing w:before="22" w:line="278" w:lineRule="auto"/>
              <w:ind w:right="99"/>
              <w:jc w:val="left"/>
              <w:outlineLvl w:val="9"/>
              <w:rPr>
                <w:b/>
                <w:spacing w:val="-3"/>
                <w:sz w:val="19"/>
                <w:szCs w:val="19"/>
                <w:lang w:val="en-US"/>
              </w:rPr>
            </w:pPr>
            <w:r>
              <w:rPr>
                <w:rFonts w:hint="eastAsia"/>
                <w:b/>
                <w:spacing w:val="-3"/>
                <w:sz w:val="19"/>
                <w:szCs w:val="19"/>
                <w:lang w:val="en-US"/>
              </w:rPr>
              <w:t>为1-1-1的统计数据</w:t>
            </w:r>
          </w:p>
          <w:p>
            <w:pPr>
              <w:pStyle w:val="108"/>
              <w:pageBreakBefore w:val="0"/>
              <w:numPr>
                <w:ilvl w:val="0"/>
                <w:numId w:val="27"/>
              </w:numPr>
              <w:tabs>
                <w:tab w:val="left" w:pos="636"/>
              </w:tabs>
              <w:topLinePunct w:val="0"/>
              <w:bidi w:val="0"/>
              <w:spacing w:before="22" w:line="278" w:lineRule="auto"/>
              <w:ind w:right="99"/>
              <w:jc w:val="left"/>
              <w:outlineLvl w:val="9"/>
              <w:rPr>
                <w:b/>
                <w:spacing w:val="-3"/>
                <w:sz w:val="19"/>
                <w:szCs w:val="19"/>
                <w:lang w:val="en-US"/>
              </w:rPr>
            </w:pPr>
            <w:r>
              <w:rPr>
                <w:rFonts w:hint="eastAsia"/>
                <w:b/>
                <w:spacing w:val="-3"/>
                <w:sz w:val="19"/>
                <w:szCs w:val="19"/>
                <w:lang w:val="en-US"/>
              </w:rPr>
              <w:t>专业学生数：统计本专业在校学生数，以教务处统计数据为准。</w:t>
            </w:r>
          </w:p>
        </w:tc>
        <w:tc>
          <w:tcPr>
            <w:tcW w:w="3619" w:type="dxa"/>
            <w:noWrap w:val="0"/>
            <w:vAlign w:val="center"/>
          </w:tcPr>
          <w:p>
            <w:pPr>
              <w:pStyle w:val="108"/>
              <w:pageBreakBefore w:val="0"/>
              <w:numPr>
                <w:ilvl w:val="0"/>
                <w:numId w:val="28"/>
              </w:numPr>
              <w:tabs>
                <w:tab w:val="left" w:pos="636"/>
              </w:tabs>
              <w:topLinePunct w:val="0"/>
              <w:bidi w:val="0"/>
              <w:spacing w:before="22" w:line="278" w:lineRule="auto"/>
              <w:ind w:right="99"/>
              <w:jc w:val="left"/>
              <w:outlineLvl w:val="9"/>
              <w:rPr>
                <w:b/>
              </w:rPr>
            </w:pPr>
            <w:r>
              <w:rPr>
                <w:rFonts w:hint="eastAsia"/>
                <w:b/>
              </w:rPr>
              <w:t>≤1:20</w:t>
            </w:r>
            <w:r>
              <w:rPr>
                <w:rFonts w:hint="eastAsia"/>
                <w:b/>
                <w:spacing w:val="-3"/>
                <w:sz w:val="19"/>
                <w:szCs w:val="19"/>
                <w:lang w:val="en-US"/>
              </w:rPr>
              <w:t>，比值为100%</w:t>
            </w:r>
          </w:p>
          <w:p>
            <w:pPr>
              <w:pStyle w:val="108"/>
              <w:pageBreakBefore w:val="0"/>
              <w:numPr>
                <w:ilvl w:val="0"/>
                <w:numId w:val="28"/>
              </w:numPr>
              <w:tabs>
                <w:tab w:val="left" w:pos="636"/>
              </w:tabs>
              <w:topLinePunct w:val="0"/>
              <w:bidi w:val="0"/>
              <w:spacing w:line="269" w:lineRule="exact"/>
              <w:jc w:val="left"/>
              <w:outlineLvl w:val="9"/>
              <w:rPr>
                <w:b/>
              </w:rPr>
            </w:pPr>
            <w:r>
              <w:rPr>
                <w:rFonts w:hint="eastAsia"/>
                <w:b/>
              </w:rPr>
              <w:t>≤1:30</w:t>
            </w:r>
            <w:r>
              <w:rPr>
                <w:rFonts w:hint="eastAsia"/>
                <w:b/>
                <w:spacing w:val="-3"/>
                <w:sz w:val="19"/>
                <w:szCs w:val="19"/>
                <w:lang w:val="en-US"/>
              </w:rPr>
              <w:t>，比值为80%</w:t>
            </w:r>
          </w:p>
          <w:p>
            <w:pPr>
              <w:pStyle w:val="108"/>
              <w:pageBreakBefore w:val="0"/>
              <w:numPr>
                <w:ilvl w:val="0"/>
                <w:numId w:val="28"/>
              </w:numPr>
              <w:tabs>
                <w:tab w:val="left" w:pos="636"/>
              </w:tabs>
              <w:topLinePunct w:val="0"/>
              <w:bidi w:val="0"/>
              <w:spacing w:before="22" w:line="278" w:lineRule="auto"/>
              <w:ind w:right="99"/>
              <w:jc w:val="left"/>
              <w:outlineLvl w:val="9"/>
              <w:rPr>
                <w:b/>
              </w:rPr>
            </w:pPr>
            <w:r>
              <w:rPr>
                <w:rFonts w:hint="eastAsia"/>
                <w:b/>
              </w:rPr>
              <w:t>≤1:40</w:t>
            </w:r>
            <w:r>
              <w:rPr>
                <w:rFonts w:hint="eastAsia"/>
                <w:b/>
                <w:spacing w:val="-3"/>
                <w:sz w:val="19"/>
                <w:szCs w:val="19"/>
                <w:lang w:val="en-US"/>
              </w:rPr>
              <w:t>，比值为60%</w:t>
            </w:r>
          </w:p>
          <w:p>
            <w:pPr>
              <w:pStyle w:val="108"/>
              <w:pageBreakBefore w:val="0"/>
              <w:numPr>
                <w:ilvl w:val="0"/>
                <w:numId w:val="28"/>
              </w:numPr>
              <w:tabs>
                <w:tab w:val="left" w:pos="636"/>
              </w:tabs>
              <w:topLinePunct w:val="0"/>
              <w:bidi w:val="0"/>
              <w:spacing w:line="269" w:lineRule="exact"/>
              <w:jc w:val="left"/>
              <w:outlineLvl w:val="9"/>
              <w:rPr>
                <w:b/>
              </w:rPr>
            </w:pPr>
            <w:r>
              <w:rPr>
                <w:rFonts w:hint="eastAsia"/>
                <w:b/>
                <w:lang w:val="en-US"/>
              </w:rPr>
              <w:t>&gt;</w:t>
            </w:r>
            <w:r>
              <w:rPr>
                <w:rFonts w:hint="eastAsia"/>
                <w:b/>
              </w:rPr>
              <w:t>1:40</w:t>
            </w:r>
            <w:r>
              <w:rPr>
                <w:rFonts w:hint="eastAsia"/>
                <w:b/>
                <w:spacing w:val="-3"/>
                <w:sz w:val="19"/>
                <w:szCs w:val="19"/>
                <w:lang w:val="en-US"/>
              </w:rPr>
              <w:t>，比值为0%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4" w:hRule="atLeast"/>
        </w:trPr>
        <w:tc>
          <w:tcPr>
            <w:tcW w:w="1622" w:type="dxa"/>
            <w:vMerge w:val="continue"/>
            <w:noWrap w:val="0"/>
            <w:vAlign w:val="center"/>
          </w:tcPr>
          <w:p>
            <w:pPr>
              <w:pStyle w:val="108"/>
              <w:pageBreakBefore w:val="0"/>
              <w:topLinePunct w:val="0"/>
              <w:bidi w:val="0"/>
              <w:spacing w:before="131"/>
              <w:ind w:left="223"/>
              <w:jc w:val="left"/>
              <w:outlineLvl w:val="9"/>
              <w:rPr>
                <w:b/>
                <w:lang w:val="en-US"/>
              </w:rPr>
            </w:pPr>
          </w:p>
        </w:tc>
        <w:tc>
          <w:tcPr>
            <w:tcW w:w="1496" w:type="dxa"/>
            <w:vMerge w:val="continue"/>
            <w:noWrap w:val="0"/>
            <w:vAlign w:val="center"/>
          </w:tcPr>
          <w:p>
            <w:pPr>
              <w:pStyle w:val="108"/>
              <w:pageBreakBefore w:val="0"/>
              <w:topLinePunct w:val="0"/>
              <w:bidi w:val="0"/>
              <w:spacing w:before="131"/>
              <w:jc w:val="left"/>
              <w:outlineLvl w:val="9"/>
              <w:rPr>
                <w:b/>
                <w:lang w:val="en-US"/>
              </w:rPr>
            </w:pPr>
          </w:p>
        </w:tc>
        <w:tc>
          <w:tcPr>
            <w:tcW w:w="2720" w:type="dxa"/>
            <w:noWrap w:val="0"/>
            <w:vAlign w:val="center"/>
          </w:tcPr>
          <w:p>
            <w:pPr>
              <w:pStyle w:val="108"/>
              <w:pageBreakBefore w:val="0"/>
              <w:topLinePunct w:val="0"/>
              <w:bidi w:val="0"/>
              <w:spacing w:before="131"/>
              <w:jc w:val="center"/>
              <w:outlineLvl w:val="9"/>
              <w:rPr>
                <w:b/>
                <w:lang w:val="en-US"/>
              </w:rPr>
            </w:pPr>
            <w:r>
              <w:rPr>
                <w:rFonts w:hint="eastAsia"/>
                <w:b/>
                <w:lang w:val="en-US"/>
              </w:rPr>
              <w:t>高级职称专任教师比例</w:t>
            </w:r>
          </w:p>
          <w:p>
            <w:pPr>
              <w:pStyle w:val="108"/>
              <w:pageBreakBefore w:val="0"/>
              <w:topLinePunct w:val="0"/>
              <w:bidi w:val="0"/>
              <w:spacing w:before="131"/>
              <w:jc w:val="center"/>
              <w:outlineLvl w:val="9"/>
              <w:rPr>
                <w:b/>
                <w:lang w:val="en-US"/>
              </w:rPr>
            </w:pPr>
            <w:r>
              <w:rPr>
                <w:rFonts w:hint="eastAsia"/>
                <w:b/>
              </w:rPr>
              <w:t>（</w:t>
            </w:r>
            <w:r>
              <w:rPr>
                <w:rFonts w:hint="eastAsia"/>
                <w:b/>
                <w:lang w:val="en-US"/>
              </w:rPr>
              <w:t>4分）</w:t>
            </w:r>
          </w:p>
        </w:tc>
        <w:tc>
          <w:tcPr>
            <w:tcW w:w="4742" w:type="dxa"/>
            <w:noWrap w:val="0"/>
            <w:vAlign w:val="center"/>
          </w:tcPr>
          <w:p>
            <w:pPr>
              <w:pStyle w:val="108"/>
              <w:pageBreakBefore w:val="0"/>
              <w:topLinePunct w:val="0"/>
              <w:bidi w:val="0"/>
              <w:spacing w:before="131"/>
              <w:jc w:val="left"/>
              <w:outlineLvl w:val="9"/>
              <w:rPr>
                <w:b/>
              </w:rPr>
            </w:pPr>
            <w:r>
              <w:rPr>
                <w:b/>
                <w:spacing w:val="-9"/>
              </w:rPr>
              <w:t>统计该专业</w:t>
            </w:r>
            <w:r>
              <w:rPr>
                <w:b/>
                <w:spacing w:val="-3"/>
              </w:rPr>
              <w:t>教授、副教授的数量以及比例</w:t>
            </w:r>
            <w:r>
              <w:rPr>
                <w:rFonts w:hint="eastAsia"/>
                <w:b/>
                <w:spacing w:val="-3"/>
              </w:rPr>
              <w:t>，</w:t>
            </w:r>
            <w:r>
              <w:rPr>
                <w:rFonts w:hint="eastAsia"/>
                <w:b/>
                <w:spacing w:val="-3"/>
                <w:sz w:val="19"/>
                <w:szCs w:val="19"/>
                <w:lang w:val="en-US"/>
              </w:rPr>
              <w:t>以人事处统计数据为准。</w:t>
            </w:r>
          </w:p>
        </w:tc>
        <w:tc>
          <w:tcPr>
            <w:tcW w:w="3619" w:type="dxa"/>
            <w:noWrap w:val="0"/>
            <w:vAlign w:val="center"/>
          </w:tcPr>
          <w:p>
            <w:pPr>
              <w:pStyle w:val="108"/>
              <w:pageBreakBefore w:val="0"/>
              <w:topLinePunct w:val="0"/>
              <w:bidi w:val="0"/>
              <w:spacing w:before="131"/>
              <w:ind w:left="32" w:right="27"/>
              <w:jc w:val="left"/>
              <w:outlineLvl w:val="9"/>
              <w:rPr>
                <w:b/>
              </w:rPr>
            </w:pPr>
            <w:r>
              <w:rPr>
                <w:rFonts w:hint="eastAsia"/>
                <w:b/>
                <w:lang w:val="en-US"/>
              </w:rPr>
              <w:t>1.</w:t>
            </w:r>
            <w:r>
              <w:rPr>
                <w:rFonts w:hint="eastAsia"/>
                <w:b/>
              </w:rPr>
              <w:t>≥30%</w:t>
            </w:r>
            <w:r>
              <w:rPr>
                <w:rFonts w:hint="eastAsia"/>
                <w:b/>
                <w:spacing w:val="-3"/>
                <w:sz w:val="19"/>
                <w:szCs w:val="19"/>
                <w:lang w:val="en-US"/>
              </w:rPr>
              <w:t>，比值为100%</w:t>
            </w:r>
          </w:p>
          <w:p>
            <w:pPr>
              <w:pStyle w:val="108"/>
              <w:pageBreakBefore w:val="0"/>
              <w:topLinePunct w:val="0"/>
              <w:bidi w:val="0"/>
              <w:spacing w:before="131"/>
              <w:ind w:left="32" w:right="27"/>
              <w:jc w:val="left"/>
              <w:outlineLvl w:val="9"/>
              <w:rPr>
                <w:b/>
              </w:rPr>
            </w:pPr>
            <w:r>
              <w:rPr>
                <w:rFonts w:hint="eastAsia"/>
                <w:b/>
                <w:lang w:val="en-US"/>
              </w:rPr>
              <w:t>2.</w:t>
            </w:r>
            <w:r>
              <w:rPr>
                <w:rFonts w:hint="eastAsia"/>
                <w:b/>
              </w:rPr>
              <w:t>≥20%</w:t>
            </w:r>
            <w:r>
              <w:rPr>
                <w:rFonts w:hint="eastAsia"/>
                <w:b/>
                <w:spacing w:val="-3"/>
                <w:sz w:val="19"/>
                <w:szCs w:val="19"/>
                <w:lang w:val="en-US"/>
              </w:rPr>
              <w:t>，比值为80%</w:t>
            </w:r>
          </w:p>
          <w:p>
            <w:pPr>
              <w:pStyle w:val="108"/>
              <w:pageBreakBefore w:val="0"/>
              <w:topLinePunct w:val="0"/>
              <w:bidi w:val="0"/>
              <w:spacing w:before="131"/>
              <w:ind w:left="32" w:right="27"/>
              <w:jc w:val="left"/>
              <w:outlineLvl w:val="9"/>
              <w:rPr>
                <w:b/>
              </w:rPr>
            </w:pPr>
            <w:r>
              <w:rPr>
                <w:rFonts w:hint="eastAsia"/>
                <w:b/>
                <w:lang w:val="en-US"/>
              </w:rPr>
              <w:t>3.</w:t>
            </w:r>
            <w:r>
              <w:rPr>
                <w:rFonts w:hint="eastAsia"/>
                <w:b/>
              </w:rPr>
              <w:t>≥10%</w:t>
            </w:r>
            <w:r>
              <w:rPr>
                <w:rFonts w:hint="eastAsia"/>
                <w:b/>
                <w:spacing w:val="-3"/>
                <w:sz w:val="19"/>
                <w:szCs w:val="19"/>
                <w:lang w:val="en-US"/>
              </w:rPr>
              <w:t>，比值为60%</w:t>
            </w:r>
          </w:p>
          <w:p>
            <w:pPr>
              <w:pStyle w:val="108"/>
              <w:pageBreakBefore w:val="0"/>
              <w:topLinePunct w:val="0"/>
              <w:bidi w:val="0"/>
              <w:spacing w:before="131"/>
              <w:ind w:left="32" w:right="27"/>
              <w:jc w:val="left"/>
              <w:outlineLvl w:val="9"/>
              <w:rPr>
                <w:b/>
              </w:rPr>
            </w:pPr>
            <w:r>
              <w:rPr>
                <w:rFonts w:hint="eastAsia"/>
                <w:b/>
                <w:lang w:val="en-US"/>
              </w:rPr>
              <w:t>4.</w:t>
            </w:r>
            <w:r>
              <w:rPr>
                <w:rFonts w:hint="eastAsia"/>
                <w:b/>
              </w:rPr>
              <w:t>&lt;</w:t>
            </w:r>
            <w:r>
              <w:rPr>
                <w:rFonts w:hint="eastAsia"/>
                <w:b/>
                <w:lang w:val="en-US"/>
              </w:rPr>
              <w:t>10%</w:t>
            </w:r>
            <w:r>
              <w:rPr>
                <w:rFonts w:hint="eastAsia"/>
                <w:b/>
                <w:spacing w:val="-3"/>
                <w:sz w:val="19"/>
                <w:szCs w:val="19"/>
                <w:lang w:val="en-US"/>
              </w:rPr>
              <w:t>，比值为0%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1622" w:type="dxa"/>
            <w:vMerge w:val="continue"/>
            <w:noWrap w:val="0"/>
            <w:vAlign w:val="center"/>
          </w:tcPr>
          <w:p>
            <w:pPr>
              <w:pStyle w:val="108"/>
              <w:pageBreakBefore w:val="0"/>
              <w:topLinePunct w:val="0"/>
              <w:bidi w:val="0"/>
              <w:spacing w:before="131"/>
              <w:ind w:left="223"/>
              <w:jc w:val="left"/>
              <w:outlineLvl w:val="9"/>
              <w:rPr>
                <w:b/>
                <w:lang w:val="en-US"/>
              </w:rPr>
            </w:pPr>
          </w:p>
        </w:tc>
        <w:tc>
          <w:tcPr>
            <w:tcW w:w="1496" w:type="dxa"/>
            <w:vMerge w:val="continue"/>
            <w:noWrap w:val="0"/>
            <w:vAlign w:val="center"/>
          </w:tcPr>
          <w:p>
            <w:pPr>
              <w:pStyle w:val="108"/>
              <w:pageBreakBefore w:val="0"/>
              <w:topLinePunct w:val="0"/>
              <w:bidi w:val="0"/>
              <w:spacing w:before="131"/>
              <w:jc w:val="left"/>
              <w:outlineLvl w:val="9"/>
              <w:rPr>
                <w:b/>
                <w:lang w:val="en-US"/>
              </w:rPr>
            </w:pPr>
          </w:p>
        </w:tc>
        <w:tc>
          <w:tcPr>
            <w:tcW w:w="2720" w:type="dxa"/>
            <w:noWrap w:val="0"/>
            <w:vAlign w:val="center"/>
          </w:tcPr>
          <w:p>
            <w:pPr>
              <w:pStyle w:val="108"/>
              <w:pageBreakBefore w:val="0"/>
              <w:topLinePunct w:val="0"/>
              <w:bidi w:val="0"/>
              <w:spacing w:before="131"/>
              <w:jc w:val="center"/>
              <w:outlineLvl w:val="9"/>
              <w:rPr>
                <w:b/>
                <w:lang w:val="en-US"/>
              </w:rPr>
            </w:pPr>
            <w:r>
              <w:rPr>
                <w:rFonts w:hint="eastAsia"/>
                <w:b/>
                <w:lang w:val="en-US"/>
              </w:rPr>
              <w:t>具有博士研究生学位专任教师</w:t>
            </w:r>
          </w:p>
          <w:p>
            <w:pPr>
              <w:pStyle w:val="108"/>
              <w:pageBreakBefore w:val="0"/>
              <w:topLinePunct w:val="0"/>
              <w:bidi w:val="0"/>
              <w:spacing w:before="131"/>
              <w:jc w:val="center"/>
              <w:outlineLvl w:val="9"/>
              <w:rPr>
                <w:b/>
                <w:lang w:val="en-US"/>
              </w:rPr>
            </w:pPr>
            <w:r>
              <w:rPr>
                <w:rFonts w:hint="eastAsia"/>
                <w:b/>
              </w:rPr>
              <w:t>（</w:t>
            </w:r>
            <w:r>
              <w:rPr>
                <w:rFonts w:hint="eastAsia"/>
                <w:b/>
                <w:lang w:val="en-US"/>
              </w:rPr>
              <w:t>4分）</w:t>
            </w:r>
          </w:p>
        </w:tc>
        <w:tc>
          <w:tcPr>
            <w:tcW w:w="4742" w:type="dxa"/>
            <w:noWrap w:val="0"/>
            <w:vAlign w:val="center"/>
          </w:tcPr>
          <w:p>
            <w:pPr>
              <w:pStyle w:val="108"/>
              <w:pageBreakBefore w:val="0"/>
              <w:topLinePunct w:val="0"/>
              <w:bidi w:val="0"/>
              <w:spacing w:before="131"/>
              <w:jc w:val="left"/>
              <w:outlineLvl w:val="9"/>
              <w:rPr>
                <w:b/>
              </w:rPr>
            </w:pPr>
            <w:r>
              <w:rPr>
                <w:b/>
                <w:spacing w:val="-9"/>
              </w:rPr>
              <w:t>统计该专业专任教师中博士</w:t>
            </w:r>
            <w:r>
              <w:rPr>
                <w:rFonts w:hint="eastAsia"/>
                <w:b/>
                <w:spacing w:val="-9"/>
                <w:lang w:val="en-US"/>
              </w:rPr>
              <w:t>学位教师人数</w:t>
            </w:r>
            <w:r>
              <w:rPr>
                <w:rFonts w:hint="eastAsia"/>
                <w:b/>
                <w:spacing w:val="-3"/>
              </w:rPr>
              <w:t>，</w:t>
            </w:r>
            <w:r>
              <w:rPr>
                <w:rFonts w:hint="eastAsia"/>
                <w:b/>
                <w:spacing w:val="-3"/>
                <w:sz w:val="19"/>
                <w:szCs w:val="19"/>
                <w:lang w:val="en-US"/>
              </w:rPr>
              <w:t>以人事处统计数据为准。</w:t>
            </w:r>
          </w:p>
        </w:tc>
        <w:tc>
          <w:tcPr>
            <w:tcW w:w="3619" w:type="dxa"/>
            <w:noWrap w:val="0"/>
            <w:vAlign w:val="center"/>
          </w:tcPr>
          <w:p>
            <w:pPr>
              <w:pStyle w:val="108"/>
              <w:pageBreakBefore w:val="0"/>
              <w:numPr>
                <w:ilvl w:val="0"/>
                <w:numId w:val="29"/>
              </w:numPr>
              <w:topLinePunct w:val="0"/>
              <w:bidi w:val="0"/>
              <w:spacing w:before="131"/>
              <w:ind w:right="27"/>
              <w:jc w:val="left"/>
              <w:outlineLvl w:val="9"/>
              <w:rPr>
                <w:b/>
              </w:rPr>
            </w:pPr>
            <w:r>
              <w:rPr>
                <w:rFonts w:hint="eastAsia"/>
                <w:b/>
              </w:rPr>
              <w:t>≥2人，</w:t>
            </w:r>
            <w:r>
              <w:rPr>
                <w:rFonts w:hint="eastAsia"/>
                <w:b/>
                <w:lang w:val="en-US"/>
              </w:rPr>
              <w:t>或者</w:t>
            </w:r>
            <w:r>
              <w:rPr>
                <w:rFonts w:hint="eastAsia"/>
                <w:b/>
                <w:spacing w:val="-3"/>
                <w:sz w:val="19"/>
                <w:szCs w:val="19"/>
                <w:lang w:val="en-US"/>
              </w:rPr>
              <w:t>超过本专业专任教师的15%者，比值为100%</w:t>
            </w:r>
          </w:p>
          <w:p>
            <w:pPr>
              <w:pStyle w:val="108"/>
              <w:pageBreakBefore w:val="0"/>
              <w:numPr>
                <w:ilvl w:val="0"/>
                <w:numId w:val="29"/>
              </w:numPr>
              <w:topLinePunct w:val="0"/>
              <w:bidi w:val="0"/>
              <w:spacing w:before="131"/>
              <w:ind w:right="27"/>
              <w:jc w:val="left"/>
              <w:outlineLvl w:val="9"/>
              <w:rPr>
                <w:b/>
                <w:lang w:val="en-US"/>
              </w:rPr>
            </w:pPr>
            <w:r>
              <w:rPr>
                <w:rFonts w:hint="eastAsia"/>
                <w:b/>
                <w:lang w:val="en-US"/>
              </w:rPr>
              <w:t>1人，</w:t>
            </w:r>
            <w:r>
              <w:rPr>
                <w:rFonts w:hint="eastAsia"/>
                <w:b/>
                <w:spacing w:val="-3"/>
                <w:sz w:val="19"/>
                <w:szCs w:val="19"/>
                <w:lang w:val="en-US"/>
              </w:rPr>
              <w:t>比值为80%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1622" w:type="dxa"/>
            <w:vMerge w:val="continue"/>
            <w:noWrap w:val="0"/>
            <w:vAlign w:val="center"/>
          </w:tcPr>
          <w:p>
            <w:pPr>
              <w:pStyle w:val="108"/>
              <w:pageBreakBefore w:val="0"/>
              <w:topLinePunct w:val="0"/>
              <w:bidi w:val="0"/>
              <w:spacing w:before="131"/>
              <w:ind w:left="223"/>
              <w:jc w:val="left"/>
              <w:outlineLvl w:val="9"/>
              <w:rPr>
                <w:b/>
                <w:lang w:val="en-US"/>
              </w:rPr>
            </w:pPr>
          </w:p>
        </w:tc>
        <w:tc>
          <w:tcPr>
            <w:tcW w:w="1496" w:type="dxa"/>
            <w:vMerge w:val="continue"/>
            <w:noWrap w:val="0"/>
            <w:vAlign w:val="center"/>
          </w:tcPr>
          <w:p>
            <w:pPr>
              <w:pStyle w:val="108"/>
              <w:pageBreakBefore w:val="0"/>
              <w:topLinePunct w:val="0"/>
              <w:bidi w:val="0"/>
              <w:spacing w:before="131"/>
              <w:jc w:val="left"/>
              <w:outlineLvl w:val="9"/>
              <w:rPr>
                <w:b/>
                <w:lang w:val="en-US"/>
              </w:rPr>
            </w:pPr>
          </w:p>
        </w:tc>
        <w:tc>
          <w:tcPr>
            <w:tcW w:w="2720" w:type="dxa"/>
            <w:noWrap w:val="0"/>
            <w:vAlign w:val="center"/>
          </w:tcPr>
          <w:p>
            <w:pPr>
              <w:pStyle w:val="108"/>
              <w:pageBreakBefore w:val="0"/>
              <w:topLinePunct w:val="0"/>
              <w:bidi w:val="0"/>
              <w:spacing w:before="131"/>
              <w:jc w:val="center"/>
              <w:outlineLvl w:val="9"/>
              <w:rPr>
                <w:b/>
                <w:lang w:val="en-US"/>
              </w:rPr>
            </w:pPr>
            <w:r>
              <w:rPr>
                <w:rFonts w:hint="eastAsia"/>
                <w:b/>
                <w:lang w:val="en-US"/>
              </w:rPr>
              <w:t>“双师型”教师占比</w:t>
            </w:r>
          </w:p>
          <w:p>
            <w:pPr>
              <w:pStyle w:val="108"/>
              <w:pageBreakBefore w:val="0"/>
              <w:topLinePunct w:val="0"/>
              <w:bidi w:val="0"/>
              <w:spacing w:before="131"/>
              <w:jc w:val="center"/>
              <w:outlineLvl w:val="9"/>
              <w:rPr>
                <w:b/>
                <w:lang w:val="en-US"/>
              </w:rPr>
            </w:pPr>
            <w:r>
              <w:rPr>
                <w:rFonts w:hint="eastAsia"/>
                <w:b/>
              </w:rPr>
              <w:t>（</w:t>
            </w:r>
            <w:r>
              <w:rPr>
                <w:b/>
                <w:lang w:val="en-US"/>
              </w:rPr>
              <w:t>4</w:t>
            </w:r>
            <w:r>
              <w:rPr>
                <w:rFonts w:hint="eastAsia"/>
                <w:b/>
                <w:lang w:val="en-US"/>
              </w:rPr>
              <w:t>分）</w:t>
            </w:r>
          </w:p>
        </w:tc>
        <w:tc>
          <w:tcPr>
            <w:tcW w:w="4742" w:type="dxa"/>
            <w:noWrap w:val="0"/>
            <w:vAlign w:val="center"/>
          </w:tcPr>
          <w:p>
            <w:pPr>
              <w:pStyle w:val="108"/>
              <w:pageBreakBefore w:val="0"/>
              <w:topLinePunct w:val="0"/>
              <w:bidi w:val="0"/>
              <w:spacing w:before="131"/>
              <w:jc w:val="left"/>
              <w:outlineLvl w:val="9"/>
              <w:rPr>
                <w:b/>
              </w:rPr>
            </w:pPr>
            <w:r>
              <w:rPr>
                <w:rFonts w:hint="eastAsia"/>
                <w:b/>
                <w:spacing w:val="-3"/>
                <w:lang w:val="en-US"/>
              </w:rPr>
              <w:t>统计本专业</w:t>
            </w:r>
            <w:r>
              <w:rPr>
                <w:b/>
                <w:spacing w:val="-3"/>
              </w:rPr>
              <w:t>双师型教师的数量以及比例</w:t>
            </w:r>
            <w:r>
              <w:rPr>
                <w:rFonts w:hint="eastAsia"/>
                <w:b/>
                <w:spacing w:val="-3"/>
              </w:rPr>
              <w:t>，</w:t>
            </w:r>
            <w:r>
              <w:rPr>
                <w:rFonts w:hint="eastAsia"/>
                <w:b/>
                <w:spacing w:val="-3"/>
                <w:sz w:val="19"/>
                <w:szCs w:val="19"/>
                <w:lang w:val="en-US"/>
              </w:rPr>
              <w:t>以人事处统计数据为准。</w:t>
            </w:r>
          </w:p>
        </w:tc>
        <w:tc>
          <w:tcPr>
            <w:tcW w:w="3619" w:type="dxa"/>
            <w:noWrap w:val="0"/>
            <w:vAlign w:val="center"/>
          </w:tcPr>
          <w:p>
            <w:pPr>
              <w:pStyle w:val="108"/>
              <w:pageBreakBefore w:val="0"/>
              <w:numPr>
                <w:ilvl w:val="0"/>
                <w:numId w:val="30"/>
              </w:numPr>
              <w:topLinePunct w:val="0"/>
              <w:bidi w:val="0"/>
              <w:spacing w:before="131"/>
              <w:ind w:right="27"/>
              <w:jc w:val="left"/>
              <w:outlineLvl w:val="9"/>
              <w:rPr>
                <w:b/>
              </w:rPr>
            </w:pPr>
            <w:r>
              <w:rPr>
                <w:rFonts w:hint="eastAsia"/>
                <w:b/>
              </w:rPr>
              <w:t>≥60%</w:t>
            </w:r>
            <w:r>
              <w:rPr>
                <w:rFonts w:hint="eastAsia"/>
                <w:b/>
                <w:spacing w:val="-3"/>
                <w:sz w:val="19"/>
                <w:szCs w:val="19"/>
                <w:lang w:val="en-US"/>
              </w:rPr>
              <w:t>，比值为100%</w:t>
            </w:r>
          </w:p>
          <w:p>
            <w:pPr>
              <w:pStyle w:val="108"/>
              <w:pageBreakBefore w:val="0"/>
              <w:numPr>
                <w:ilvl w:val="0"/>
                <w:numId w:val="30"/>
              </w:numPr>
              <w:topLinePunct w:val="0"/>
              <w:bidi w:val="0"/>
              <w:spacing w:before="131"/>
              <w:ind w:right="27"/>
              <w:jc w:val="left"/>
              <w:outlineLvl w:val="9"/>
              <w:rPr>
                <w:b/>
              </w:rPr>
            </w:pPr>
            <w:r>
              <w:rPr>
                <w:rFonts w:hint="eastAsia"/>
                <w:b/>
              </w:rPr>
              <w:t>≥50%</w:t>
            </w:r>
            <w:r>
              <w:rPr>
                <w:rFonts w:hint="eastAsia"/>
                <w:b/>
                <w:spacing w:val="-3"/>
                <w:sz w:val="19"/>
                <w:szCs w:val="19"/>
                <w:lang w:val="en-US"/>
              </w:rPr>
              <w:t>，比值为80%</w:t>
            </w:r>
          </w:p>
          <w:p>
            <w:pPr>
              <w:pStyle w:val="108"/>
              <w:pageBreakBefore w:val="0"/>
              <w:numPr>
                <w:ilvl w:val="0"/>
                <w:numId w:val="30"/>
              </w:numPr>
              <w:topLinePunct w:val="0"/>
              <w:bidi w:val="0"/>
              <w:spacing w:before="131"/>
              <w:ind w:right="27"/>
              <w:jc w:val="left"/>
              <w:outlineLvl w:val="9"/>
              <w:rPr>
                <w:b/>
              </w:rPr>
            </w:pPr>
            <w:r>
              <w:rPr>
                <w:rFonts w:hint="eastAsia"/>
                <w:b/>
              </w:rPr>
              <w:t>≥</w:t>
            </w:r>
            <w:r>
              <w:rPr>
                <w:b/>
              </w:rPr>
              <w:t>4</w:t>
            </w:r>
            <w:r>
              <w:rPr>
                <w:rFonts w:hint="eastAsia"/>
                <w:b/>
              </w:rPr>
              <w:t>0%，</w:t>
            </w:r>
            <w:r>
              <w:rPr>
                <w:rFonts w:hint="eastAsia"/>
                <w:b/>
                <w:spacing w:val="-3"/>
                <w:sz w:val="19"/>
                <w:szCs w:val="19"/>
                <w:lang w:val="en-US"/>
              </w:rPr>
              <w:t>比值为60%</w:t>
            </w:r>
          </w:p>
          <w:p>
            <w:pPr>
              <w:pStyle w:val="108"/>
              <w:pageBreakBefore w:val="0"/>
              <w:numPr>
                <w:ilvl w:val="0"/>
                <w:numId w:val="30"/>
              </w:numPr>
              <w:topLinePunct w:val="0"/>
              <w:bidi w:val="0"/>
              <w:spacing w:before="131"/>
              <w:ind w:right="27"/>
              <w:jc w:val="left"/>
              <w:outlineLvl w:val="9"/>
              <w:rPr>
                <w:b/>
              </w:rPr>
            </w:pPr>
            <w:r>
              <w:rPr>
                <w:rFonts w:hint="eastAsia"/>
                <w:b/>
              </w:rPr>
              <w:t>&lt;40%</w:t>
            </w:r>
            <w:r>
              <w:rPr>
                <w:rFonts w:hint="eastAsia"/>
                <w:b/>
                <w:spacing w:val="-3"/>
                <w:sz w:val="19"/>
                <w:szCs w:val="19"/>
                <w:lang w:val="en-US"/>
              </w:rPr>
              <w:t>，比值为0%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1622" w:type="dxa"/>
            <w:vMerge w:val="restart"/>
            <w:noWrap w:val="0"/>
            <w:vAlign w:val="center"/>
          </w:tcPr>
          <w:p>
            <w:pPr>
              <w:pStyle w:val="108"/>
              <w:pageBreakBefore w:val="0"/>
              <w:topLinePunct w:val="0"/>
              <w:bidi w:val="0"/>
              <w:spacing w:before="131"/>
              <w:ind w:left="223"/>
              <w:jc w:val="left"/>
              <w:outlineLvl w:val="9"/>
              <w:rPr>
                <w:b/>
                <w:lang w:val="en-US"/>
              </w:rPr>
            </w:pPr>
          </w:p>
        </w:tc>
        <w:tc>
          <w:tcPr>
            <w:tcW w:w="1496" w:type="dxa"/>
            <w:vMerge w:val="restart"/>
            <w:noWrap w:val="0"/>
            <w:vAlign w:val="center"/>
          </w:tcPr>
          <w:p>
            <w:pPr>
              <w:pStyle w:val="108"/>
              <w:pageBreakBefore w:val="0"/>
              <w:topLinePunct w:val="0"/>
              <w:bidi w:val="0"/>
              <w:spacing w:before="131"/>
              <w:jc w:val="left"/>
              <w:outlineLvl w:val="9"/>
              <w:rPr>
                <w:b/>
                <w:lang w:val="en-US"/>
              </w:rPr>
            </w:pPr>
          </w:p>
        </w:tc>
        <w:tc>
          <w:tcPr>
            <w:tcW w:w="2720" w:type="dxa"/>
            <w:noWrap w:val="0"/>
            <w:vAlign w:val="center"/>
          </w:tcPr>
          <w:p>
            <w:pPr>
              <w:pStyle w:val="108"/>
              <w:pageBreakBefore w:val="0"/>
              <w:topLinePunct w:val="0"/>
              <w:bidi w:val="0"/>
              <w:spacing w:before="131"/>
              <w:jc w:val="center"/>
              <w:outlineLvl w:val="9"/>
              <w:rPr>
                <w:b/>
                <w:lang w:val="en-US"/>
              </w:rPr>
            </w:pPr>
            <w:r>
              <w:rPr>
                <w:rFonts w:hint="eastAsia"/>
                <w:b/>
                <w:lang w:val="en-US"/>
              </w:rPr>
              <w:t>专业带头人</w:t>
            </w:r>
          </w:p>
          <w:p>
            <w:pPr>
              <w:pStyle w:val="108"/>
              <w:pageBreakBefore w:val="0"/>
              <w:topLinePunct w:val="0"/>
              <w:bidi w:val="0"/>
              <w:spacing w:before="131"/>
              <w:jc w:val="center"/>
              <w:outlineLvl w:val="9"/>
              <w:rPr>
                <w:b/>
                <w:lang w:val="en-US"/>
              </w:rPr>
            </w:pPr>
            <w:r>
              <w:rPr>
                <w:rFonts w:hint="eastAsia"/>
                <w:b/>
              </w:rPr>
              <w:t>（</w:t>
            </w:r>
            <w:r>
              <w:rPr>
                <w:b/>
                <w:lang w:val="en-US"/>
              </w:rPr>
              <w:t>2</w:t>
            </w:r>
            <w:r>
              <w:rPr>
                <w:rFonts w:hint="eastAsia"/>
                <w:b/>
                <w:lang w:val="en-US"/>
              </w:rPr>
              <w:t>分）</w:t>
            </w:r>
          </w:p>
        </w:tc>
        <w:tc>
          <w:tcPr>
            <w:tcW w:w="4742" w:type="dxa"/>
            <w:noWrap w:val="0"/>
            <w:vAlign w:val="center"/>
          </w:tcPr>
          <w:p>
            <w:pPr>
              <w:pStyle w:val="108"/>
              <w:pageBreakBefore w:val="0"/>
              <w:topLinePunct w:val="0"/>
              <w:bidi w:val="0"/>
              <w:spacing w:before="131"/>
              <w:jc w:val="left"/>
              <w:outlineLvl w:val="9"/>
              <w:rPr>
                <w:b/>
                <w:lang w:val="en-US"/>
              </w:rPr>
            </w:pPr>
            <w:r>
              <w:rPr>
                <w:rFonts w:hint="eastAsia"/>
                <w:b/>
                <w:lang w:val="en-US"/>
              </w:rPr>
              <w:t>为人事处认定的该专业带头人，</w:t>
            </w:r>
            <w:r>
              <w:rPr>
                <w:rFonts w:hint="eastAsia"/>
                <w:b/>
                <w:spacing w:val="-3"/>
                <w:sz w:val="19"/>
                <w:szCs w:val="19"/>
                <w:lang w:val="en-US"/>
              </w:rPr>
              <w:t>以人事处统计数据为准。</w:t>
            </w:r>
          </w:p>
        </w:tc>
        <w:tc>
          <w:tcPr>
            <w:tcW w:w="3619" w:type="dxa"/>
            <w:noWrap w:val="0"/>
            <w:vAlign w:val="center"/>
          </w:tcPr>
          <w:p>
            <w:pPr>
              <w:pStyle w:val="108"/>
              <w:pageBreakBefore w:val="0"/>
              <w:numPr>
                <w:ilvl w:val="0"/>
                <w:numId w:val="31"/>
              </w:numPr>
              <w:topLinePunct w:val="0"/>
              <w:bidi w:val="0"/>
              <w:spacing w:before="131"/>
              <w:ind w:left="210" w:right="27"/>
              <w:jc w:val="left"/>
              <w:outlineLvl w:val="9"/>
              <w:rPr>
                <w:b/>
              </w:rPr>
            </w:pPr>
            <w:r>
              <w:rPr>
                <w:rFonts w:hint="eastAsia"/>
                <w:b/>
              </w:rPr>
              <w:t>校级</w:t>
            </w:r>
            <w:r>
              <w:rPr>
                <w:rFonts w:hint="eastAsia"/>
                <w:b/>
                <w:spacing w:val="-3"/>
                <w:sz w:val="19"/>
                <w:szCs w:val="19"/>
                <w:lang w:val="en-US"/>
              </w:rPr>
              <w:t>，比值为100%</w:t>
            </w:r>
          </w:p>
          <w:p>
            <w:pPr>
              <w:pStyle w:val="108"/>
              <w:pageBreakBefore w:val="0"/>
              <w:numPr>
                <w:ilvl w:val="0"/>
                <w:numId w:val="31"/>
              </w:numPr>
              <w:topLinePunct w:val="0"/>
              <w:bidi w:val="0"/>
              <w:spacing w:before="131"/>
              <w:ind w:left="210" w:right="27"/>
              <w:jc w:val="left"/>
              <w:outlineLvl w:val="9"/>
              <w:rPr>
                <w:b/>
                <w:lang w:val="en-US"/>
              </w:rPr>
            </w:pPr>
            <w:r>
              <w:rPr>
                <w:rFonts w:hint="eastAsia"/>
                <w:b/>
              </w:rPr>
              <w:t>校级</w:t>
            </w:r>
            <w:r>
              <w:rPr>
                <w:rFonts w:hint="eastAsia"/>
                <w:b/>
                <w:lang w:val="en-US"/>
              </w:rPr>
              <w:t>培育</w:t>
            </w:r>
            <w:r>
              <w:rPr>
                <w:rFonts w:hint="eastAsia"/>
                <w:b/>
                <w:spacing w:val="-3"/>
                <w:sz w:val="19"/>
                <w:szCs w:val="19"/>
                <w:lang w:val="en-US"/>
              </w:rPr>
              <w:t>，比值为80%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1622" w:type="dxa"/>
            <w:vMerge w:val="continue"/>
            <w:noWrap w:val="0"/>
            <w:vAlign w:val="top"/>
          </w:tcPr>
          <w:p>
            <w:pPr>
              <w:pStyle w:val="108"/>
              <w:pageBreakBefore w:val="0"/>
              <w:topLinePunct w:val="0"/>
              <w:bidi w:val="0"/>
              <w:spacing w:before="131"/>
              <w:ind w:left="223"/>
              <w:jc w:val="left"/>
              <w:outlineLvl w:val="9"/>
              <w:rPr>
                <w:b/>
                <w:lang w:val="en-US"/>
              </w:rPr>
            </w:pPr>
          </w:p>
        </w:tc>
        <w:tc>
          <w:tcPr>
            <w:tcW w:w="1496" w:type="dxa"/>
            <w:vMerge w:val="continue"/>
            <w:noWrap w:val="0"/>
            <w:vAlign w:val="top"/>
          </w:tcPr>
          <w:p>
            <w:pPr>
              <w:pStyle w:val="108"/>
              <w:pageBreakBefore w:val="0"/>
              <w:topLinePunct w:val="0"/>
              <w:bidi w:val="0"/>
              <w:spacing w:before="131"/>
              <w:jc w:val="left"/>
              <w:outlineLvl w:val="9"/>
              <w:rPr>
                <w:b/>
                <w:lang w:val="en-US"/>
              </w:rPr>
            </w:pPr>
          </w:p>
        </w:tc>
        <w:tc>
          <w:tcPr>
            <w:tcW w:w="2720" w:type="dxa"/>
            <w:noWrap w:val="0"/>
            <w:vAlign w:val="center"/>
          </w:tcPr>
          <w:p>
            <w:pPr>
              <w:pStyle w:val="108"/>
              <w:pageBreakBefore w:val="0"/>
              <w:topLinePunct w:val="0"/>
              <w:bidi w:val="0"/>
              <w:spacing w:before="131"/>
              <w:jc w:val="center"/>
              <w:outlineLvl w:val="9"/>
              <w:rPr>
                <w:b/>
                <w:lang w:val="en-US"/>
              </w:rPr>
            </w:pPr>
            <w:r>
              <w:rPr>
                <w:rFonts w:hint="eastAsia"/>
                <w:b/>
                <w:lang w:val="en-US"/>
              </w:rPr>
              <w:t>骨干教师</w:t>
            </w:r>
          </w:p>
          <w:p>
            <w:pPr>
              <w:pStyle w:val="108"/>
              <w:pageBreakBefore w:val="0"/>
              <w:topLinePunct w:val="0"/>
              <w:bidi w:val="0"/>
              <w:spacing w:before="131"/>
              <w:jc w:val="center"/>
              <w:outlineLvl w:val="9"/>
              <w:rPr>
                <w:b/>
                <w:lang w:val="en-US"/>
              </w:rPr>
            </w:pPr>
            <w:r>
              <w:rPr>
                <w:rFonts w:hint="eastAsia"/>
                <w:b/>
              </w:rPr>
              <w:t>（</w:t>
            </w:r>
            <w:r>
              <w:rPr>
                <w:b/>
                <w:lang w:val="en-US"/>
              </w:rPr>
              <w:t>2</w:t>
            </w:r>
            <w:r>
              <w:rPr>
                <w:rFonts w:hint="eastAsia"/>
                <w:b/>
                <w:lang w:val="en-US"/>
              </w:rPr>
              <w:t>分）</w:t>
            </w:r>
          </w:p>
        </w:tc>
        <w:tc>
          <w:tcPr>
            <w:tcW w:w="4742" w:type="dxa"/>
            <w:noWrap w:val="0"/>
            <w:vAlign w:val="center"/>
          </w:tcPr>
          <w:p>
            <w:pPr>
              <w:pStyle w:val="108"/>
              <w:pageBreakBefore w:val="0"/>
              <w:topLinePunct w:val="0"/>
              <w:bidi w:val="0"/>
              <w:spacing w:before="131"/>
              <w:jc w:val="left"/>
              <w:outlineLvl w:val="9"/>
              <w:rPr>
                <w:b/>
                <w:lang w:val="en-US"/>
              </w:rPr>
            </w:pPr>
            <w:r>
              <w:rPr>
                <w:rFonts w:hint="eastAsia"/>
                <w:b/>
                <w:lang w:val="en-US"/>
              </w:rPr>
              <w:t>为人事处认定的该专业骨干教师</w:t>
            </w:r>
            <w:r>
              <w:rPr>
                <w:rFonts w:hint="eastAsia"/>
                <w:b/>
                <w:spacing w:val="-3"/>
                <w:sz w:val="19"/>
                <w:szCs w:val="19"/>
                <w:lang w:val="en-US"/>
              </w:rPr>
              <w:t>，以人事处统计数据为准。</w:t>
            </w:r>
          </w:p>
        </w:tc>
        <w:tc>
          <w:tcPr>
            <w:tcW w:w="3619" w:type="dxa"/>
            <w:noWrap w:val="0"/>
            <w:vAlign w:val="center"/>
          </w:tcPr>
          <w:p>
            <w:pPr>
              <w:pStyle w:val="108"/>
              <w:pageBreakBefore w:val="0"/>
              <w:numPr>
                <w:ilvl w:val="0"/>
                <w:numId w:val="32"/>
              </w:numPr>
              <w:topLinePunct w:val="0"/>
              <w:bidi w:val="0"/>
              <w:spacing w:before="131"/>
              <w:ind w:right="27"/>
              <w:jc w:val="left"/>
              <w:outlineLvl w:val="9"/>
              <w:rPr>
                <w:b/>
              </w:rPr>
            </w:pPr>
            <w:r>
              <w:rPr>
                <w:rFonts w:hint="eastAsia"/>
                <w:b/>
              </w:rPr>
              <w:t>校级</w:t>
            </w:r>
            <w:r>
              <w:rPr>
                <w:rFonts w:hint="eastAsia"/>
                <w:b/>
                <w:lang w:val="en-US"/>
              </w:rPr>
              <w:t>2人</w:t>
            </w:r>
            <w:r>
              <w:rPr>
                <w:rFonts w:hint="eastAsia"/>
                <w:b/>
                <w:spacing w:val="-3"/>
                <w:sz w:val="19"/>
                <w:szCs w:val="19"/>
                <w:lang w:val="en-US"/>
              </w:rPr>
              <w:t>，比值为100%</w:t>
            </w:r>
          </w:p>
          <w:p>
            <w:pPr>
              <w:pStyle w:val="108"/>
              <w:pageBreakBefore w:val="0"/>
              <w:numPr>
                <w:ilvl w:val="0"/>
                <w:numId w:val="32"/>
              </w:numPr>
              <w:topLinePunct w:val="0"/>
              <w:bidi w:val="0"/>
              <w:spacing w:before="131"/>
              <w:ind w:right="27"/>
              <w:jc w:val="left"/>
              <w:outlineLvl w:val="9"/>
              <w:rPr>
                <w:b/>
              </w:rPr>
            </w:pPr>
            <w:r>
              <w:rPr>
                <w:rFonts w:hint="eastAsia"/>
                <w:b/>
              </w:rPr>
              <w:t>校级</w:t>
            </w:r>
            <w:r>
              <w:rPr>
                <w:rFonts w:hint="eastAsia"/>
                <w:b/>
                <w:lang w:val="en-US"/>
              </w:rPr>
              <w:t>1人</w:t>
            </w:r>
            <w:r>
              <w:rPr>
                <w:rFonts w:hint="eastAsia"/>
                <w:b/>
                <w:spacing w:val="-3"/>
                <w:sz w:val="19"/>
                <w:szCs w:val="19"/>
                <w:lang w:val="en-US"/>
              </w:rPr>
              <w:t>，比值为80%</w:t>
            </w:r>
          </w:p>
          <w:p>
            <w:pPr>
              <w:pStyle w:val="108"/>
              <w:pageBreakBefore w:val="0"/>
              <w:numPr>
                <w:ilvl w:val="0"/>
                <w:numId w:val="32"/>
              </w:numPr>
              <w:topLinePunct w:val="0"/>
              <w:bidi w:val="0"/>
              <w:spacing w:before="131"/>
              <w:ind w:right="27"/>
              <w:jc w:val="left"/>
              <w:outlineLvl w:val="9"/>
              <w:rPr>
                <w:b/>
              </w:rPr>
            </w:pPr>
            <w:r>
              <w:rPr>
                <w:rFonts w:hint="eastAsia"/>
                <w:b/>
                <w:lang w:val="en-US"/>
              </w:rPr>
              <w:t>校级培育2人，</w:t>
            </w:r>
            <w:r>
              <w:rPr>
                <w:rFonts w:hint="eastAsia"/>
                <w:b/>
                <w:spacing w:val="-3"/>
                <w:sz w:val="19"/>
                <w:szCs w:val="19"/>
                <w:lang w:val="en-US"/>
              </w:rPr>
              <w:t>比值为60%</w:t>
            </w:r>
          </w:p>
        </w:tc>
      </w:tr>
    </w:tbl>
    <w:p>
      <w:pPr>
        <w:pageBreakBefore w:val="0"/>
        <w:topLinePunct w:val="0"/>
        <w:bidi w:val="0"/>
        <w:spacing w:line="240" w:lineRule="exact"/>
        <w:outlineLvl w:val="9"/>
        <w:rPr>
          <w:rFonts w:ascii="仿宋" w:hAnsi="仿宋" w:eastAsia="仿宋" w:cs="仿宋"/>
          <w:sz w:val="24"/>
          <w:lang w:bidi="zh-CN"/>
        </w:rPr>
      </w:pPr>
    </w:p>
    <w:tbl>
      <w:tblPr>
        <w:tblStyle w:val="37"/>
        <w:tblpPr w:leftFromText="180" w:rightFromText="180" w:vertAnchor="text" w:horzAnchor="page" w:tblpX="1357" w:tblpY="-88"/>
        <w:tblOverlap w:val="never"/>
        <w:tblW w:w="141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0"/>
        <w:gridCol w:w="1494"/>
        <w:gridCol w:w="2716"/>
        <w:gridCol w:w="4735"/>
        <w:gridCol w:w="36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1620" w:type="dxa"/>
            <w:vMerge w:val="restart"/>
            <w:noWrap w:val="0"/>
            <w:vAlign w:val="center"/>
          </w:tcPr>
          <w:p>
            <w:pPr>
              <w:pStyle w:val="108"/>
              <w:pageBreakBefore w:val="0"/>
              <w:topLinePunct w:val="0"/>
              <w:bidi w:val="0"/>
              <w:spacing w:before="131"/>
              <w:ind w:left="210"/>
              <w:outlineLvl w:val="9"/>
              <w:rPr>
                <w:b/>
                <w:lang w:val="en-US"/>
              </w:rPr>
            </w:pPr>
            <w:r>
              <w:rPr>
                <w:rFonts w:hint="eastAsia"/>
                <w:b/>
                <w:lang w:val="en-US"/>
              </w:rPr>
              <w:t>2.招生就业</w:t>
            </w:r>
          </w:p>
          <w:p>
            <w:pPr>
              <w:pStyle w:val="108"/>
              <w:pageBreakBefore w:val="0"/>
              <w:topLinePunct w:val="0"/>
              <w:bidi w:val="0"/>
              <w:spacing w:before="131"/>
              <w:ind w:left="32"/>
              <w:jc w:val="center"/>
              <w:outlineLvl w:val="9"/>
              <w:rPr>
                <w:b/>
                <w:lang w:val="en-US"/>
              </w:rPr>
            </w:pPr>
            <w:r>
              <w:rPr>
                <w:rFonts w:hint="eastAsia"/>
                <w:b/>
                <w:lang w:val="en-US"/>
              </w:rPr>
              <w:t>（20分）</w:t>
            </w:r>
          </w:p>
        </w:tc>
        <w:tc>
          <w:tcPr>
            <w:tcW w:w="1494" w:type="dxa"/>
            <w:vMerge w:val="restart"/>
            <w:noWrap w:val="0"/>
            <w:vAlign w:val="center"/>
          </w:tcPr>
          <w:p>
            <w:pPr>
              <w:pStyle w:val="108"/>
              <w:pageBreakBefore w:val="0"/>
              <w:topLinePunct w:val="0"/>
              <w:bidi w:val="0"/>
              <w:spacing w:before="131"/>
              <w:jc w:val="center"/>
              <w:outlineLvl w:val="9"/>
              <w:rPr>
                <w:b/>
                <w:lang w:val="en-US"/>
              </w:rPr>
            </w:pPr>
            <w:r>
              <w:rPr>
                <w:rFonts w:hint="eastAsia"/>
                <w:b/>
                <w:lang w:val="en-US"/>
              </w:rPr>
              <w:t>2</w:t>
            </w:r>
            <w:r>
              <w:rPr>
                <w:rFonts w:ascii="Times New Roman" w:eastAsia="Times New Roman"/>
                <w:b/>
              </w:rPr>
              <w:t>-</w:t>
            </w:r>
            <w:r>
              <w:rPr>
                <w:rFonts w:hint="eastAsia"/>
                <w:b/>
                <w:lang w:val="en-US"/>
              </w:rPr>
              <w:t>1招生</w:t>
            </w:r>
          </w:p>
          <w:p>
            <w:pPr>
              <w:pStyle w:val="108"/>
              <w:pageBreakBefore w:val="0"/>
              <w:topLinePunct w:val="0"/>
              <w:bidi w:val="0"/>
              <w:spacing w:before="131"/>
              <w:jc w:val="center"/>
              <w:outlineLvl w:val="9"/>
              <w:rPr>
                <w:rFonts w:eastAsia="宋体"/>
                <w:b/>
                <w:lang w:val="en-US"/>
              </w:rPr>
            </w:pPr>
            <w:r>
              <w:rPr>
                <w:rFonts w:hint="eastAsia"/>
                <w:b/>
                <w:lang w:val="en-US"/>
              </w:rPr>
              <w:t>（12分）</w:t>
            </w:r>
          </w:p>
        </w:tc>
        <w:tc>
          <w:tcPr>
            <w:tcW w:w="2716" w:type="dxa"/>
            <w:noWrap w:val="0"/>
            <w:vAlign w:val="center"/>
          </w:tcPr>
          <w:p>
            <w:pPr>
              <w:pStyle w:val="108"/>
              <w:pageBreakBefore w:val="0"/>
              <w:topLinePunct w:val="0"/>
              <w:bidi w:val="0"/>
              <w:spacing w:before="131"/>
              <w:jc w:val="center"/>
              <w:outlineLvl w:val="9"/>
              <w:rPr>
                <w:b/>
                <w:lang w:val="en-US"/>
              </w:rPr>
            </w:pPr>
            <w:r>
              <w:rPr>
                <w:rFonts w:hint="eastAsia"/>
                <w:b/>
                <w:lang w:val="en-US"/>
              </w:rPr>
              <w:t>当年度新生招生计划完成率</w:t>
            </w:r>
          </w:p>
          <w:p>
            <w:pPr>
              <w:pStyle w:val="108"/>
              <w:pageBreakBefore w:val="0"/>
              <w:topLinePunct w:val="0"/>
              <w:bidi w:val="0"/>
              <w:spacing w:before="131"/>
              <w:jc w:val="center"/>
              <w:outlineLvl w:val="9"/>
              <w:rPr>
                <w:b/>
                <w:lang w:val="en-US"/>
              </w:rPr>
            </w:pPr>
            <w:r>
              <w:rPr>
                <w:rFonts w:hint="eastAsia"/>
                <w:b/>
                <w:lang w:val="en-US"/>
              </w:rPr>
              <w:t>（8分）</w:t>
            </w:r>
          </w:p>
        </w:tc>
        <w:tc>
          <w:tcPr>
            <w:tcW w:w="4735" w:type="dxa"/>
            <w:noWrap w:val="0"/>
            <w:vAlign w:val="center"/>
          </w:tcPr>
          <w:p>
            <w:pPr>
              <w:pStyle w:val="108"/>
              <w:pageBreakBefore w:val="0"/>
              <w:topLinePunct w:val="0"/>
              <w:bidi w:val="0"/>
              <w:spacing w:before="131"/>
              <w:jc w:val="left"/>
              <w:outlineLvl w:val="9"/>
              <w:rPr>
                <w:b/>
                <w:lang w:val="en-US"/>
              </w:rPr>
            </w:pPr>
            <w:r>
              <w:rPr>
                <w:rFonts w:hint="eastAsia"/>
                <w:b/>
                <w:lang w:val="en-US"/>
              </w:rPr>
              <w:t>本</w:t>
            </w:r>
            <w:r>
              <w:rPr>
                <w:b/>
              </w:rPr>
              <w:t>专业平行志愿录取</w:t>
            </w:r>
            <w:r>
              <w:rPr>
                <w:rFonts w:hint="eastAsia"/>
                <w:b/>
                <w:lang w:val="en-US"/>
              </w:rPr>
              <w:t>完成</w:t>
            </w:r>
            <w:r>
              <w:rPr>
                <w:b/>
              </w:rPr>
              <w:t>率</w:t>
            </w:r>
            <w:r>
              <w:rPr>
                <w:rFonts w:hint="eastAsia"/>
                <w:b/>
                <w:spacing w:val="-3"/>
                <w:sz w:val="19"/>
                <w:szCs w:val="19"/>
                <w:lang w:val="en-US"/>
              </w:rPr>
              <w:t>，以教务处处统计数据为准。</w:t>
            </w:r>
          </w:p>
        </w:tc>
        <w:tc>
          <w:tcPr>
            <w:tcW w:w="3614" w:type="dxa"/>
            <w:noWrap w:val="0"/>
            <w:vAlign w:val="center"/>
          </w:tcPr>
          <w:p>
            <w:pPr>
              <w:pStyle w:val="108"/>
              <w:pageBreakBefore w:val="0"/>
              <w:numPr>
                <w:ilvl w:val="0"/>
                <w:numId w:val="33"/>
              </w:numPr>
              <w:topLinePunct w:val="0"/>
              <w:bidi w:val="0"/>
              <w:spacing w:before="131"/>
              <w:ind w:right="27"/>
              <w:jc w:val="left"/>
              <w:outlineLvl w:val="9"/>
              <w:rPr>
                <w:b/>
                <w:lang w:val="en-US"/>
              </w:rPr>
            </w:pPr>
            <w:r>
              <w:rPr>
                <w:b/>
                <w:lang w:val="en-US"/>
              </w:rPr>
              <w:t>≥90%</w:t>
            </w:r>
            <w:r>
              <w:rPr>
                <w:rFonts w:hint="eastAsia"/>
                <w:b/>
                <w:lang w:val="en-US"/>
              </w:rPr>
              <w:t>，比值为100%</w:t>
            </w:r>
          </w:p>
          <w:p>
            <w:pPr>
              <w:pStyle w:val="108"/>
              <w:pageBreakBefore w:val="0"/>
              <w:numPr>
                <w:ilvl w:val="0"/>
                <w:numId w:val="33"/>
              </w:numPr>
              <w:topLinePunct w:val="0"/>
              <w:bidi w:val="0"/>
              <w:spacing w:before="131"/>
              <w:ind w:right="27"/>
              <w:jc w:val="left"/>
              <w:outlineLvl w:val="9"/>
              <w:rPr>
                <w:b/>
                <w:lang w:val="en-US"/>
              </w:rPr>
            </w:pPr>
            <w:r>
              <w:rPr>
                <w:b/>
                <w:lang w:val="en-US"/>
              </w:rPr>
              <w:t>80-90%</w:t>
            </w:r>
            <w:r>
              <w:rPr>
                <w:rFonts w:hint="eastAsia"/>
                <w:b/>
                <w:spacing w:val="-3"/>
                <w:sz w:val="19"/>
                <w:szCs w:val="19"/>
                <w:lang w:val="en-US"/>
              </w:rPr>
              <w:t>，比值为80%</w:t>
            </w:r>
          </w:p>
          <w:p>
            <w:pPr>
              <w:pStyle w:val="108"/>
              <w:pageBreakBefore w:val="0"/>
              <w:numPr>
                <w:ilvl w:val="0"/>
                <w:numId w:val="33"/>
              </w:numPr>
              <w:topLinePunct w:val="0"/>
              <w:bidi w:val="0"/>
              <w:spacing w:before="131"/>
              <w:ind w:right="27"/>
              <w:jc w:val="left"/>
              <w:outlineLvl w:val="9"/>
              <w:rPr>
                <w:b/>
                <w:lang w:val="en-US"/>
              </w:rPr>
            </w:pPr>
            <w:r>
              <w:rPr>
                <w:b/>
                <w:lang w:val="en-US"/>
              </w:rPr>
              <w:t>70-80%</w:t>
            </w:r>
            <w:r>
              <w:rPr>
                <w:rFonts w:hint="eastAsia"/>
                <w:b/>
                <w:lang w:val="en-US"/>
              </w:rPr>
              <w:t>，</w:t>
            </w:r>
            <w:r>
              <w:rPr>
                <w:rFonts w:hint="eastAsia"/>
                <w:b/>
                <w:spacing w:val="-3"/>
                <w:sz w:val="19"/>
                <w:szCs w:val="19"/>
                <w:lang w:val="en-US"/>
              </w:rPr>
              <w:t>比值为60%</w:t>
            </w:r>
          </w:p>
          <w:p>
            <w:pPr>
              <w:pStyle w:val="108"/>
              <w:pageBreakBefore w:val="0"/>
              <w:numPr>
                <w:ilvl w:val="0"/>
                <w:numId w:val="33"/>
              </w:numPr>
              <w:topLinePunct w:val="0"/>
              <w:bidi w:val="0"/>
              <w:spacing w:before="131"/>
              <w:ind w:right="27"/>
              <w:jc w:val="left"/>
              <w:outlineLvl w:val="9"/>
              <w:rPr>
                <w:b/>
                <w:lang w:val="en-US"/>
              </w:rPr>
            </w:pPr>
            <w:r>
              <w:rPr>
                <w:b/>
                <w:lang w:val="en-US"/>
              </w:rPr>
              <w:t>&lt;70%</w:t>
            </w:r>
            <w:r>
              <w:rPr>
                <w:rFonts w:hint="eastAsia"/>
                <w:b/>
                <w:spacing w:val="-3"/>
                <w:sz w:val="19"/>
                <w:szCs w:val="19"/>
                <w:lang w:val="en-US"/>
              </w:rPr>
              <w:t>，比值为0%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2" w:hRule="atLeast"/>
        </w:trPr>
        <w:tc>
          <w:tcPr>
            <w:tcW w:w="1620" w:type="dxa"/>
            <w:vMerge w:val="continue"/>
            <w:noWrap w:val="0"/>
            <w:vAlign w:val="center"/>
          </w:tcPr>
          <w:p>
            <w:pPr>
              <w:pStyle w:val="108"/>
              <w:pageBreakBefore w:val="0"/>
              <w:topLinePunct w:val="0"/>
              <w:bidi w:val="0"/>
              <w:spacing w:before="131"/>
              <w:ind w:left="223"/>
              <w:jc w:val="center"/>
              <w:outlineLvl w:val="9"/>
              <w:rPr>
                <w:b/>
                <w:lang w:val="en-US"/>
              </w:rPr>
            </w:pPr>
          </w:p>
        </w:tc>
        <w:tc>
          <w:tcPr>
            <w:tcW w:w="1494" w:type="dxa"/>
            <w:vMerge w:val="continue"/>
            <w:noWrap w:val="0"/>
            <w:vAlign w:val="center"/>
          </w:tcPr>
          <w:p>
            <w:pPr>
              <w:pStyle w:val="108"/>
              <w:pageBreakBefore w:val="0"/>
              <w:topLinePunct w:val="0"/>
              <w:bidi w:val="0"/>
              <w:spacing w:before="131"/>
              <w:jc w:val="center"/>
              <w:outlineLvl w:val="9"/>
              <w:rPr>
                <w:b/>
                <w:lang w:val="en-US"/>
              </w:rPr>
            </w:pPr>
          </w:p>
        </w:tc>
        <w:tc>
          <w:tcPr>
            <w:tcW w:w="2716" w:type="dxa"/>
            <w:noWrap w:val="0"/>
            <w:vAlign w:val="center"/>
          </w:tcPr>
          <w:p>
            <w:pPr>
              <w:pStyle w:val="108"/>
              <w:pageBreakBefore w:val="0"/>
              <w:topLinePunct w:val="0"/>
              <w:bidi w:val="0"/>
              <w:spacing w:before="131"/>
              <w:jc w:val="center"/>
              <w:outlineLvl w:val="9"/>
              <w:rPr>
                <w:b/>
                <w:lang w:val="en-US"/>
              </w:rPr>
            </w:pPr>
            <w:r>
              <w:rPr>
                <w:rFonts w:hint="eastAsia"/>
                <w:b/>
                <w:lang w:val="en-US"/>
              </w:rPr>
              <w:t>当年度新生报到率</w:t>
            </w:r>
          </w:p>
          <w:p>
            <w:pPr>
              <w:pStyle w:val="108"/>
              <w:pageBreakBefore w:val="0"/>
              <w:topLinePunct w:val="0"/>
              <w:bidi w:val="0"/>
              <w:spacing w:before="131"/>
              <w:jc w:val="center"/>
              <w:outlineLvl w:val="9"/>
              <w:rPr>
                <w:b/>
                <w:lang w:val="en-US"/>
              </w:rPr>
            </w:pPr>
            <w:r>
              <w:rPr>
                <w:rFonts w:hint="eastAsia"/>
                <w:b/>
                <w:lang w:val="en-US"/>
              </w:rPr>
              <w:t>（4分）</w:t>
            </w:r>
          </w:p>
        </w:tc>
        <w:tc>
          <w:tcPr>
            <w:tcW w:w="4735" w:type="dxa"/>
            <w:noWrap w:val="0"/>
            <w:vAlign w:val="center"/>
          </w:tcPr>
          <w:p>
            <w:pPr>
              <w:pStyle w:val="108"/>
              <w:pageBreakBefore w:val="0"/>
              <w:topLinePunct w:val="0"/>
              <w:bidi w:val="0"/>
              <w:spacing w:before="131"/>
              <w:outlineLvl w:val="9"/>
              <w:rPr>
                <w:b/>
                <w:lang w:val="en-US"/>
              </w:rPr>
            </w:pPr>
            <w:r>
              <w:rPr>
                <w:rFonts w:hint="eastAsia"/>
                <w:b/>
                <w:lang w:val="en-US"/>
              </w:rPr>
              <w:t>本专业新生报到率</w:t>
            </w:r>
            <w:r>
              <w:rPr>
                <w:rFonts w:hint="eastAsia"/>
                <w:b/>
                <w:spacing w:val="-3"/>
                <w:sz w:val="19"/>
                <w:szCs w:val="19"/>
                <w:lang w:val="en-US"/>
              </w:rPr>
              <w:t>，以教务处处统计数据为准。</w:t>
            </w:r>
          </w:p>
          <w:p>
            <w:pPr>
              <w:pStyle w:val="108"/>
              <w:pageBreakBefore w:val="0"/>
              <w:topLinePunct w:val="0"/>
              <w:bidi w:val="0"/>
              <w:spacing w:before="131"/>
              <w:jc w:val="left"/>
              <w:outlineLvl w:val="9"/>
              <w:rPr>
                <w:b/>
                <w:lang w:val="en-US"/>
              </w:rPr>
            </w:pPr>
          </w:p>
        </w:tc>
        <w:tc>
          <w:tcPr>
            <w:tcW w:w="3614" w:type="dxa"/>
            <w:noWrap w:val="0"/>
            <w:vAlign w:val="center"/>
          </w:tcPr>
          <w:p>
            <w:pPr>
              <w:pStyle w:val="108"/>
              <w:pageBreakBefore w:val="0"/>
              <w:numPr>
                <w:ilvl w:val="0"/>
                <w:numId w:val="34"/>
              </w:numPr>
              <w:topLinePunct w:val="0"/>
              <w:bidi w:val="0"/>
              <w:spacing w:before="131"/>
              <w:ind w:right="27"/>
              <w:jc w:val="left"/>
              <w:outlineLvl w:val="9"/>
              <w:rPr>
                <w:b/>
                <w:lang w:val="en-US"/>
              </w:rPr>
            </w:pPr>
            <w:r>
              <w:rPr>
                <w:rFonts w:hint="eastAsia"/>
                <w:b/>
                <w:lang w:val="en-US"/>
              </w:rPr>
              <w:t>≥95%，比值为100%</w:t>
            </w:r>
          </w:p>
          <w:p>
            <w:pPr>
              <w:pStyle w:val="108"/>
              <w:pageBreakBefore w:val="0"/>
              <w:numPr>
                <w:ilvl w:val="0"/>
                <w:numId w:val="34"/>
              </w:numPr>
              <w:topLinePunct w:val="0"/>
              <w:bidi w:val="0"/>
              <w:spacing w:before="131"/>
              <w:ind w:right="27"/>
              <w:jc w:val="left"/>
              <w:outlineLvl w:val="9"/>
              <w:rPr>
                <w:b/>
                <w:lang w:val="en-US"/>
              </w:rPr>
            </w:pPr>
            <w:r>
              <w:rPr>
                <w:b/>
                <w:lang w:val="en-US"/>
              </w:rPr>
              <w:t>≥90%</w:t>
            </w:r>
            <w:r>
              <w:rPr>
                <w:rFonts w:hint="eastAsia"/>
                <w:b/>
                <w:spacing w:val="-3"/>
                <w:sz w:val="19"/>
                <w:szCs w:val="19"/>
                <w:lang w:val="en-US"/>
              </w:rPr>
              <w:t>，比值为80%</w:t>
            </w:r>
          </w:p>
          <w:p>
            <w:pPr>
              <w:pStyle w:val="108"/>
              <w:pageBreakBefore w:val="0"/>
              <w:numPr>
                <w:ilvl w:val="0"/>
                <w:numId w:val="34"/>
              </w:numPr>
              <w:topLinePunct w:val="0"/>
              <w:bidi w:val="0"/>
              <w:spacing w:before="131"/>
              <w:ind w:right="27"/>
              <w:jc w:val="left"/>
              <w:outlineLvl w:val="9"/>
              <w:rPr>
                <w:b/>
                <w:lang w:val="en-US"/>
              </w:rPr>
            </w:pPr>
            <w:r>
              <w:rPr>
                <w:b/>
                <w:lang w:val="en-US"/>
              </w:rPr>
              <w:t>≥85%</w:t>
            </w:r>
            <w:r>
              <w:rPr>
                <w:rFonts w:hint="eastAsia"/>
                <w:b/>
                <w:lang w:val="en-US"/>
              </w:rPr>
              <w:t>，</w:t>
            </w:r>
            <w:r>
              <w:rPr>
                <w:rFonts w:hint="eastAsia"/>
                <w:b/>
                <w:spacing w:val="-3"/>
                <w:sz w:val="19"/>
                <w:szCs w:val="19"/>
                <w:lang w:val="en-US"/>
              </w:rPr>
              <w:t>比值为60%</w:t>
            </w:r>
          </w:p>
          <w:p>
            <w:pPr>
              <w:pStyle w:val="108"/>
              <w:pageBreakBefore w:val="0"/>
              <w:numPr>
                <w:ilvl w:val="0"/>
                <w:numId w:val="34"/>
              </w:numPr>
              <w:topLinePunct w:val="0"/>
              <w:bidi w:val="0"/>
              <w:spacing w:before="131"/>
              <w:ind w:right="27"/>
              <w:jc w:val="left"/>
              <w:outlineLvl w:val="9"/>
              <w:rPr>
                <w:b/>
                <w:lang w:val="en-US"/>
              </w:rPr>
            </w:pPr>
            <w:r>
              <w:rPr>
                <w:b/>
                <w:lang w:val="en-US"/>
              </w:rPr>
              <w:t>&lt;85%</w:t>
            </w:r>
            <w:r>
              <w:rPr>
                <w:rFonts w:hint="eastAsia"/>
                <w:b/>
                <w:spacing w:val="-3"/>
                <w:sz w:val="19"/>
                <w:szCs w:val="19"/>
                <w:lang w:val="en-US"/>
              </w:rPr>
              <w:t>，比值为0%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1620" w:type="dxa"/>
            <w:vMerge w:val="continue"/>
            <w:noWrap w:val="0"/>
            <w:vAlign w:val="center"/>
          </w:tcPr>
          <w:p>
            <w:pPr>
              <w:pStyle w:val="108"/>
              <w:pageBreakBefore w:val="0"/>
              <w:topLinePunct w:val="0"/>
              <w:bidi w:val="0"/>
              <w:spacing w:before="131"/>
              <w:ind w:left="223"/>
              <w:jc w:val="center"/>
              <w:outlineLvl w:val="9"/>
              <w:rPr>
                <w:b/>
                <w:lang w:val="en-US"/>
              </w:rPr>
            </w:pPr>
          </w:p>
        </w:tc>
        <w:tc>
          <w:tcPr>
            <w:tcW w:w="1494" w:type="dxa"/>
            <w:noWrap w:val="0"/>
            <w:vAlign w:val="center"/>
          </w:tcPr>
          <w:p>
            <w:pPr>
              <w:pStyle w:val="108"/>
              <w:pageBreakBefore w:val="0"/>
              <w:topLinePunct w:val="0"/>
              <w:bidi w:val="0"/>
              <w:spacing w:before="131"/>
              <w:jc w:val="center"/>
              <w:outlineLvl w:val="9"/>
              <w:rPr>
                <w:b/>
                <w:lang w:val="en-US"/>
              </w:rPr>
            </w:pPr>
            <w:r>
              <w:rPr>
                <w:rFonts w:hint="eastAsia"/>
                <w:b/>
                <w:lang w:val="en-US"/>
              </w:rPr>
              <w:t>2</w:t>
            </w:r>
            <w:r>
              <w:rPr>
                <w:rFonts w:ascii="Times New Roman" w:eastAsia="Times New Roman"/>
                <w:b/>
              </w:rPr>
              <w:t>-</w:t>
            </w:r>
            <w:r>
              <w:rPr>
                <w:rFonts w:hint="eastAsia"/>
                <w:b/>
                <w:lang w:val="en-US"/>
              </w:rPr>
              <w:t>2就业</w:t>
            </w:r>
          </w:p>
          <w:p>
            <w:pPr>
              <w:pStyle w:val="108"/>
              <w:pageBreakBefore w:val="0"/>
              <w:topLinePunct w:val="0"/>
              <w:bidi w:val="0"/>
              <w:spacing w:before="131"/>
              <w:jc w:val="center"/>
              <w:outlineLvl w:val="9"/>
              <w:rPr>
                <w:b/>
                <w:lang w:val="en-US"/>
              </w:rPr>
            </w:pPr>
            <w:r>
              <w:rPr>
                <w:rFonts w:hint="eastAsia"/>
                <w:b/>
                <w:lang w:val="en-US"/>
              </w:rPr>
              <w:t>（8分）</w:t>
            </w:r>
          </w:p>
          <w:p>
            <w:pPr>
              <w:pStyle w:val="108"/>
              <w:pageBreakBefore w:val="0"/>
              <w:topLinePunct w:val="0"/>
              <w:bidi w:val="0"/>
              <w:spacing w:before="131"/>
              <w:jc w:val="center"/>
              <w:outlineLvl w:val="9"/>
              <w:rPr>
                <w:b/>
                <w:lang w:val="en-US"/>
              </w:rPr>
            </w:pPr>
          </w:p>
        </w:tc>
        <w:tc>
          <w:tcPr>
            <w:tcW w:w="2716" w:type="dxa"/>
            <w:noWrap w:val="0"/>
            <w:vAlign w:val="center"/>
          </w:tcPr>
          <w:p>
            <w:pPr>
              <w:pStyle w:val="108"/>
              <w:pageBreakBefore w:val="0"/>
              <w:topLinePunct w:val="0"/>
              <w:bidi w:val="0"/>
              <w:spacing w:before="131"/>
              <w:jc w:val="center"/>
              <w:outlineLvl w:val="9"/>
              <w:rPr>
                <w:b/>
                <w:lang w:val="en-US"/>
              </w:rPr>
            </w:pPr>
            <w:r>
              <w:rPr>
                <w:rFonts w:hint="eastAsia"/>
                <w:b/>
                <w:lang w:val="en-US"/>
              </w:rPr>
              <w:t>当年度毕业生就业率</w:t>
            </w:r>
          </w:p>
          <w:p>
            <w:pPr>
              <w:pStyle w:val="108"/>
              <w:pageBreakBefore w:val="0"/>
              <w:topLinePunct w:val="0"/>
              <w:bidi w:val="0"/>
              <w:spacing w:before="131"/>
              <w:jc w:val="center"/>
              <w:outlineLvl w:val="9"/>
              <w:rPr>
                <w:b/>
                <w:lang w:val="en-US"/>
              </w:rPr>
            </w:pPr>
            <w:r>
              <w:rPr>
                <w:rFonts w:hint="eastAsia"/>
                <w:b/>
                <w:lang w:val="en-US"/>
              </w:rPr>
              <w:t>（8分）</w:t>
            </w:r>
          </w:p>
          <w:p>
            <w:pPr>
              <w:pStyle w:val="108"/>
              <w:pageBreakBefore w:val="0"/>
              <w:topLinePunct w:val="0"/>
              <w:bidi w:val="0"/>
              <w:spacing w:before="131"/>
              <w:jc w:val="center"/>
              <w:outlineLvl w:val="9"/>
              <w:rPr>
                <w:b/>
                <w:lang w:val="en-US"/>
              </w:rPr>
            </w:pPr>
          </w:p>
        </w:tc>
        <w:tc>
          <w:tcPr>
            <w:tcW w:w="4735" w:type="dxa"/>
            <w:noWrap w:val="0"/>
            <w:vAlign w:val="center"/>
          </w:tcPr>
          <w:p>
            <w:pPr>
              <w:pStyle w:val="108"/>
              <w:pageBreakBefore w:val="0"/>
              <w:numPr>
                <w:ilvl w:val="0"/>
                <w:numId w:val="35"/>
              </w:numPr>
              <w:topLinePunct w:val="0"/>
              <w:bidi w:val="0"/>
              <w:spacing w:before="131"/>
              <w:outlineLvl w:val="9"/>
              <w:rPr>
                <w:b/>
                <w:spacing w:val="-3"/>
                <w:sz w:val="19"/>
                <w:szCs w:val="19"/>
                <w:lang w:val="en-US"/>
              </w:rPr>
            </w:pPr>
            <w:r>
              <w:rPr>
                <w:rFonts w:hint="eastAsia"/>
                <w:b/>
                <w:lang w:val="en-US"/>
              </w:rPr>
              <w:t>本专业当年毕业生就业率</w:t>
            </w:r>
            <w:r>
              <w:rPr>
                <w:rFonts w:hint="eastAsia"/>
                <w:b/>
                <w:spacing w:val="-3"/>
                <w:sz w:val="19"/>
                <w:szCs w:val="19"/>
                <w:lang w:val="en-US"/>
              </w:rPr>
              <w:t>；</w:t>
            </w:r>
          </w:p>
          <w:p>
            <w:pPr>
              <w:pStyle w:val="108"/>
              <w:pageBreakBefore w:val="0"/>
              <w:numPr>
                <w:ilvl w:val="0"/>
                <w:numId w:val="35"/>
              </w:numPr>
              <w:topLinePunct w:val="0"/>
              <w:bidi w:val="0"/>
              <w:spacing w:before="131"/>
              <w:outlineLvl w:val="9"/>
              <w:rPr>
                <w:b/>
                <w:lang w:val="en-US"/>
              </w:rPr>
            </w:pPr>
            <w:r>
              <w:rPr>
                <w:rFonts w:hint="eastAsia"/>
                <w:b/>
                <w:spacing w:val="-3"/>
                <w:sz w:val="19"/>
                <w:szCs w:val="19"/>
                <w:lang w:val="en-US"/>
              </w:rPr>
              <w:t>按照当年</w:t>
            </w:r>
            <w:r>
              <w:rPr>
                <w:rFonts w:hint="eastAsia"/>
                <w:b/>
                <w:lang w:val="en-US"/>
              </w:rPr>
              <w:t>上海高校毕业生平均就业率为参照。</w:t>
            </w:r>
          </w:p>
          <w:p>
            <w:pPr>
              <w:pStyle w:val="108"/>
              <w:pageBreakBefore w:val="0"/>
              <w:numPr>
                <w:ilvl w:val="0"/>
                <w:numId w:val="35"/>
              </w:numPr>
              <w:topLinePunct w:val="0"/>
              <w:bidi w:val="0"/>
              <w:spacing w:before="131"/>
              <w:outlineLvl w:val="9"/>
              <w:rPr>
                <w:b/>
                <w:lang w:val="en-US"/>
              </w:rPr>
            </w:pPr>
            <w:r>
              <w:rPr>
                <w:rFonts w:hint="eastAsia"/>
                <w:b/>
                <w:lang w:val="en-US"/>
              </w:rPr>
              <w:t>以校企合作办认定为准。</w:t>
            </w:r>
          </w:p>
          <w:p>
            <w:pPr>
              <w:pStyle w:val="108"/>
              <w:pageBreakBefore w:val="0"/>
              <w:topLinePunct w:val="0"/>
              <w:bidi w:val="0"/>
              <w:spacing w:before="131"/>
              <w:jc w:val="left"/>
              <w:outlineLvl w:val="9"/>
              <w:rPr>
                <w:b/>
                <w:lang w:val="en-US"/>
              </w:rPr>
            </w:pPr>
          </w:p>
        </w:tc>
        <w:tc>
          <w:tcPr>
            <w:tcW w:w="3614" w:type="dxa"/>
            <w:noWrap w:val="0"/>
            <w:vAlign w:val="center"/>
          </w:tcPr>
          <w:p>
            <w:pPr>
              <w:pStyle w:val="108"/>
              <w:pageBreakBefore w:val="0"/>
              <w:numPr>
                <w:ilvl w:val="0"/>
                <w:numId w:val="36"/>
              </w:numPr>
              <w:topLinePunct w:val="0"/>
              <w:bidi w:val="0"/>
              <w:spacing w:before="131"/>
              <w:ind w:right="27"/>
              <w:jc w:val="left"/>
              <w:outlineLvl w:val="9"/>
              <w:rPr>
                <w:b/>
                <w:lang w:val="en-US"/>
              </w:rPr>
            </w:pPr>
            <w:r>
              <w:rPr>
                <w:rFonts w:hint="eastAsia"/>
                <w:b/>
                <w:lang w:val="en-US"/>
              </w:rPr>
              <w:t>≥上海高职平均就业率，比值为100%</w:t>
            </w:r>
          </w:p>
          <w:p>
            <w:pPr>
              <w:pStyle w:val="108"/>
              <w:pageBreakBefore w:val="0"/>
              <w:numPr>
                <w:ilvl w:val="0"/>
                <w:numId w:val="36"/>
              </w:numPr>
              <w:topLinePunct w:val="0"/>
              <w:bidi w:val="0"/>
              <w:spacing w:before="131"/>
              <w:ind w:right="27"/>
              <w:jc w:val="left"/>
              <w:outlineLvl w:val="9"/>
              <w:rPr>
                <w:b/>
                <w:lang w:val="en-US"/>
              </w:rPr>
            </w:pPr>
            <w:r>
              <w:rPr>
                <w:rFonts w:hint="eastAsia"/>
                <w:b/>
                <w:lang w:val="en-US"/>
              </w:rPr>
              <w:t>低于上海高职平均就业率1%-2%之间，比值为80%</w:t>
            </w:r>
          </w:p>
          <w:p>
            <w:pPr>
              <w:pStyle w:val="108"/>
              <w:pageBreakBefore w:val="0"/>
              <w:numPr>
                <w:ilvl w:val="0"/>
                <w:numId w:val="36"/>
              </w:numPr>
              <w:topLinePunct w:val="0"/>
              <w:bidi w:val="0"/>
              <w:spacing w:before="131"/>
              <w:ind w:right="27"/>
              <w:jc w:val="left"/>
              <w:outlineLvl w:val="9"/>
              <w:rPr>
                <w:b/>
                <w:lang w:val="en-US"/>
              </w:rPr>
            </w:pPr>
            <w:r>
              <w:rPr>
                <w:rFonts w:hint="eastAsia"/>
                <w:b/>
                <w:lang w:val="en-US"/>
              </w:rPr>
              <w:t>低于上海高职平均就业率2%-3%之间，比值为60%</w:t>
            </w:r>
          </w:p>
          <w:p>
            <w:pPr>
              <w:pStyle w:val="108"/>
              <w:pageBreakBefore w:val="0"/>
              <w:numPr>
                <w:ilvl w:val="0"/>
                <w:numId w:val="0"/>
              </w:numPr>
              <w:topLinePunct w:val="0"/>
              <w:bidi w:val="0"/>
              <w:spacing w:before="131"/>
              <w:ind w:right="27"/>
              <w:jc w:val="left"/>
              <w:outlineLvl w:val="9"/>
              <w:rPr>
                <w:b/>
                <w:lang w:val="en-US"/>
              </w:rPr>
            </w:pPr>
            <w:r>
              <w:rPr>
                <w:rFonts w:hint="eastAsia"/>
                <w:b/>
                <w:lang w:val="en-US"/>
              </w:rPr>
              <w:t>4.上海高职平均就业率3%级以上者，比值为0。</w:t>
            </w:r>
          </w:p>
        </w:tc>
      </w:tr>
    </w:tbl>
    <w:p>
      <w:pPr>
        <w:pageBreakBefore w:val="0"/>
        <w:topLinePunct w:val="0"/>
        <w:bidi w:val="0"/>
        <w:spacing w:line="240" w:lineRule="exact"/>
        <w:outlineLvl w:val="9"/>
        <w:rPr>
          <w:rFonts w:ascii="仿宋" w:hAnsi="仿宋" w:eastAsia="仿宋" w:cs="仿宋"/>
          <w:sz w:val="24"/>
          <w:lang w:bidi="zh-CN"/>
        </w:rPr>
      </w:pPr>
    </w:p>
    <w:tbl>
      <w:tblPr>
        <w:tblStyle w:val="37"/>
        <w:tblpPr w:leftFromText="180" w:rightFromText="180" w:vertAnchor="text" w:horzAnchor="page" w:tblpX="1357" w:tblpY="-88"/>
        <w:tblOverlap w:val="never"/>
        <w:tblW w:w="141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0"/>
        <w:gridCol w:w="1494"/>
        <w:gridCol w:w="2716"/>
        <w:gridCol w:w="4735"/>
        <w:gridCol w:w="36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1620" w:type="dxa"/>
            <w:vMerge w:val="restart"/>
            <w:noWrap w:val="0"/>
            <w:vAlign w:val="center"/>
          </w:tcPr>
          <w:p>
            <w:pPr>
              <w:pStyle w:val="108"/>
              <w:pageBreakBefore w:val="0"/>
              <w:tabs>
                <w:tab w:val="left" w:pos="312"/>
              </w:tabs>
              <w:topLinePunct w:val="0"/>
              <w:bidi w:val="0"/>
              <w:spacing w:before="131"/>
              <w:jc w:val="center"/>
              <w:outlineLvl w:val="9"/>
              <w:rPr>
                <w:b/>
                <w:lang w:val="en-US"/>
              </w:rPr>
            </w:pPr>
            <w:r>
              <w:rPr>
                <w:rFonts w:hint="eastAsia"/>
                <w:b/>
                <w:lang w:val="en-US"/>
              </w:rPr>
              <w:t>3.学生成果</w:t>
            </w:r>
          </w:p>
          <w:p>
            <w:pPr>
              <w:pStyle w:val="108"/>
              <w:pageBreakBefore w:val="0"/>
              <w:topLinePunct w:val="0"/>
              <w:bidi w:val="0"/>
              <w:spacing w:before="131"/>
              <w:jc w:val="center"/>
              <w:outlineLvl w:val="9"/>
              <w:rPr>
                <w:b/>
                <w:lang w:val="en-US"/>
              </w:rPr>
            </w:pPr>
            <w:r>
              <w:rPr>
                <w:rFonts w:hint="eastAsia"/>
                <w:b/>
                <w:lang w:val="en-US"/>
              </w:rPr>
              <w:t>（</w:t>
            </w:r>
            <w:r>
              <w:rPr>
                <w:b/>
                <w:lang w:val="en-US"/>
              </w:rPr>
              <w:t>8</w:t>
            </w:r>
            <w:r>
              <w:rPr>
                <w:rFonts w:hint="eastAsia"/>
                <w:b/>
                <w:lang w:val="en-US"/>
              </w:rPr>
              <w:t>分）</w:t>
            </w:r>
          </w:p>
        </w:tc>
        <w:tc>
          <w:tcPr>
            <w:tcW w:w="1494" w:type="dxa"/>
            <w:noWrap w:val="0"/>
            <w:vAlign w:val="center"/>
          </w:tcPr>
          <w:p>
            <w:pPr>
              <w:pStyle w:val="108"/>
              <w:pageBreakBefore w:val="0"/>
              <w:topLinePunct w:val="0"/>
              <w:bidi w:val="0"/>
              <w:spacing w:before="131"/>
              <w:jc w:val="center"/>
              <w:outlineLvl w:val="9"/>
              <w:rPr>
                <w:b/>
                <w:lang w:val="en-US"/>
              </w:rPr>
            </w:pPr>
            <w:r>
              <w:rPr>
                <w:rFonts w:hint="eastAsia"/>
                <w:b/>
                <w:lang w:val="en-US"/>
              </w:rPr>
              <w:t>3</w:t>
            </w:r>
            <w:r>
              <w:rPr>
                <w:rFonts w:ascii="Times New Roman" w:eastAsia="Times New Roman"/>
                <w:b/>
              </w:rPr>
              <w:t>-</w:t>
            </w:r>
            <w:r>
              <w:rPr>
                <w:rFonts w:hint="eastAsia"/>
                <w:b/>
                <w:lang w:val="en-US"/>
              </w:rPr>
              <w:t>1学生获证</w:t>
            </w:r>
          </w:p>
          <w:p>
            <w:pPr>
              <w:pStyle w:val="108"/>
              <w:pageBreakBefore w:val="0"/>
              <w:topLinePunct w:val="0"/>
              <w:bidi w:val="0"/>
              <w:spacing w:before="131"/>
              <w:jc w:val="center"/>
              <w:outlineLvl w:val="9"/>
              <w:rPr>
                <w:b/>
                <w:lang w:val="en-US"/>
              </w:rPr>
            </w:pPr>
            <w:r>
              <w:rPr>
                <w:rFonts w:hint="eastAsia"/>
                <w:b/>
                <w:lang w:val="en-US"/>
              </w:rPr>
              <w:t>（4分）</w:t>
            </w:r>
          </w:p>
        </w:tc>
        <w:tc>
          <w:tcPr>
            <w:tcW w:w="2716" w:type="dxa"/>
            <w:noWrap w:val="0"/>
            <w:vAlign w:val="center"/>
          </w:tcPr>
          <w:p>
            <w:pPr>
              <w:pStyle w:val="108"/>
              <w:pageBreakBefore w:val="0"/>
              <w:topLinePunct w:val="0"/>
              <w:bidi w:val="0"/>
              <w:spacing w:before="131"/>
              <w:jc w:val="center"/>
              <w:outlineLvl w:val="9"/>
              <w:rPr>
                <w:b/>
                <w:lang w:val="en-US"/>
              </w:rPr>
            </w:pPr>
            <w:r>
              <w:rPr>
                <w:rFonts w:hint="eastAsia"/>
                <w:b/>
                <w:lang w:val="en-US"/>
              </w:rPr>
              <w:t>当年度学生技能证书获证率</w:t>
            </w:r>
          </w:p>
          <w:p>
            <w:pPr>
              <w:pStyle w:val="108"/>
              <w:pageBreakBefore w:val="0"/>
              <w:topLinePunct w:val="0"/>
              <w:bidi w:val="0"/>
              <w:spacing w:before="131"/>
              <w:jc w:val="center"/>
              <w:outlineLvl w:val="9"/>
              <w:rPr>
                <w:b/>
                <w:lang w:val="en-US"/>
              </w:rPr>
            </w:pPr>
            <w:r>
              <w:rPr>
                <w:rFonts w:hint="eastAsia"/>
                <w:b/>
                <w:lang w:val="en-US"/>
              </w:rPr>
              <w:t>（4分）</w:t>
            </w:r>
          </w:p>
        </w:tc>
        <w:tc>
          <w:tcPr>
            <w:tcW w:w="4735" w:type="dxa"/>
            <w:noWrap w:val="0"/>
            <w:vAlign w:val="center"/>
          </w:tcPr>
          <w:p>
            <w:pPr>
              <w:pStyle w:val="108"/>
              <w:pageBreakBefore w:val="0"/>
              <w:topLinePunct w:val="0"/>
              <w:bidi w:val="0"/>
              <w:spacing w:before="131"/>
              <w:jc w:val="left"/>
              <w:outlineLvl w:val="9"/>
              <w:rPr>
                <w:b/>
                <w:lang w:val="en-US"/>
              </w:rPr>
            </w:pPr>
            <w:r>
              <w:rPr>
                <w:rFonts w:hint="eastAsia"/>
                <w:b/>
                <w:lang w:val="en-US"/>
              </w:rPr>
              <w:t>该专业学生获得技能证书情况统计，以数据平台统计数据为准。</w:t>
            </w:r>
          </w:p>
        </w:tc>
        <w:tc>
          <w:tcPr>
            <w:tcW w:w="3614" w:type="dxa"/>
            <w:noWrap w:val="0"/>
            <w:vAlign w:val="center"/>
          </w:tcPr>
          <w:p>
            <w:pPr>
              <w:pStyle w:val="108"/>
              <w:pageBreakBefore w:val="0"/>
              <w:numPr>
                <w:ilvl w:val="0"/>
                <w:numId w:val="37"/>
              </w:numPr>
              <w:topLinePunct w:val="0"/>
              <w:bidi w:val="0"/>
              <w:spacing w:before="131"/>
              <w:ind w:right="27"/>
              <w:jc w:val="left"/>
              <w:outlineLvl w:val="9"/>
              <w:rPr>
                <w:b/>
                <w:lang w:val="en-US"/>
              </w:rPr>
            </w:pPr>
            <w:r>
              <w:rPr>
                <w:rFonts w:hint="eastAsia"/>
                <w:b/>
                <w:lang w:val="en-US"/>
              </w:rPr>
              <w:t>≥90%，比值为100%</w:t>
            </w:r>
          </w:p>
          <w:p>
            <w:pPr>
              <w:pStyle w:val="108"/>
              <w:pageBreakBefore w:val="0"/>
              <w:numPr>
                <w:ilvl w:val="0"/>
                <w:numId w:val="37"/>
              </w:numPr>
              <w:topLinePunct w:val="0"/>
              <w:bidi w:val="0"/>
              <w:spacing w:before="131"/>
              <w:ind w:right="27"/>
              <w:jc w:val="left"/>
              <w:outlineLvl w:val="9"/>
              <w:rPr>
                <w:b/>
                <w:lang w:val="en-US"/>
              </w:rPr>
            </w:pPr>
            <w:r>
              <w:rPr>
                <w:rFonts w:hint="eastAsia"/>
                <w:b/>
                <w:lang w:val="en-US"/>
              </w:rPr>
              <w:t>≥80%，比值为80%</w:t>
            </w:r>
          </w:p>
          <w:p>
            <w:pPr>
              <w:pStyle w:val="108"/>
              <w:pageBreakBefore w:val="0"/>
              <w:numPr>
                <w:ilvl w:val="0"/>
                <w:numId w:val="37"/>
              </w:numPr>
              <w:topLinePunct w:val="0"/>
              <w:bidi w:val="0"/>
              <w:spacing w:before="131"/>
              <w:ind w:right="27"/>
              <w:jc w:val="left"/>
              <w:outlineLvl w:val="9"/>
              <w:rPr>
                <w:b/>
                <w:lang w:val="en-US"/>
              </w:rPr>
            </w:pPr>
            <w:r>
              <w:rPr>
                <w:rFonts w:hint="eastAsia"/>
                <w:b/>
                <w:lang w:val="en-US"/>
              </w:rPr>
              <w:t>≥70%，比值为60%</w:t>
            </w:r>
          </w:p>
          <w:p>
            <w:pPr>
              <w:pStyle w:val="108"/>
              <w:pageBreakBefore w:val="0"/>
              <w:numPr>
                <w:ilvl w:val="0"/>
                <w:numId w:val="37"/>
              </w:numPr>
              <w:topLinePunct w:val="0"/>
              <w:bidi w:val="0"/>
              <w:spacing w:before="131"/>
              <w:ind w:right="27"/>
              <w:jc w:val="left"/>
              <w:outlineLvl w:val="9"/>
              <w:rPr>
                <w:b/>
                <w:lang w:val="en-US"/>
              </w:rPr>
            </w:pPr>
            <w:r>
              <w:rPr>
                <w:b/>
                <w:lang w:val="en-US"/>
              </w:rPr>
              <w:t>&lt;</w:t>
            </w:r>
            <w:r>
              <w:rPr>
                <w:rFonts w:hint="eastAsia"/>
                <w:b/>
                <w:lang w:val="en-US"/>
              </w:rPr>
              <w:t>70%,比值为0%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1620" w:type="dxa"/>
            <w:vMerge w:val="continue"/>
            <w:noWrap w:val="0"/>
            <w:vAlign w:val="center"/>
          </w:tcPr>
          <w:p>
            <w:pPr>
              <w:pStyle w:val="108"/>
              <w:pageBreakBefore w:val="0"/>
              <w:topLinePunct w:val="0"/>
              <w:bidi w:val="0"/>
              <w:spacing w:before="131"/>
              <w:ind w:left="223"/>
              <w:jc w:val="center"/>
              <w:outlineLvl w:val="9"/>
              <w:rPr>
                <w:b/>
                <w:lang w:val="en-US"/>
              </w:rPr>
            </w:pPr>
          </w:p>
        </w:tc>
        <w:tc>
          <w:tcPr>
            <w:tcW w:w="1494" w:type="dxa"/>
            <w:noWrap w:val="0"/>
            <w:vAlign w:val="center"/>
          </w:tcPr>
          <w:p>
            <w:pPr>
              <w:pStyle w:val="108"/>
              <w:pageBreakBefore w:val="0"/>
              <w:topLinePunct w:val="0"/>
              <w:bidi w:val="0"/>
              <w:spacing w:before="131"/>
              <w:jc w:val="center"/>
              <w:outlineLvl w:val="9"/>
              <w:rPr>
                <w:b/>
                <w:lang w:val="en-US"/>
              </w:rPr>
            </w:pPr>
            <w:r>
              <w:rPr>
                <w:rFonts w:hint="eastAsia"/>
                <w:b/>
                <w:lang w:val="en-US"/>
              </w:rPr>
              <w:t>3</w:t>
            </w:r>
            <w:r>
              <w:rPr>
                <w:rFonts w:ascii="Times New Roman" w:eastAsia="Times New Roman"/>
                <w:b/>
              </w:rPr>
              <w:t>-</w:t>
            </w:r>
            <w:r>
              <w:rPr>
                <w:rFonts w:hint="eastAsia"/>
                <w:b/>
                <w:lang w:val="en-US"/>
              </w:rPr>
              <w:t>2学生获奖</w:t>
            </w:r>
          </w:p>
          <w:p>
            <w:pPr>
              <w:pStyle w:val="108"/>
              <w:pageBreakBefore w:val="0"/>
              <w:topLinePunct w:val="0"/>
              <w:bidi w:val="0"/>
              <w:spacing w:before="131"/>
              <w:jc w:val="center"/>
              <w:outlineLvl w:val="9"/>
              <w:rPr>
                <w:b/>
                <w:lang w:val="en-US"/>
              </w:rPr>
            </w:pPr>
            <w:r>
              <w:rPr>
                <w:rFonts w:hint="eastAsia"/>
                <w:b/>
                <w:lang w:val="en-US"/>
              </w:rPr>
              <w:t>（</w:t>
            </w:r>
            <w:r>
              <w:rPr>
                <w:b/>
                <w:lang w:val="en-US"/>
              </w:rPr>
              <w:t>4</w:t>
            </w:r>
            <w:r>
              <w:rPr>
                <w:rFonts w:hint="eastAsia"/>
                <w:b/>
                <w:lang w:val="en-US"/>
              </w:rPr>
              <w:t>分）</w:t>
            </w:r>
          </w:p>
        </w:tc>
        <w:tc>
          <w:tcPr>
            <w:tcW w:w="2716" w:type="dxa"/>
            <w:noWrap w:val="0"/>
            <w:vAlign w:val="center"/>
          </w:tcPr>
          <w:p>
            <w:pPr>
              <w:pStyle w:val="108"/>
              <w:pageBreakBefore w:val="0"/>
              <w:topLinePunct w:val="0"/>
              <w:bidi w:val="0"/>
              <w:spacing w:before="131"/>
              <w:jc w:val="center"/>
              <w:outlineLvl w:val="9"/>
              <w:rPr>
                <w:b/>
                <w:lang w:val="en-US"/>
              </w:rPr>
            </w:pPr>
            <w:r>
              <w:rPr>
                <w:rFonts w:hint="eastAsia"/>
                <w:b/>
                <w:lang w:val="en-US"/>
              </w:rPr>
              <w:t>当年度学生技能大赛获奖</w:t>
            </w:r>
          </w:p>
          <w:p>
            <w:pPr>
              <w:pStyle w:val="108"/>
              <w:pageBreakBefore w:val="0"/>
              <w:topLinePunct w:val="0"/>
              <w:bidi w:val="0"/>
              <w:spacing w:before="131"/>
              <w:jc w:val="center"/>
              <w:outlineLvl w:val="9"/>
              <w:rPr>
                <w:b/>
                <w:lang w:val="en-US"/>
              </w:rPr>
            </w:pPr>
            <w:r>
              <w:rPr>
                <w:rFonts w:hint="eastAsia"/>
                <w:b/>
                <w:lang w:val="en-US"/>
              </w:rPr>
              <w:t>（</w:t>
            </w:r>
            <w:r>
              <w:rPr>
                <w:b/>
                <w:lang w:val="en-US"/>
              </w:rPr>
              <w:t>4</w:t>
            </w:r>
            <w:r>
              <w:rPr>
                <w:rFonts w:hint="eastAsia"/>
                <w:b/>
                <w:lang w:val="en-US"/>
              </w:rPr>
              <w:t>分）</w:t>
            </w:r>
          </w:p>
        </w:tc>
        <w:tc>
          <w:tcPr>
            <w:tcW w:w="4735" w:type="dxa"/>
            <w:noWrap w:val="0"/>
            <w:vAlign w:val="center"/>
          </w:tcPr>
          <w:p>
            <w:pPr>
              <w:pStyle w:val="108"/>
              <w:pageBreakBefore w:val="0"/>
              <w:topLinePunct w:val="0"/>
              <w:bidi w:val="0"/>
              <w:spacing w:before="131"/>
              <w:jc w:val="left"/>
              <w:outlineLvl w:val="9"/>
              <w:rPr>
                <w:b/>
                <w:lang w:val="en-US"/>
              </w:rPr>
            </w:pPr>
            <w:r>
              <w:rPr>
                <w:rFonts w:hint="eastAsia"/>
                <w:b/>
                <w:lang w:val="en-US"/>
              </w:rPr>
              <w:t>1.该专业学生获得技能大赛情况统计，以教务处统计数据为准；</w:t>
            </w:r>
          </w:p>
          <w:p>
            <w:pPr>
              <w:pStyle w:val="108"/>
              <w:pageBreakBefore w:val="0"/>
              <w:topLinePunct w:val="0"/>
              <w:bidi w:val="0"/>
              <w:spacing w:before="131"/>
              <w:jc w:val="left"/>
              <w:outlineLvl w:val="9"/>
              <w:rPr>
                <w:b/>
                <w:lang w:val="en-US"/>
              </w:rPr>
            </w:pPr>
            <w:r>
              <w:rPr>
                <w:rFonts w:hint="eastAsia"/>
                <w:b/>
                <w:lang w:val="en-US"/>
              </w:rPr>
              <w:t>2.统计当年数据。</w:t>
            </w:r>
          </w:p>
          <w:p>
            <w:pPr>
              <w:pStyle w:val="108"/>
              <w:pageBreakBefore w:val="0"/>
              <w:topLinePunct w:val="0"/>
              <w:bidi w:val="0"/>
              <w:spacing w:before="131"/>
              <w:jc w:val="left"/>
              <w:outlineLvl w:val="9"/>
              <w:rPr>
                <w:b/>
                <w:lang w:val="en-US"/>
              </w:rPr>
            </w:pPr>
            <w:r>
              <w:rPr>
                <w:rFonts w:hint="eastAsia"/>
                <w:b/>
                <w:lang w:val="en-US"/>
              </w:rPr>
              <w:t>3.二级学院提供佐证，以教务处认定为准。</w:t>
            </w:r>
          </w:p>
        </w:tc>
        <w:tc>
          <w:tcPr>
            <w:tcW w:w="3614" w:type="dxa"/>
            <w:noWrap w:val="0"/>
            <w:vAlign w:val="center"/>
          </w:tcPr>
          <w:p>
            <w:pPr>
              <w:pStyle w:val="108"/>
              <w:pageBreakBefore w:val="0"/>
              <w:numPr>
                <w:ilvl w:val="0"/>
                <w:numId w:val="38"/>
              </w:numPr>
              <w:topLinePunct w:val="0"/>
              <w:bidi w:val="0"/>
              <w:spacing w:before="131"/>
              <w:ind w:right="27"/>
              <w:jc w:val="left"/>
              <w:outlineLvl w:val="9"/>
              <w:rPr>
                <w:b/>
                <w:lang w:val="en-US"/>
              </w:rPr>
            </w:pPr>
            <w:r>
              <w:rPr>
                <w:rFonts w:hint="eastAsia"/>
                <w:b/>
                <w:lang w:val="en-US"/>
              </w:rPr>
              <w:t>获得国家一类及以上奖项，比值为100%</w:t>
            </w:r>
          </w:p>
          <w:p>
            <w:pPr>
              <w:pStyle w:val="108"/>
              <w:pageBreakBefore w:val="0"/>
              <w:numPr>
                <w:ilvl w:val="0"/>
                <w:numId w:val="38"/>
              </w:numPr>
              <w:topLinePunct w:val="0"/>
              <w:bidi w:val="0"/>
              <w:spacing w:before="131"/>
              <w:ind w:right="27"/>
              <w:jc w:val="left"/>
              <w:outlineLvl w:val="9"/>
              <w:rPr>
                <w:b/>
                <w:lang w:val="en-US"/>
              </w:rPr>
            </w:pPr>
            <w:r>
              <w:rPr>
                <w:rFonts w:hint="eastAsia"/>
                <w:b/>
                <w:lang w:val="en-US"/>
              </w:rPr>
              <w:t>获得市级一类奖项，比值为80%</w:t>
            </w:r>
          </w:p>
        </w:tc>
      </w:tr>
    </w:tbl>
    <w:p>
      <w:pPr>
        <w:pageBreakBefore w:val="0"/>
        <w:topLinePunct w:val="0"/>
        <w:bidi w:val="0"/>
        <w:spacing w:line="240" w:lineRule="exact"/>
        <w:outlineLvl w:val="9"/>
        <w:rPr>
          <w:rFonts w:ascii="仿宋" w:hAnsi="仿宋" w:eastAsia="仿宋" w:cs="仿宋"/>
          <w:sz w:val="24"/>
          <w:lang w:bidi="zh-CN"/>
        </w:rPr>
      </w:pPr>
    </w:p>
    <w:tbl>
      <w:tblPr>
        <w:tblStyle w:val="37"/>
        <w:tblpPr w:leftFromText="180" w:rightFromText="180" w:vertAnchor="text" w:horzAnchor="page" w:tblpX="1357" w:tblpY="-88"/>
        <w:tblOverlap w:val="never"/>
        <w:tblW w:w="141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0"/>
        <w:gridCol w:w="1494"/>
        <w:gridCol w:w="2716"/>
        <w:gridCol w:w="4735"/>
        <w:gridCol w:w="36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1620" w:type="dxa"/>
            <w:vMerge w:val="restart"/>
            <w:noWrap w:val="0"/>
            <w:vAlign w:val="center"/>
          </w:tcPr>
          <w:p>
            <w:pPr>
              <w:pStyle w:val="108"/>
              <w:pageBreakBefore w:val="0"/>
              <w:topLinePunct w:val="0"/>
              <w:bidi w:val="0"/>
              <w:spacing w:before="131"/>
              <w:jc w:val="center"/>
              <w:outlineLvl w:val="9"/>
              <w:rPr>
                <w:b/>
                <w:lang w:val="en-US"/>
              </w:rPr>
            </w:pPr>
            <w:r>
              <w:rPr>
                <w:rFonts w:hint="eastAsia"/>
                <w:b/>
                <w:lang w:val="en-US"/>
              </w:rPr>
              <w:t>4.专业支撑</w:t>
            </w:r>
          </w:p>
          <w:p>
            <w:pPr>
              <w:pStyle w:val="108"/>
              <w:pageBreakBefore w:val="0"/>
              <w:topLinePunct w:val="0"/>
              <w:bidi w:val="0"/>
              <w:spacing w:before="131"/>
              <w:jc w:val="center"/>
              <w:outlineLvl w:val="9"/>
              <w:rPr>
                <w:b/>
                <w:lang w:val="en-US"/>
              </w:rPr>
            </w:pPr>
            <w:r>
              <w:rPr>
                <w:rFonts w:hint="eastAsia"/>
                <w:b/>
                <w:lang w:val="en-US"/>
              </w:rPr>
              <w:t>（</w:t>
            </w:r>
            <w:r>
              <w:rPr>
                <w:b/>
                <w:lang w:val="en-US"/>
              </w:rPr>
              <w:t>8</w:t>
            </w:r>
            <w:r>
              <w:rPr>
                <w:rFonts w:hint="eastAsia"/>
                <w:b/>
                <w:lang w:val="en-US"/>
              </w:rPr>
              <w:t>分）</w:t>
            </w:r>
          </w:p>
        </w:tc>
        <w:tc>
          <w:tcPr>
            <w:tcW w:w="1494" w:type="dxa"/>
            <w:noWrap w:val="0"/>
            <w:vAlign w:val="center"/>
          </w:tcPr>
          <w:p>
            <w:pPr>
              <w:pStyle w:val="108"/>
              <w:pageBreakBefore w:val="0"/>
              <w:topLinePunct w:val="0"/>
              <w:bidi w:val="0"/>
              <w:spacing w:before="131"/>
              <w:jc w:val="center"/>
              <w:outlineLvl w:val="9"/>
              <w:rPr>
                <w:b/>
                <w:lang w:val="en-US"/>
              </w:rPr>
            </w:pPr>
            <w:r>
              <w:rPr>
                <w:rFonts w:hint="eastAsia"/>
                <w:b/>
                <w:lang w:val="en-US"/>
              </w:rPr>
              <w:t>4</w:t>
            </w:r>
            <w:r>
              <w:rPr>
                <w:rFonts w:ascii="Times New Roman" w:eastAsia="Times New Roman"/>
                <w:b/>
              </w:rPr>
              <w:t>-</w:t>
            </w:r>
            <w:r>
              <w:rPr>
                <w:rFonts w:hint="eastAsia" w:ascii="Times New Roman" w:eastAsia="宋体"/>
                <w:b/>
                <w:lang w:val="en-US"/>
              </w:rPr>
              <w:t>1</w:t>
            </w:r>
            <w:r>
              <w:rPr>
                <w:rFonts w:hint="eastAsia"/>
                <w:b/>
                <w:lang w:val="en-US"/>
              </w:rPr>
              <w:t>重点专业</w:t>
            </w:r>
          </w:p>
          <w:p>
            <w:pPr>
              <w:pStyle w:val="108"/>
              <w:pageBreakBefore w:val="0"/>
              <w:topLinePunct w:val="0"/>
              <w:bidi w:val="0"/>
              <w:spacing w:before="131"/>
              <w:jc w:val="center"/>
              <w:outlineLvl w:val="9"/>
              <w:rPr>
                <w:b/>
                <w:lang w:val="en-US"/>
              </w:rPr>
            </w:pPr>
            <w:r>
              <w:rPr>
                <w:rFonts w:hint="eastAsia"/>
                <w:b/>
                <w:lang w:val="en-US"/>
              </w:rPr>
              <w:t>（</w:t>
            </w:r>
            <w:r>
              <w:rPr>
                <w:b/>
                <w:lang w:val="en-US"/>
              </w:rPr>
              <w:t>4</w:t>
            </w:r>
            <w:r>
              <w:rPr>
                <w:rFonts w:hint="eastAsia"/>
                <w:b/>
                <w:lang w:val="en-US"/>
              </w:rPr>
              <w:t>分）</w:t>
            </w:r>
          </w:p>
        </w:tc>
        <w:tc>
          <w:tcPr>
            <w:tcW w:w="2716" w:type="dxa"/>
            <w:noWrap w:val="0"/>
            <w:vAlign w:val="center"/>
          </w:tcPr>
          <w:p>
            <w:pPr>
              <w:pStyle w:val="108"/>
              <w:pageBreakBefore w:val="0"/>
              <w:topLinePunct w:val="0"/>
              <w:bidi w:val="0"/>
              <w:spacing w:before="131"/>
              <w:jc w:val="center"/>
              <w:outlineLvl w:val="9"/>
              <w:rPr>
                <w:b/>
                <w:lang w:val="en-US"/>
              </w:rPr>
            </w:pPr>
            <w:r>
              <w:rPr>
                <w:rFonts w:hint="eastAsia"/>
                <w:b/>
                <w:lang w:val="en-US"/>
              </w:rPr>
              <w:t>获得国家、市级重点专业</w:t>
            </w:r>
          </w:p>
          <w:p>
            <w:pPr>
              <w:pStyle w:val="108"/>
              <w:pageBreakBefore w:val="0"/>
              <w:topLinePunct w:val="0"/>
              <w:bidi w:val="0"/>
              <w:spacing w:before="131"/>
              <w:jc w:val="center"/>
              <w:outlineLvl w:val="9"/>
              <w:rPr>
                <w:b/>
                <w:lang w:val="en-US"/>
              </w:rPr>
            </w:pPr>
            <w:r>
              <w:rPr>
                <w:rFonts w:hint="eastAsia"/>
                <w:b/>
                <w:lang w:val="en-US"/>
              </w:rPr>
              <w:t>（</w:t>
            </w:r>
            <w:r>
              <w:rPr>
                <w:b/>
                <w:lang w:val="en-US"/>
              </w:rPr>
              <w:t>4</w:t>
            </w:r>
            <w:r>
              <w:rPr>
                <w:rFonts w:hint="eastAsia"/>
                <w:b/>
                <w:lang w:val="en-US"/>
              </w:rPr>
              <w:t>分）</w:t>
            </w:r>
          </w:p>
        </w:tc>
        <w:tc>
          <w:tcPr>
            <w:tcW w:w="4735" w:type="dxa"/>
            <w:noWrap w:val="0"/>
            <w:vAlign w:val="center"/>
          </w:tcPr>
          <w:p>
            <w:pPr>
              <w:pStyle w:val="108"/>
              <w:pageBreakBefore w:val="0"/>
              <w:numPr>
                <w:ilvl w:val="0"/>
                <w:numId w:val="39"/>
              </w:numPr>
              <w:topLinePunct w:val="0"/>
              <w:bidi w:val="0"/>
              <w:spacing w:before="131"/>
              <w:jc w:val="left"/>
              <w:outlineLvl w:val="9"/>
              <w:rPr>
                <w:b/>
                <w:lang w:val="en-US"/>
              </w:rPr>
            </w:pPr>
            <w:r>
              <w:rPr>
                <w:rFonts w:hint="eastAsia"/>
                <w:b/>
                <w:lang w:val="en-US"/>
              </w:rPr>
              <w:t>获得国家级和上海市级重点专业情况统计，以教务处统计数据为准；</w:t>
            </w:r>
          </w:p>
          <w:p>
            <w:pPr>
              <w:pStyle w:val="108"/>
              <w:pageBreakBefore w:val="0"/>
              <w:topLinePunct w:val="0"/>
              <w:bidi w:val="0"/>
              <w:spacing w:before="131"/>
              <w:outlineLvl w:val="9"/>
              <w:rPr>
                <w:b/>
                <w:lang w:val="en-US"/>
              </w:rPr>
            </w:pPr>
            <w:r>
              <w:rPr>
                <w:rFonts w:hint="eastAsia"/>
                <w:b/>
                <w:lang w:val="en-US"/>
              </w:rPr>
              <w:t>2.所有获得重点专业均有文件来源与出处，二级学院提供佐证，以教务处认定为准。</w:t>
            </w:r>
          </w:p>
        </w:tc>
        <w:tc>
          <w:tcPr>
            <w:tcW w:w="3614" w:type="dxa"/>
            <w:noWrap w:val="0"/>
            <w:vAlign w:val="center"/>
          </w:tcPr>
          <w:p>
            <w:pPr>
              <w:pStyle w:val="108"/>
              <w:pageBreakBefore w:val="0"/>
              <w:numPr>
                <w:ilvl w:val="0"/>
                <w:numId w:val="40"/>
              </w:numPr>
              <w:topLinePunct w:val="0"/>
              <w:bidi w:val="0"/>
              <w:spacing w:before="131"/>
              <w:ind w:right="27"/>
              <w:jc w:val="left"/>
              <w:outlineLvl w:val="9"/>
              <w:rPr>
                <w:b/>
                <w:lang w:val="en-US"/>
              </w:rPr>
            </w:pPr>
            <w:r>
              <w:rPr>
                <w:rFonts w:hint="eastAsia"/>
                <w:b/>
                <w:lang w:val="en-US"/>
              </w:rPr>
              <w:t>获得国家级重点专业，比值为100%</w:t>
            </w:r>
          </w:p>
          <w:p>
            <w:pPr>
              <w:pStyle w:val="108"/>
              <w:pageBreakBefore w:val="0"/>
              <w:numPr>
                <w:ilvl w:val="0"/>
                <w:numId w:val="40"/>
              </w:numPr>
              <w:topLinePunct w:val="0"/>
              <w:bidi w:val="0"/>
              <w:spacing w:before="131"/>
              <w:ind w:right="27"/>
              <w:jc w:val="left"/>
              <w:outlineLvl w:val="9"/>
              <w:rPr>
                <w:b/>
                <w:lang w:val="en-US"/>
              </w:rPr>
            </w:pPr>
            <w:r>
              <w:rPr>
                <w:rFonts w:hint="eastAsia"/>
                <w:b/>
                <w:lang w:val="en-US"/>
              </w:rPr>
              <w:t>获得上海市级重点专业，比值为80%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620" w:type="dxa"/>
            <w:vMerge w:val="continue"/>
            <w:noWrap w:val="0"/>
            <w:vAlign w:val="center"/>
          </w:tcPr>
          <w:p>
            <w:pPr>
              <w:pStyle w:val="108"/>
              <w:pageBreakBefore w:val="0"/>
              <w:topLinePunct w:val="0"/>
              <w:bidi w:val="0"/>
              <w:spacing w:before="131"/>
              <w:ind w:left="223"/>
              <w:jc w:val="center"/>
              <w:outlineLvl w:val="9"/>
              <w:rPr>
                <w:b/>
                <w:lang w:val="en-US"/>
              </w:rPr>
            </w:pPr>
          </w:p>
        </w:tc>
        <w:tc>
          <w:tcPr>
            <w:tcW w:w="1494" w:type="dxa"/>
            <w:noWrap w:val="0"/>
            <w:vAlign w:val="center"/>
          </w:tcPr>
          <w:p>
            <w:pPr>
              <w:pStyle w:val="108"/>
              <w:pageBreakBefore w:val="0"/>
              <w:topLinePunct w:val="0"/>
              <w:bidi w:val="0"/>
              <w:spacing w:before="131"/>
              <w:jc w:val="center"/>
              <w:outlineLvl w:val="9"/>
              <w:rPr>
                <w:b/>
                <w:lang w:val="en-US"/>
              </w:rPr>
            </w:pPr>
            <w:r>
              <w:rPr>
                <w:rFonts w:hint="eastAsia"/>
                <w:b/>
                <w:lang w:val="en-US"/>
              </w:rPr>
              <w:t>4</w:t>
            </w:r>
            <w:r>
              <w:rPr>
                <w:rFonts w:ascii="Times New Roman" w:eastAsia="Times New Roman"/>
                <w:b/>
              </w:rPr>
              <w:t>-</w:t>
            </w:r>
            <w:r>
              <w:rPr>
                <w:rFonts w:hint="eastAsia" w:ascii="Times New Roman" w:eastAsia="宋体"/>
                <w:b/>
                <w:lang w:val="en-US"/>
              </w:rPr>
              <w:t>2</w:t>
            </w:r>
            <w:r>
              <w:rPr>
                <w:rFonts w:hint="eastAsia"/>
                <w:b/>
                <w:lang w:val="en-US"/>
              </w:rPr>
              <w:t>重点专项、教改项目</w:t>
            </w:r>
          </w:p>
          <w:p>
            <w:pPr>
              <w:pStyle w:val="108"/>
              <w:pageBreakBefore w:val="0"/>
              <w:topLinePunct w:val="0"/>
              <w:bidi w:val="0"/>
              <w:spacing w:before="131"/>
              <w:jc w:val="center"/>
              <w:outlineLvl w:val="9"/>
              <w:rPr>
                <w:b/>
                <w:lang w:val="en-US"/>
              </w:rPr>
            </w:pPr>
            <w:r>
              <w:rPr>
                <w:rFonts w:hint="eastAsia"/>
                <w:b/>
                <w:lang w:val="en-US"/>
              </w:rPr>
              <w:t>（4分）</w:t>
            </w:r>
          </w:p>
        </w:tc>
        <w:tc>
          <w:tcPr>
            <w:tcW w:w="2716" w:type="dxa"/>
            <w:noWrap w:val="0"/>
            <w:vAlign w:val="center"/>
          </w:tcPr>
          <w:p>
            <w:pPr>
              <w:pStyle w:val="108"/>
              <w:pageBreakBefore w:val="0"/>
              <w:topLinePunct w:val="0"/>
              <w:bidi w:val="0"/>
              <w:spacing w:before="131"/>
              <w:jc w:val="center"/>
              <w:outlineLvl w:val="9"/>
              <w:rPr>
                <w:b/>
                <w:lang w:val="en-US"/>
              </w:rPr>
            </w:pPr>
            <w:r>
              <w:rPr>
                <w:rFonts w:hint="eastAsia"/>
                <w:b/>
                <w:lang w:val="en-US"/>
              </w:rPr>
              <w:t>承担国家、市级以上重大专项、教改项目</w:t>
            </w:r>
          </w:p>
          <w:p>
            <w:pPr>
              <w:pStyle w:val="108"/>
              <w:pageBreakBefore w:val="0"/>
              <w:topLinePunct w:val="0"/>
              <w:bidi w:val="0"/>
              <w:spacing w:before="131"/>
              <w:jc w:val="center"/>
              <w:outlineLvl w:val="9"/>
              <w:rPr>
                <w:b/>
                <w:lang w:val="en-US"/>
              </w:rPr>
            </w:pPr>
            <w:r>
              <w:rPr>
                <w:rFonts w:hint="eastAsia"/>
                <w:b/>
                <w:lang w:val="en-US"/>
              </w:rPr>
              <w:t>（4分）</w:t>
            </w:r>
          </w:p>
        </w:tc>
        <w:tc>
          <w:tcPr>
            <w:tcW w:w="4735" w:type="dxa"/>
            <w:noWrap w:val="0"/>
            <w:vAlign w:val="center"/>
          </w:tcPr>
          <w:p>
            <w:pPr>
              <w:pStyle w:val="108"/>
              <w:pageBreakBefore w:val="0"/>
              <w:numPr>
                <w:ilvl w:val="0"/>
                <w:numId w:val="41"/>
              </w:numPr>
              <w:topLinePunct w:val="0"/>
              <w:bidi w:val="0"/>
              <w:spacing w:before="131"/>
              <w:outlineLvl w:val="9"/>
              <w:rPr>
                <w:b/>
                <w:lang w:val="en-US"/>
              </w:rPr>
            </w:pPr>
            <w:r>
              <w:rPr>
                <w:rFonts w:hint="eastAsia"/>
                <w:b/>
                <w:lang w:val="en-US"/>
              </w:rPr>
              <w:t>承担国家、市级以上重大专项、教改项目；</w:t>
            </w:r>
          </w:p>
          <w:p>
            <w:pPr>
              <w:pStyle w:val="108"/>
              <w:pageBreakBefore w:val="0"/>
              <w:numPr>
                <w:ilvl w:val="0"/>
                <w:numId w:val="41"/>
              </w:numPr>
              <w:topLinePunct w:val="0"/>
              <w:bidi w:val="0"/>
              <w:spacing w:before="131"/>
              <w:outlineLvl w:val="9"/>
              <w:rPr>
                <w:b/>
                <w:lang w:val="en-US"/>
              </w:rPr>
            </w:pPr>
            <w:r>
              <w:rPr>
                <w:rFonts w:hint="eastAsia"/>
                <w:b/>
                <w:lang w:val="en-US"/>
              </w:rPr>
              <w:t>所有获得重大专项均有文件来源与出处，二级学院提供佐证，以教务处认定为准。</w:t>
            </w:r>
          </w:p>
        </w:tc>
        <w:tc>
          <w:tcPr>
            <w:tcW w:w="3614" w:type="dxa"/>
            <w:noWrap w:val="0"/>
            <w:vAlign w:val="center"/>
          </w:tcPr>
          <w:p>
            <w:pPr>
              <w:pStyle w:val="108"/>
              <w:pageBreakBefore w:val="0"/>
              <w:numPr>
                <w:ilvl w:val="0"/>
                <w:numId w:val="42"/>
              </w:numPr>
              <w:topLinePunct w:val="0"/>
              <w:bidi w:val="0"/>
              <w:spacing w:before="131"/>
              <w:ind w:right="27"/>
              <w:jc w:val="left"/>
              <w:outlineLvl w:val="9"/>
              <w:rPr>
                <w:b/>
                <w:lang w:val="en-US"/>
              </w:rPr>
            </w:pPr>
            <w:r>
              <w:rPr>
                <w:rFonts w:hint="eastAsia"/>
                <w:b/>
                <w:lang w:val="en-US"/>
              </w:rPr>
              <w:t>获得国家级重点专项及教改项目，比值为100%</w:t>
            </w:r>
          </w:p>
          <w:p>
            <w:pPr>
              <w:pStyle w:val="108"/>
              <w:pageBreakBefore w:val="0"/>
              <w:numPr>
                <w:ilvl w:val="0"/>
                <w:numId w:val="42"/>
              </w:numPr>
              <w:topLinePunct w:val="0"/>
              <w:bidi w:val="0"/>
              <w:spacing w:before="131"/>
              <w:ind w:right="27"/>
              <w:jc w:val="left"/>
              <w:outlineLvl w:val="9"/>
              <w:rPr>
                <w:b/>
                <w:lang w:val="en-US"/>
              </w:rPr>
            </w:pPr>
            <w:r>
              <w:rPr>
                <w:rFonts w:hint="eastAsia"/>
                <w:b/>
                <w:lang w:val="en-US"/>
              </w:rPr>
              <w:t>获得上海市级重点专项及教改项目，比值为80%</w:t>
            </w:r>
          </w:p>
        </w:tc>
      </w:tr>
    </w:tbl>
    <w:p>
      <w:pPr>
        <w:pageBreakBefore w:val="0"/>
        <w:topLinePunct w:val="0"/>
        <w:bidi w:val="0"/>
        <w:spacing w:line="240" w:lineRule="exact"/>
        <w:outlineLvl w:val="9"/>
        <w:rPr>
          <w:rFonts w:ascii="仿宋" w:hAnsi="仿宋" w:eastAsia="仿宋" w:cs="仿宋"/>
          <w:sz w:val="24"/>
          <w:lang w:bidi="zh-CN"/>
        </w:rPr>
      </w:pPr>
    </w:p>
    <w:p>
      <w:pPr>
        <w:pageBreakBefore w:val="0"/>
        <w:topLinePunct w:val="0"/>
        <w:bidi w:val="0"/>
        <w:spacing w:line="240" w:lineRule="exact"/>
        <w:outlineLvl w:val="9"/>
        <w:rPr>
          <w:rFonts w:ascii="仿宋" w:hAnsi="仿宋" w:eastAsia="仿宋" w:cs="仿宋"/>
          <w:sz w:val="24"/>
          <w:lang w:bidi="zh-CN"/>
        </w:rPr>
      </w:pPr>
    </w:p>
    <w:p>
      <w:pPr>
        <w:pageBreakBefore w:val="0"/>
        <w:topLinePunct w:val="0"/>
        <w:bidi w:val="0"/>
        <w:spacing w:line="240" w:lineRule="exact"/>
        <w:outlineLvl w:val="9"/>
        <w:rPr>
          <w:rFonts w:ascii="仿宋" w:hAnsi="仿宋" w:eastAsia="仿宋" w:cs="仿宋"/>
          <w:sz w:val="24"/>
          <w:lang w:bidi="zh-CN"/>
        </w:rPr>
      </w:pPr>
    </w:p>
    <w:p>
      <w:pPr>
        <w:pageBreakBefore w:val="0"/>
        <w:topLinePunct w:val="0"/>
        <w:bidi w:val="0"/>
        <w:spacing w:line="240" w:lineRule="exact"/>
        <w:outlineLvl w:val="9"/>
        <w:rPr>
          <w:rFonts w:ascii="仿宋" w:hAnsi="仿宋" w:eastAsia="仿宋" w:cs="仿宋"/>
          <w:sz w:val="24"/>
          <w:lang w:bidi="zh-CN"/>
        </w:rPr>
      </w:pPr>
    </w:p>
    <w:p>
      <w:pPr>
        <w:pageBreakBefore w:val="0"/>
        <w:topLinePunct w:val="0"/>
        <w:bidi w:val="0"/>
        <w:spacing w:line="240" w:lineRule="exact"/>
        <w:outlineLvl w:val="9"/>
        <w:rPr>
          <w:rFonts w:ascii="仿宋" w:hAnsi="仿宋" w:eastAsia="仿宋" w:cs="仿宋"/>
          <w:sz w:val="24"/>
          <w:lang w:bidi="zh-CN"/>
        </w:rPr>
      </w:pPr>
    </w:p>
    <w:p>
      <w:pPr>
        <w:pageBreakBefore w:val="0"/>
        <w:topLinePunct w:val="0"/>
        <w:bidi w:val="0"/>
        <w:spacing w:line="240" w:lineRule="exact"/>
        <w:outlineLvl w:val="9"/>
        <w:rPr>
          <w:rFonts w:ascii="仿宋" w:hAnsi="仿宋" w:eastAsia="仿宋" w:cs="仿宋"/>
          <w:sz w:val="24"/>
          <w:lang w:bidi="zh-CN"/>
        </w:rPr>
      </w:pPr>
    </w:p>
    <w:p>
      <w:pPr>
        <w:pageBreakBefore w:val="0"/>
        <w:topLinePunct w:val="0"/>
        <w:bidi w:val="0"/>
        <w:spacing w:line="240" w:lineRule="exact"/>
        <w:outlineLvl w:val="9"/>
        <w:rPr>
          <w:rFonts w:ascii="仿宋" w:hAnsi="仿宋" w:eastAsia="仿宋" w:cs="仿宋"/>
          <w:sz w:val="24"/>
          <w:lang w:bidi="zh-CN"/>
        </w:rPr>
      </w:pPr>
    </w:p>
    <w:p>
      <w:pPr>
        <w:pageBreakBefore w:val="0"/>
        <w:topLinePunct w:val="0"/>
        <w:bidi w:val="0"/>
        <w:spacing w:line="240" w:lineRule="exact"/>
        <w:outlineLvl w:val="9"/>
        <w:rPr>
          <w:rFonts w:ascii="仿宋" w:hAnsi="仿宋" w:eastAsia="仿宋" w:cs="仿宋"/>
          <w:sz w:val="24"/>
          <w:lang w:bidi="zh-CN"/>
        </w:rPr>
      </w:pPr>
    </w:p>
    <w:p>
      <w:pPr>
        <w:pageBreakBefore w:val="0"/>
        <w:topLinePunct w:val="0"/>
        <w:bidi w:val="0"/>
        <w:spacing w:line="240" w:lineRule="exact"/>
        <w:outlineLvl w:val="9"/>
        <w:rPr>
          <w:rFonts w:ascii="仿宋" w:hAnsi="仿宋" w:eastAsia="仿宋" w:cs="仿宋"/>
          <w:sz w:val="24"/>
          <w:lang w:bidi="zh-CN"/>
        </w:rPr>
      </w:pPr>
    </w:p>
    <w:p>
      <w:pPr>
        <w:pageBreakBefore w:val="0"/>
        <w:topLinePunct w:val="0"/>
        <w:bidi w:val="0"/>
        <w:spacing w:line="240" w:lineRule="exact"/>
        <w:outlineLvl w:val="9"/>
        <w:rPr>
          <w:rFonts w:ascii="仿宋" w:hAnsi="仿宋" w:eastAsia="仿宋" w:cs="仿宋"/>
          <w:sz w:val="24"/>
          <w:lang w:bidi="zh-CN"/>
        </w:rPr>
      </w:pPr>
    </w:p>
    <w:p>
      <w:pPr>
        <w:pageBreakBefore w:val="0"/>
        <w:topLinePunct w:val="0"/>
        <w:bidi w:val="0"/>
        <w:spacing w:line="240" w:lineRule="exact"/>
        <w:outlineLvl w:val="9"/>
        <w:rPr>
          <w:rFonts w:ascii="仿宋" w:hAnsi="仿宋" w:eastAsia="仿宋" w:cs="仿宋"/>
          <w:sz w:val="24"/>
          <w:lang w:bidi="zh-CN"/>
        </w:rPr>
      </w:pPr>
    </w:p>
    <w:tbl>
      <w:tblPr>
        <w:tblStyle w:val="37"/>
        <w:tblpPr w:leftFromText="180" w:rightFromText="180" w:vertAnchor="text" w:horzAnchor="page" w:tblpX="1357" w:tblpY="-88"/>
        <w:tblOverlap w:val="never"/>
        <w:tblW w:w="141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0"/>
        <w:gridCol w:w="1494"/>
        <w:gridCol w:w="2716"/>
        <w:gridCol w:w="4735"/>
        <w:gridCol w:w="36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1620" w:type="dxa"/>
            <w:vMerge w:val="restart"/>
            <w:noWrap w:val="0"/>
            <w:vAlign w:val="center"/>
          </w:tcPr>
          <w:p>
            <w:pPr>
              <w:pStyle w:val="108"/>
              <w:pageBreakBefore w:val="0"/>
              <w:numPr>
                <w:ilvl w:val="0"/>
                <w:numId w:val="37"/>
              </w:numPr>
              <w:topLinePunct w:val="0"/>
              <w:bidi w:val="0"/>
              <w:spacing w:before="131"/>
              <w:jc w:val="center"/>
              <w:outlineLvl w:val="9"/>
              <w:rPr>
                <w:b/>
                <w:lang w:val="en-US"/>
              </w:rPr>
            </w:pPr>
            <w:r>
              <w:rPr>
                <w:rFonts w:hint="eastAsia"/>
                <w:b/>
                <w:lang w:val="en-US"/>
              </w:rPr>
              <w:t>质量工程</w:t>
            </w:r>
          </w:p>
          <w:p>
            <w:pPr>
              <w:pStyle w:val="108"/>
              <w:pageBreakBefore w:val="0"/>
              <w:topLinePunct w:val="0"/>
              <w:bidi w:val="0"/>
              <w:spacing w:before="131"/>
              <w:jc w:val="center"/>
              <w:outlineLvl w:val="9"/>
              <w:rPr>
                <w:b/>
                <w:lang w:val="en-US"/>
              </w:rPr>
            </w:pPr>
            <w:r>
              <w:rPr>
                <w:rFonts w:hint="eastAsia"/>
                <w:b/>
                <w:lang w:val="en-US"/>
              </w:rPr>
              <w:t>（</w:t>
            </w:r>
            <w:r>
              <w:rPr>
                <w:b/>
                <w:lang w:val="en-US"/>
              </w:rPr>
              <w:t>3</w:t>
            </w:r>
            <w:r>
              <w:rPr>
                <w:rFonts w:hint="eastAsia"/>
                <w:b/>
                <w:lang w:val="en-US"/>
              </w:rPr>
              <w:t>6分）</w:t>
            </w:r>
          </w:p>
          <w:p>
            <w:pPr>
              <w:pStyle w:val="108"/>
              <w:pageBreakBefore w:val="0"/>
              <w:topLinePunct w:val="0"/>
              <w:bidi w:val="0"/>
              <w:spacing w:before="131"/>
              <w:jc w:val="center"/>
              <w:outlineLvl w:val="9"/>
              <w:rPr>
                <w:b/>
                <w:lang w:val="en-US"/>
              </w:rPr>
            </w:pPr>
          </w:p>
        </w:tc>
        <w:tc>
          <w:tcPr>
            <w:tcW w:w="1494" w:type="dxa"/>
            <w:vMerge w:val="restart"/>
            <w:noWrap w:val="0"/>
            <w:vAlign w:val="center"/>
          </w:tcPr>
          <w:p>
            <w:pPr>
              <w:pStyle w:val="108"/>
              <w:pageBreakBefore w:val="0"/>
              <w:topLinePunct w:val="0"/>
              <w:bidi w:val="0"/>
              <w:spacing w:before="131"/>
              <w:jc w:val="center"/>
              <w:outlineLvl w:val="9"/>
              <w:rPr>
                <w:b/>
                <w:lang w:val="en-US"/>
              </w:rPr>
            </w:pPr>
            <w:r>
              <w:rPr>
                <w:rFonts w:hint="eastAsia"/>
                <w:b/>
                <w:lang w:val="en-US"/>
              </w:rPr>
              <w:t>5</w:t>
            </w:r>
            <w:r>
              <w:rPr>
                <w:rFonts w:ascii="Times New Roman" w:eastAsia="Times New Roman"/>
                <w:b/>
              </w:rPr>
              <w:t>-</w:t>
            </w:r>
            <w:r>
              <w:rPr>
                <w:rFonts w:hint="eastAsia" w:ascii="Times New Roman" w:eastAsia="宋体"/>
                <w:b/>
                <w:lang w:val="en-US"/>
              </w:rPr>
              <w:t>1</w:t>
            </w:r>
            <w:r>
              <w:rPr>
                <w:rFonts w:hint="eastAsia"/>
                <w:b/>
                <w:lang w:val="en-US"/>
              </w:rPr>
              <w:t>课程</w:t>
            </w:r>
          </w:p>
          <w:p>
            <w:pPr>
              <w:pStyle w:val="108"/>
              <w:pageBreakBefore w:val="0"/>
              <w:topLinePunct w:val="0"/>
              <w:bidi w:val="0"/>
              <w:spacing w:before="131"/>
              <w:jc w:val="center"/>
              <w:outlineLvl w:val="9"/>
              <w:rPr>
                <w:b/>
                <w:lang w:val="en-US"/>
              </w:rPr>
            </w:pPr>
            <w:r>
              <w:rPr>
                <w:rFonts w:hint="eastAsia"/>
                <w:b/>
                <w:lang w:val="en-US"/>
              </w:rPr>
              <w:t>（</w:t>
            </w:r>
            <w:r>
              <w:rPr>
                <w:b/>
                <w:lang w:val="en-US"/>
              </w:rPr>
              <w:t>11</w:t>
            </w:r>
            <w:r>
              <w:rPr>
                <w:rFonts w:hint="eastAsia"/>
                <w:b/>
                <w:lang w:val="en-US"/>
              </w:rPr>
              <w:t>分）</w:t>
            </w:r>
          </w:p>
        </w:tc>
        <w:tc>
          <w:tcPr>
            <w:tcW w:w="2716" w:type="dxa"/>
            <w:noWrap w:val="0"/>
            <w:vAlign w:val="center"/>
          </w:tcPr>
          <w:p>
            <w:pPr>
              <w:pStyle w:val="108"/>
              <w:pageBreakBefore w:val="0"/>
              <w:topLinePunct w:val="0"/>
              <w:bidi w:val="0"/>
              <w:spacing w:before="131"/>
              <w:jc w:val="center"/>
              <w:outlineLvl w:val="9"/>
              <w:rPr>
                <w:b/>
                <w:lang w:val="en-US"/>
              </w:rPr>
            </w:pPr>
            <w:r>
              <w:rPr>
                <w:rFonts w:hint="eastAsia"/>
                <w:b/>
                <w:lang w:val="en-US"/>
              </w:rPr>
              <w:t>历年精品在线开放课程</w:t>
            </w:r>
          </w:p>
          <w:p>
            <w:pPr>
              <w:pStyle w:val="108"/>
              <w:pageBreakBefore w:val="0"/>
              <w:topLinePunct w:val="0"/>
              <w:bidi w:val="0"/>
              <w:spacing w:before="131"/>
              <w:jc w:val="center"/>
              <w:outlineLvl w:val="9"/>
              <w:rPr>
                <w:b/>
                <w:lang w:val="en-US"/>
              </w:rPr>
            </w:pPr>
            <w:r>
              <w:rPr>
                <w:rFonts w:hint="eastAsia"/>
                <w:b/>
                <w:lang w:val="en-US"/>
              </w:rPr>
              <w:t>精品课程</w:t>
            </w:r>
          </w:p>
          <w:p>
            <w:pPr>
              <w:pStyle w:val="108"/>
              <w:pageBreakBefore w:val="0"/>
              <w:topLinePunct w:val="0"/>
              <w:bidi w:val="0"/>
              <w:spacing w:before="131"/>
              <w:jc w:val="center"/>
              <w:outlineLvl w:val="9"/>
              <w:rPr>
                <w:b/>
                <w:lang w:val="en-US"/>
              </w:rPr>
            </w:pPr>
            <w:r>
              <w:rPr>
                <w:rFonts w:hint="eastAsia"/>
                <w:b/>
                <w:lang w:val="en-US"/>
              </w:rPr>
              <w:t>（2分）</w:t>
            </w:r>
          </w:p>
        </w:tc>
        <w:tc>
          <w:tcPr>
            <w:tcW w:w="4735" w:type="dxa"/>
            <w:noWrap w:val="0"/>
            <w:vAlign w:val="center"/>
          </w:tcPr>
          <w:p>
            <w:pPr>
              <w:pStyle w:val="108"/>
              <w:pageBreakBefore w:val="0"/>
              <w:numPr>
                <w:ilvl w:val="0"/>
                <w:numId w:val="43"/>
              </w:numPr>
              <w:topLinePunct w:val="0"/>
              <w:bidi w:val="0"/>
              <w:spacing w:before="131"/>
              <w:jc w:val="left"/>
              <w:outlineLvl w:val="9"/>
              <w:rPr>
                <w:b/>
                <w:lang w:val="en-US"/>
              </w:rPr>
            </w:pPr>
            <w:r>
              <w:rPr>
                <w:rFonts w:hint="eastAsia"/>
                <w:b/>
                <w:lang w:val="en-US"/>
              </w:rPr>
              <w:t>历年该专业教师获得精品在线开放课程、精品课程数；</w:t>
            </w:r>
          </w:p>
          <w:p>
            <w:pPr>
              <w:pStyle w:val="108"/>
              <w:pageBreakBefore w:val="0"/>
              <w:numPr>
                <w:ilvl w:val="0"/>
                <w:numId w:val="43"/>
              </w:numPr>
              <w:topLinePunct w:val="0"/>
              <w:bidi w:val="0"/>
              <w:spacing w:before="131"/>
              <w:outlineLvl w:val="9"/>
              <w:rPr>
                <w:b/>
                <w:lang w:val="en-US"/>
              </w:rPr>
            </w:pPr>
            <w:r>
              <w:rPr>
                <w:rFonts w:hint="eastAsia"/>
                <w:b/>
                <w:lang w:val="en-US"/>
              </w:rPr>
              <w:t>二级学院提供佐证，以教务处认定为准。</w:t>
            </w:r>
          </w:p>
        </w:tc>
        <w:tc>
          <w:tcPr>
            <w:tcW w:w="3614" w:type="dxa"/>
            <w:noWrap w:val="0"/>
            <w:vAlign w:val="center"/>
          </w:tcPr>
          <w:p>
            <w:pPr>
              <w:pStyle w:val="108"/>
              <w:pageBreakBefore w:val="0"/>
              <w:tabs>
                <w:tab w:val="left" w:pos="312"/>
              </w:tabs>
              <w:topLinePunct w:val="0"/>
              <w:bidi w:val="0"/>
              <w:jc w:val="left"/>
              <w:outlineLvl w:val="9"/>
              <w:rPr>
                <w:b/>
                <w:lang w:val="en-US"/>
              </w:rPr>
            </w:pPr>
            <w:r>
              <w:rPr>
                <w:b/>
                <w:lang w:val="en-US"/>
              </w:rPr>
              <w:t>1</w:t>
            </w:r>
            <w:r>
              <w:rPr>
                <w:rFonts w:hint="eastAsia"/>
                <w:b/>
                <w:lang w:val="en-US"/>
              </w:rPr>
              <w:t>.≥3，比值为100%</w:t>
            </w:r>
          </w:p>
          <w:p>
            <w:pPr>
              <w:pStyle w:val="108"/>
              <w:pageBreakBefore w:val="0"/>
              <w:tabs>
                <w:tab w:val="left" w:pos="312"/>
              </w:tabs>
              <w:topLinePunct w:val="0"/>
              <w:bidi w:val="0"/>
              <w:jc w:val="left"/>
              <w:outlineLvl w:val="9"/>
              <w:rPr>
                <w:b/>
                <w:lang w:val="en-US"/>
              </w:rPr>
            </w:pPr>
            <w:r>
              <w:rPr>
                <w:b/>
                <w:lang w:val="en-US"/>
              </w:rPr>
              <w:t>2</w:t>
            </w:r>
            <w:r>
              <w:rPr>
                <w:rFonts w:hint="eastAsia"/>
                <w:b/>
                <w:lang w:val="en-US"/>
              </w:rPr>
              <w:t>.≥</w:t>
            </w:r>
            <w:r>
              <w:rPr>
                <w:b/>
                <w:lang w:val="en-US"/>
              </w:rPr>
              <w:t>2</w:t>
            </w:r>
            <w:r>
              <w:rPr>
                <w:rFonts w:hint="eastAsia"/>
                <w:b/>
                <w:lang w:val="en-US"/>
              </w:rPr>
              <w:t>，比值为80%</w:t>
            </w:r>
          </w:p>
          <w:p>
            <w:pPr>
              <w:pStyle w:val="108"/>
              <w:pageBreakBefore w:val="0"/>
              <w:tabs>
                <w:tab w:val="left" w:pos="312"/>
              </w:tabs>
              <w:topLinePunct w:val="0"/>
              <w:bidi w:val="0"/>
              <w:jc w:val="left"/>
              <w:outlineLvl w:val="9"/>
              <w:rPr>
                <w:b/>
                <w:lang w:val="en-US"/>
              </w:rPr>
            </w:pPr>
            <w:r>
              <w:rPr>
                <w:b/>
                <w:lang w:val="en-US"/>
              </w:rPr>
              <w:t>3</w:t>
            </w:r>
            <w:r>
              <w:rPr>
                <w:rFonts w:hint="eastAsia"/>
                <w:b/>
                <w:lang w:val="en-US"/>
              </w:rPr>
              <w:t>.≥1，比值为60%</w:t>
            </w:r>
          </w:p>
          <w:p>
            <w:pPr>
              <w:pStyle w:val="108"/>
              <w:pageBreakBefore w:val="0"/>
              <w:topLinePunct w:val="0"/>
              <w:bidi w:val="0"/>
              <w:jc w:val="left"/>
              <w:outlineLvl w:val="9"/>
              <w:rPr>
                <w:b/>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1620" w:type="dxa"/>
            <w:vMerge w:val="continue"/>
            <w:noWrap w:val="0"/>
            <w:vAlign w:val="center"/>
          </w:tcPr>
          <w:p>
            <w:pPr>
              <w:pStyle w:val="108"/>
              <w:pageBreakBefore w:val="0"/>
              <w:numPr>
                <w:ilvl w:val="0"/>
                <w:numId w:val="37"/>
              </w:numPr>
              <w:topLinePunct w:val="0"/>
              <w:bidi w:val="0"/>
              <w:spacing w:before="131"/>
              <w:jc w:val="center"/>
              <w:outlineLvl w:val="9"/>
              <w:rPr>
                <w:b/>
                <w:lang w:val="en-US"/>
              </w:rPr>
            </w:pPr>
          </w:p>
        </w:tc>
        <w:tc>
          <w:tcPr>
            <w:tcW w:w="1494" w:type="dxa"/>
            <w:vMerge w:val="continue"/>
            <w:noWrap w:val="0"/>
            <w:vAlign w:val="center"/>
          </w:tcPr>
          <w:p>
            <w:pPr>
              <w:pStyle w:val="108"/>
              <w:pageBreakBefore w:val="0"/>
              <w:topLinePunct w:val="0"/>
              <w:bidi w:val="0"/>
              <w:spacing w:before="131"/>
              <w:jc w:val="center"/>
              <w:outlineLvl w:val="9"/>
              <w:rPr>
                <w:b/>
                <w:lang w:val="en-US"/>
              </w:rPr>
            </w:pPr>
          </w:p>
        </w:tc>
        <w:tc>
          <w:tcPr>
            <w:tcW w:w="2716" w:type="dxa"/>
            <w:noWrap w:val="0"/>
            <w:vAlign w:val="center"/>
          </w:tcPr>
          <w:p>
            <w:pPr>
              <w:pStyle w:val="108"/>
              <w:pageBreakBefore w:val="0"/>
              <w:topLinePunct w:val="0"/>
              <w:bidi w:val="0"/>
              <w:spacing w:before="131"/>
              <w:jc w:val="center"/>
              <w:outlineLvl w:val="9"/>
              <w:rPr>
                <w:b/>
                <w:lang w:val="en-US"/>
              </w:rPr>
            </w:pPr>
            <w:r>
              <w:rPr>
                <w:rFonts w:hint="eastAsia"/>
                <w:b/>
                <w:lang w:val="en-US"/>
              </w:rPr>
              <w:t>当年度新增精品在线开放课程、教学资源库</w:t>
            </w:r>
          </w:p>
          <w:p>
            <w:pPr>
              <w:pStyle w:val="108"/>
              <w:pageBreakBefore w:val="0"/>
              <w:topLinePunct w:val="0"/>
              <w:bidi w:val="0"/>
              <w:spacing w:before="131"/>
              <w:jc w:val="center"/>
              <w:outlineLvl w:val="9"/>
              <w:rPr>
                <w:b/>
                <w:lang w:val="en-US"/>
              </w:rPr>
            </w:pPr>
            <w:r>
              <w:rPr>
                <w:rFonts w:hint="eastAsia"/>
                <w:b/>
                <w:lang w:val="en-US"/>
              </w:rPr>
              <w:t>（6分）</w:t>
            </w:r>
          </w:p>
        </w:tc>
        <w:tc>
          <w:tcPr>
            <w:tcW w:w="4735" w:type="dxa"/>
            <w:noWrap w:val="0"/>
            <w:vAlign w:val="center"/>
          </w:tcPr>
          <w:p>
            <w:pPr>
              <w:pStyle w:val="108"/>
              <w:pageBreakBefore w:val="0"/>
              <w:tabs>
                <w:tab w:val="left" w:pos="312"/>
              </w:tabs>
              <w:topLinePunct w:val="0"/>
              <w:bidi w:val="0"/>
              <w:spacing w:before="131"/>
              <w:jc w:val="left"/>
              <w:outlineLvl w:val="9"/>
              <w:rPr>
                <w:b/>
                <w:lang w:val="en-US"/>
              </w:rPr>
            </w:pPr>
            <w:r>
              <w:rPr>
                <w:rFonts w:hint="eastAsia"/>
                <w:b/>
                <w:lang w:val="en-US"/>
              </w:rPr>
              <w:t>1.当年该专业教师精品在线开放课程、教学资源库立项并通过验收；</w:t>
            </w:r>
          </w:p>
          <w:p>
            <w:pPr>
              <w:pStyle w:val="108"/>
              <w:pageBreakBefore w:val="0"/>
              <w:tabs>
                <w:tab w:val="left" w:pos="312"/>
              </w:tabs>
              <w:topLinePunct w:val="0"/>
              <w:bidi w:val="0"/>
              <w:spacing w:before="131"/>
              <w:jc w:val="left"/>
              <w:outlineLvl w:val="9"/>
              <w:rPr>
                <w:b/>
                <w:lang w:val="en-US"/>
              </w:rPr>
            </w:pPr>
            <w:r>
              <w:rPr>
                <w:b/>
                <w:lang w:val="en-US"/>
              </w:rPr>
              <w:t>2</w:t>
            </w:r>
            <w:r>
              <w:rPr>
                <w:rFonts w:hint="eastAsia"/>
                <w:b/>
                <w:lang w:val="en-US"/>
              </w:rPr>
              <w:t>.二级学院提供佐证，以教务处认定为准。</w:t>
            </w:r>
          </w:p>
        </w:tc>
        <w:tc>
          <w:tcPr>
            <w:tcW w:w="3614" w:type="dxa"/>
            <w:noWrap w:val="0"/>
            <w:vAlign w:val="center"/>
          </w:tcPr>
          <w:p>
            <w:pPr>
              <w:pStyle w:val="108"/>
              <w:pageBreakBefore w:val="0"/>
              <w:topLinePunct w:val="0"/>
              <w:bidi w:val="0"/>
              <w:spacing w:before="131"/>
              <w:ind w:right="27"/>
              <w:jc w:val="left"/>
              <w:outlineLvl w:val="9"/>
              <w:rPr>
                <w:b/>
                <w:lang w:val="en-US"/>
              </w:rPr>
            </w:pPr>
            <w:r>
              <w:rPr>
                <w:rFonts w:hint="eastAsia"/>
                <w:b/>
                <w:lang w:val="en-US"/>
              </w:rPr>
              <w:t>1.国家级，比值为100%</w:t>
            </w:r>
          </w:p>
          <w:p>
            <w:pPr>
              <w:pStyle w:val="108"/>
              <w:pageBreakBefore w:val="0"/>
              <w:topLinePunct w:val="0"/>
              <w:bidi w:val="0"/>
              <w:spacing w:before="131"/>
              <w:ind w:right="27"/>
              <w:jc w:val="left"/>
              <w:outlineLvl w:val="9"/>
              <w:rPr>
                <w:b/>
                <w:lang w:val="en-US"/>
              </w:rPr>
            </w:pPr>
            <w:r>
              <w:rPr>
                <w:rFonts w:hint="eastAsia"/>
                <w:b/>
                <w:lang w:val="en-US"/>
              </w:rPr>
              <w:t>2.上海市级，比值为80%</w:t>
            </w:r>
          </w:p>
          <w:p>
            <w:pPr>
              <w:pStyle w:val="108"/>
              <w:pageBreakBefore w:val="0"/>
              <w:tabs>
                <w:tab w:val="left" w:pos="312"/>
              </w:tabs>
              <w:topLinePunct w:val="0"/>
              <w:bidi w:val="0"/>
              <w:jc w:val="left"/>
              <w:outlineLvl w:val="9"/>
              <w:rPr>
                <w:b/>
                <w:lang w:val="en-US"/>
              </w:rPr>
            </w:pPr>
            <w:r>
              <w:rPr>
                <w:rFonts w:hint="eastAsia"/>
                <w:b/>
                <w:lang w:val="en-US"/>
              </w:rPr>
              <w:t>3.校级，比值为60%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620" w:type="dxa"/>
            <w:vMerge w:val="continue"/>
            <w:noWrap w:val="0"/>
            <w:vAlign w:val="center"/>
          </w:tcPr>
          <w:p>
            <w:pPr>
              <w:pStyle w:val="108"/>
              <w:pageBreakBefore w:val="0"/>
              <w:numPr>
                <w:ilvl w:val="0"/>
                <w:numId w:val="37"/>
              </w:numPr>
              <w:topLinePunct w:val="0"/>
              <w:bidi w:val="0"/>
              <w:spacing w:before="131"/>
              <w:jc w:val="center"/>
              <w:outlineLvl w:val="9"/>
              <w:rPr>
                <w:b/>
                <w:lang w:val="en-US"/>
              </w:rPr>
            </w:pPr>
          </w:p>
        </w:tc>
        <w:tc>
          <w:tcPr>
            <w:tcW w:w="1494" w:type="dxa"/>
            <w:vMerge w:val="continue"/>
            <w:noWrap w:val="0"/>
            <w:vAlign w:val="center"/>
          </w:tcPr>
          <w:p>
            <w:pPr>
              <w:pStyle w:val="108"/>
              <w:pageBreakBefore w:val="0"/>
              <w:topLinePunct w:val="0"/>
              <w:bidi w:val="0"/>
              <w:spacing w:before="131"/>
              <w:jc w:val="center"/>
              <w:outlineLvl w:val="9"/>
              <w:rPr>
                <w:b/>
                <w:lang w:val="en-US"/>
              </w:rPr>
            </w:pPr>
          </w:p>
        </w:tc>
        <w:tc>
          <w:tcPr>
            <w:tcW w:w="2716" w:type="dxa"/>
            <w:noWrap w:val="0"/>
            <w:vAlign w:val="center"/>
          </w:tcPr>
          <w:p>
            <w:pPr>
              <w:pStyle w:val="108"/>
              <w:pageBreakBefore w:val="0"/>
              <w:topLinePunct w:val="0"/>
              <w:bidi w:val="0"/>
              <w:spacing w:before="131"/>
              <w:jc w:val="center"/>
              <w:outlineLvl w:val="9"/>
              <w:rPr>
                <w:b/>
                <w:lang w:val="en-US"/>
              </w:rPr>
            </w:pPr>
            <w:r>
              <w:rPr>
                <w:rFonts w:hint="eastAsia"/>
                <w:b/>
                <w:lang w:val="en-US"/>
              </w:rPr>
              <w:t>当年度课程思政系列获奖</w:t>
            </w:r>
          </w:p>
          <w:p>
            <w:pPr>
              <w:pStyle w:val="108"/>
              <w:pageBreakBefore w:val="0"/>
              <w:topLinePunct w:val="0"/>
              <w:bidi w:val="0"/>
              <w:spacing w:before="131"/>
              <w:jc w:val="center"/>
              <w:outlineLvl w:val="9"/>
              <w:rPr>
                <w:b/>
                <w:lang w:val="en-US"/>
              </w:rPr>
            </w:pPr>
            <w:r>
              <w:rPr>
                <w:rFonts w:hint="eastAsia"/>
                <w:b/>
                <w:lang w:val="en-US"/>
              </w:rPr>
              <w:t>（</w:t>
            </w:r>
            <w:r>
              <w:rPr>
                <w:b/>
                <w:lang w:val="en-US"/>
              </w:rPr>
              <w:t>3</w:t>
            </w:r>
            <w:r>
              <w:rPr>
                <w:rFonts w:hint="eastAsia"/>
                <w:b/>
                <w:lang w:val="en-US"/>
              </w:rPr>
              <w:t>分）</w:t>
            </w:r>
          </w:p>
        </w:tc>
        <w:tc>
          <w:tcPr>
            <w:tcW w:w="4735" w:type="dxa"/>
            <w:noWrap w:val="0"/>
            <w:vAlign w:val="center"/>
          </w:tcPr>
          <w:p>
            <w:pPr>
              <w:pStyle w:val="108"/>
              <w:pageBreakBefore w:val="0"/>
              <w:numPr>
                <w:ilvl w:val="0"/>
                <w:numId w:val="44"/>
              </w:numPr>
              <w:topLinePunct w:val="0"/>
              <w:bidi w:val="0"/>
              <w:spacing w:before="131"/>
              <w:jc w:val="left"/>
              <w:outlineLvl w:val="9"/>
              <w:rPr>
                <w:b/>
                <w:lang w:val="en-US"/>
              </w:rPr>
            </w:pPr>
            <w:r>
              <w:rPr>
                <w:rFonts w:hint="eastAsia"/>
                <w:b/>
                <w:lang w:val="en-US"/>
              </w:rPr>
              <w:t>当年获得学校及以上级别组织的课程思政系列活动奖项。</w:t>
            </w:r>
          </w:p>
          <w:p>
            <w:pPr>
              <w:pStyle w:val="108"/>
              <w:pageBreakBefore w:val="0"/>
              <w:tabs>
                <w:tab w:val="left" w:pos="312"/>
              </w:tabs>
              <w:topLinePunct w:val="0"/>
              <w:bidi w:val="0"/>
              <w:spacing w:before="131"/>
              <w:jc w:val="left"/>
              <w:outlineLvl w:val="9"/>
              <w:rPr>
                <w:b/>
                <w:lang w:val="en-US"/>
              </w:rPr>
            </w:pPr>
            <w:r>
              <w:rPr>
                <w:rFonts w:hint="eastAsia"/>
                <w:b/>
                <w:lang w:val="en-US"/>
              </w:rPr>
              <w:t>2.二级学院提供佐证，以教务处认定为准。</w:t>
            </w:r>
          </w:p>
        </w:tc>
        <w:tc>
          <w:tcPr>
            <w:tcW w:w="3614" w:type="dxa"/>
            <w:noWrap w:val="0"/>
            <w:vAlign w:val="center"/>
          </w:tcPr>
          <w:p>
            <w:pPr>
              <w:pStyle w:val="108"/>
              <w:pageBreakBefore w:val="0"/>
              <w:tabs>
                <w:tab w:val="left" w:pos="312"/>
              </w:tabs>
              <w:topLinePunct w:val="0"/>
              <w:bidi w:val="0"/>
              <w:jc w:val="left"/>
              <w:outlineLvl w:val="9"/>
              <w:rPr>
                <w:b/>
                <w:lang w:val="en-US"/>
              </w:rPr>
            </w:pPr>
            <w:r>
              <w:rPr>
                <w:b/>
                <w:lang w:val="en-US"/>
              </w:rPr>
              <w:t>1</w:t>
            </w:r>
            <w:r>
              <w:rPr>
                <w:rFonts w:hint="eastAsia"/>
                <w:b/>
                <w:lang w:val="en-US"/>
              </w:rPr>
              <w:t>.学校级别以上获奖数≥1，或者校级获奖数≥3，比值为100%</w:t>
            </w:r>
          </w:p>
          <w:p>
            <w:pPr>
              <w:pStyle w:val="108"/>
              <w:pageBreakBefore w:val="0"/>
              <w:tabs>
                <w:tab w:val="left" w:pos="312"/>
              </w:tabs>
              <w:topLinePunct w:val="0"/>
              <w:bidi w:val="0"/>
              <w:jc w:val="left"/>
              <w:outlineLvl w:val="9"/>
              <w:rPr>
                <w:b/>
                <w:lang w:val="en-US"/>
              </w:rPr>
            </w:pPr>
            <w:r>
              <w:rPr>
                <w:b/>
                <w:lang w:val="en-US"/>
              </w:rPr>
              <w:t>2</w:t>
            </w:r>
            <w:r>
              <w:rPr>
                <w:rFonts w:hint="eastAsia"/>
                <w:b/>
                <w:lang w:val="en-US"/>
              </w:rPr>
              <w:t>.校级获奖数为</w:t>
            </w:r>
            <w:r>
              <w:rPr>
                <w:b/>
                <w:lang w:val="en-US"/>
              </w:rPr>
              <w:t>2</w:t>
            </w:r>
            <w:r>
              <w:rPr>
                <w:rFonts w:hint="eastAsia"/>
                <w:b/>
                <w:lang w:val="en-US"/>
              </w:rPr>
              <w:t>，比值为80%</w:t>
            </w:r>
          </w:p>
          <w:p>
            <w:pPr>
              <w:pStyle w:val="108"/>
              <w:pageBreakBefore w:val="0"/>
              <w:tabs>
                <w:tab w:val="left" w:pos="312"/>
              </w:tabs>
              <w:topLinePunct w:val="0"/>
              <w:bidi w:val="0"/>
              <w:jc w:val="left"/>
              <w:outlineLvl w:val="9"/>
              <w:rPr>
                <w:b/>
                <w:lang w:val="en-US"/>
              </w:rPr>
            </w:pPr>
            <w:r>
              <w:rPr>
                <w:b/>
                <w:lang w:val="en-US"/>
              </w:rPr>
              <w:t>3</w:t>
            </w:r>
            <w:r>
              <w:rPr>
                <w:rFonts w:hint="eastAsia"/>
                <w:b/>
                <w:lang w:val="en-US"/>
              </w:rPr>
              <w:t>.校级获奖数为1，比值为60%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1620" w:type="dxa"/>
            <w:vMerge w:val="continue"/>
            <w:noWrap w:val="0"/>
            <w:vAlign w:val="center"/>
          </w:tcPr>
          <w:p>
            <w:pPr>
              <w:pStyle w:val="108"/>
              <w:pageBreakBefore w:val="0"/>
              <w:topLinePunct w:val="0"/>
              <w:bidi w:val="0"/>
              <w:spacing w:before="131"/>
              <w:jc w:val="center"/>
              <w:outlineLvl w:val="9"/>
              <w:rPr>
                <w:b/>
                <w:lang w:val="en-US"/>
              </w:rPr>
            </w:pPr>
          </w:p>
        </w:tc>
        <w:tc>
          <w:tcPr>
            <w:tcW w:w="1494" w:type="dxa"/>
            <w:vMerge w:val="restart"/>
            <w:noWrap w:val="0"/>
            <w:vAlign w:val="center"/>
          </w:tcPr>
          <w:p>
            <w:pPr>
              <w:pStyle w:val="108"/>
              <w:pageBreakBefore w:val="0"/>
              <w:topLinePunct w:val="0"/>
              <w:bidi w:val="0"/>
              <w:spacing w:before="131"/>
              <w:jc w:val="center"/>
              <w:outlineLvl w:val="9"/>
              <w:rPr>
                <w:b/>
                <w:lang w:val="en-US"/>
              </w:rPr>
            </w:pPr>
            <w:r>
              <w:rPr>
                <w:rFonts w:hint="eastAsia"/>
                <w:b/>
                <w:lang w:val="en-US"/>
              </w:rPr>
              <w:t>5</w:t>
            </w:r>
            <w:r>
              <w:rPr>
                <w:rFonts w:ascii="Times New Roman" w:eastAsia="Times New Roman"/>
                <w:b/>
              </w:rPr>
              <w:t>-</w:t>
            </w:r>
            <w:r>
              <w:rPr>
                <w:rFonts w:hint="eastAsia" w:ascii="Times New Roman" w:eastAsia="宋体"/>
                <w:b/>
                <w:lang w:val="en-US"/>
              </w:rPr>
              <w:t>2</w:t>
            </w:r>
            <w:r>
              <w:rPr>
                <w:rFonts w:hint="eastAsia"/>
                <w:b/>
                <w:lang w:val="en-US"/>
              </w:rPr>
              <w:t>教学团队</w:t>
            </w:r>
          </w:p>
          <w:p>
            <w:pPr>
              <w:pStyle w:val="108"/>
              <w:pageBreakBefore w:val="0"/>
              <w:topLinePunct w:val="0"/>
              <w:bidi w:val="0"/>
              <w:spacing w:before="131"/>
              <w:jc w:val="center"/>
              <w:outlineLvl w:val="9"/>
              <w:rPr>
                <w:b/>
                <w:lang w:val="en-US"/>
              </w:rPr>
            </w:pPr>
            <w:r>
              <w:rPr>
                <w:rFonts w:hint="eastAsia"/>
                <w:b/>
                <w:lang w:val="en-US"/>
              </w:rPr>
              <w:t>（</w:t>
            </w:r>
            <w:r>
              <w:rPr>
                <w:b/>
                <w:lang w:val="en-US"/>
              </w:rPr>
              <w:t>6</w:t>
            </w:r>
            <w:r>
              <w:rPr>
                <w:rFonts w:hint="eastAsia"/>
                <w:b/>
                <w:lang w:val="en-US"/>
              </w:rPr>
              <w:t>分）</w:t>
            </w:r>
          </w:p>
        </w:tc>
        <w:tc>
          <w:tcPr>
            <w:tcW w:w="2716" w:type="dxa"/>
            <w:noWrap w:val="0"/>
            <w:vAlign w:val="center"/>
          </w:tcPr>
          <w:p>
            <w:pPr>
              <w:pStyle w:val="108"/>
              <w:pageBreakBefore w:val="0"/>
              <w:topLinePunct w:val="0"/>
              <w:bidi w:val="0"/>
              <w:spacing w:before="131"/>
              <w:jc w:val="center"/>
              <w:outlineLvl w:val="9"/>
              <w:rPr>
                <w:b/>
                <w:lang w:val="en-US"/>
              </w:rPr>
            </w:pPr>
            <w:r>
              <w:rPr>
                <w:rFonts w:hint="eastAsia"/>
                <w:b/>
                <w:lang w:val="en-US"/>
              </w:rPr>
              <w:t>历年教师教学创新团队、教学团队</w:t>
            </w:r>
          </w:p>
          <w:p>
            <w:pPr>
              <w:pStyle w:val="108"/>
              <w:pageBreakBefore w:val="0"/>
              <w:topLinePunct w:val="0"/>
              <w:bidi w:val="0"/>
              <w:spacing w:before="131"/>
              <w:jc w:val="center"/>
              <w:outlineLvl w:val="9"/>
              <w:rPr>
                <w:b/>
                <w:lang w:val="en-US"/>
              </w:rPr>
            </w:pPr>
            <w:r>
              <w:rPr>
                <w:rFonts w:hint="eastAsia"/>
                <w:b/>
                <w:lang w:val="en-US"/>
              </w:rPr>
              <w:t>（</w:t>
            </w:r>
            <w:r>
              <w:rPr>
                <w:b/>
                <w:lang w:val="en-US"/>
              </w:rPr>
              <w:t>3</w:t>
            </w:r>
            <w:r>
              <w:rPr>
                <w:rFonts w:hint="eastAsia"/>
                <w:b/>
                <w:lang w:val="en-US"/>
              </w:rPr>
              <w:t>分）</w:t>
            </w:r>
          </w:p>
        </w:tc>
        <w:tc>
          <w:tcPr>
            <w:tcW w:w="4735" w:type="dxa"/>
            <w:noWrap w:val="0"/>
            <w:vAlign w:val="center"/>
          </w:tcPr>
          <w:p>
            <w:pPr>
              <w:pStyle w:val="108"/>
              <w:pageBreakBefore w:val="0"/>
              <w:numPr>
                <w:ilvl w:val="0"/>
                <w:numId w:val="44"/>
              </w:numPr>
              <w:topLinePunct w:val="0"/>
              <w:bidi w:val="0"/>
              <w:spacing w:before="131"/>
              <w:jc w:val="left"/>
              <w:outlineLvl w:val="9"/>
              <w:rPr>
                <w:b/>
                <w:lang w:val="en-US"/>
              </w:rPr>
            </w:pPr>
            <w:r>
              <w:rPr>
                <w:rFonts w:hint="eastAsia"/>
                <w:b/>
                <w:lang w:val="en-US"/>
              </w:rPr>
              <w:t>历年该专业教师负责教师教学创新团队、教学团队；</w:t>
            </w:r>
          </w:p>
          <w:p>
            <w:pPr>
              <w:pStyle w:val="108"/>
              <w:pageBreakBefore w:val="0"/>
              <w:topLinePunct w:val="0"/>
              <w:bidi w:val="0"/>
              <w:spacing w:before="131"/>
              <w:jc w:val="left"/>
              <w:outlineLvl w:val="9"/>
              <w:rPr>
                <w:b/>
                <w:lang w:val="en-US"/>
              </w:rPr>
            </w:pPr>
            <w:r>
              <w:rPr>
                <w:rFonts w:hint="eastAsia"/>
                <w:b/>
                <w:lang w:val="en-US"/>
              </w:rPr>
              <w:t>2.二级学院提供佐证，以教务处认定为准。</w:t>
            </w:r>
          </w:p>
        </w:tc>
        <w:tc>
          <w:tcPr>
            <w:tcW w:w="3614" w:type="dxa"/>
            <w:noWrap w:val="0"/>
            <w:vAlign w:val="center"/>
          </w:tcPr>
          <w:p>
            <w:pPr>
              <w:pStyle w:val="108"/>
              <w:pageBreakBefore w:val="0"/>
              <w:topLinePunct w:val="0"/>
              <w:bidi w:val="0"/>
              <w:spacing w:before="131"/>
              <w:ind w:right="27"/>
              <w:jc w:val="left"/>
              <w:outlineLvl w:val="9"/>
              <w:rPr>
                <w:b/>
                <w:lang w:val="en-US"/>
              </w:rPr>
            </w:pPr>
            <w:r>
              <w:rPr>
                <w:rFonts w:hint="eastAsia"/>
                <w:b/>
                <w:lang w:val="en-US"/>
              </w:rPr>
              <w:t>1.国家级，比值为100%</w:t>
            </w:r>
          </w:p>
          <w:p>
            <w:pPr>
              <w:pStyle w:val="108"/>
              <w:pageBreakBefore w:val="0"/>
              <w:topLinePunct w:val="0"/>
              <w:bidi w:val="0"/>
              <w:spacing w:before="131"/>
              <w:ind w:right="27"/>
              <w:jc w:val="left"/>
              <w:outlineLvl w:val="9"/>
              <w:rPr>
                <w:b/>
                <w:lang w:val="en-US"/>
              </w:rPr>
            </w:pPr>
            <w:r>
              <w:rPr>
                <w:rFonts w:hint="eastAsia"/>
                <w:b/>
                <w:lang w:val="en-US"/>
              </w:rPr>
              <w:t>2.市级，比值为80%</w:t>
            </w:r>
          </w:p>
          <w:p>
            <w:pPr>
              <w:pStyle w:val="108"/>
              <w:pageBreakBefore w:val="0"/>
              <w:topLinePunct w:val="0"/>
              <w:bidi w:val="0"/>
              <w:spacing w:before="131"/>
              <w:ind w:right="27"/>
              <w:jc w:val="left"/>
              <w:outlineLvl w:val="9"/>
              <w:rPr>
                <w:b/>
                <w:lang w:val="en-US"/>
              </w:rPr>
            </w:pPr>
            <w:r>
              <w:rPr>
                <w:rFonts w:hint="eastAsia"/>
                <w:b/>
                <w:lang w:val="en-US"/>
              </w:rPr>
              <w:t>3.校级，比值为60%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1620" w:type="dxa"/>
            <w:vMerge w:val="continue"/>
            <w:noWrap w:val="0"/>
            <w:vAlign w:val="center"/>
          </w:tcPr>
          <w:p>
            <w:pPr>
              <w:pStyle w:val="108"/>
              <w:pageBreakBefore w:val="0"/>
              <w:topLinePunct w:val="0"/>
              <w:bidi w:val="0"/>
              <w:spacing w:before="131"/>
              <w:jc w:val="center"/>
              <w:outlineLvl w:val="9"/>
              <w:rPr>
                <w:b/>
                <w:lang w:val="en-US"/>
              </w:rPr>
            </w:pPr>
          </w:p>
        </w:tc>
        <w:tc>
          <w:tcPr>
            <w:tcW w:w="1494" w:type="dxa"/>
            <w:vMerge w:val="continue"/>
            <w:noWrap w:val="0"/>
            <w:vAlign w:val="center"/>
          </w:tcPr>
          <w:p>
            <w:pPr>
              <w:pStyle w:val="108"/>
              <w:pageBreakBefore w:val="0"/>
              <w:topLinePunct w:val="0"/>
              <w:bidi w:val="0"/>
              <w:spacing w:before="131"/>
              <w:jc w:val="center"/>
              <w:outlineLvl w:val="9"/>
              <w:rPr>
                <w:b/>
                <w:lang w:val="en-US"/>
              </w:rPr>
            </w:pPr>
          </w:p>
        </w:tc>
        <w:tc>
          <w:tcPr>
            <w:tcW w:w="2716" w:type="dxa"/>
            <w:noWrap w:val="0"/>
            <w:vAlign w:val="center"/>
          </w:tcPr>
          <w:p>
            <w:pPr>
              <w:pStyle w:val="108"/>
              <w:pageBreakBefore w:val="0"/>
              <w:topLinePunct w:val="0"/>
              <w:bidi w:val="0"/>
              <w:spacing w:before="131"/>
              <w:jc w:val="center"/>
              <w:outlineLvl w:val="9"/>
              <w:rPr>
                <w:b/>
                <w:lang w:val="en-US"/>
              </w:rPr>
            </w:pPr>
            <w:r>
              <w:rPr>
                <w:rFonts w:hint="eastAsia"/>
                <w:b/>
                <w:lang w:val="en-US"/>
              </w:rPr>
              <w:t>当年度新增教师教学创新团队、教学团队</w:t>
            </w:r>
          </w:p>
          <w:p>
            <w:pPr>
              <w:pStyle w:val="108"/>
              <w:pageBreakBefore w:val="0"/>
              <w:topLinePunct w:val="0"/>
              <w:bidi w:val="0"/>
              <w:spacing w:before="131"/>
              <w:jc w:val="center"/>
              <w:outlineLvl w:val="9"/>
              <w:rPr>
                <w:b/>
                <w:lang w:val="en-US"/>
              </w:rPr>
            </w:pPr>
            <w:r>
              <w:rPr>
                <w:rFonts w:hint="eastAsia"/>
                <w:b/>
                <w:lang w:val="en-US"/>
              </w:rPr>
              <w:t>（</w:t>
            </w:r>
            <w:r>
              <w:rPr>
                <w:b/>
                <w:lang w:val="en-US"/>
              </w:rPr>
              <w:t>3</w:t>
            </w:r>
            <w:r>
              <w:rPr>
                <w:rFonts w:hint="eastAsia"/>
                <w:b/>
                <w:lang w:val="en-US"/>
              </w:rPr>
              <w:t>分）</w:t>
            </w:r>
          </w:p>
        </w:tc>
        <w:tc>
          <w:tcPr>
            <w:tcW w:w="4735" w:type="dxa"/>
            <w:noWrap w:val="0"/>
            <w:vAlign w:val="center"/>
          </w:tcPr>
          <w:p>
            <w:pPr>
              <w:pStyle w:val="108"/>
              <w:pageBreakBefore w:val="0"/>
              <w:numPr>
                <w:ilvl w:val="0"/>
                <w:numId w:val="44"/>
              </w:numPr>
              <w:topLinePunct w:val="0"/>
              <w:bidi w:val="0"/>
              <w:spacing w:before="131"/>
              <w:jc w:val="left"/>
              <w:outlineLvl w:val="9"/>
              <w:rPr>
                <w:b/>
                <w:lang w:val="en-US"/>
              </w:rPr>
            </w:pPr>
            <w:r>
              <w:rPr>
                <w:rFonts w:hint="eastAsia"/>
                <w:b/>
                <w:lang w:val="en-US"/>
              </w:rPr>
              <w:t>当年该专业教师负责教师教学创新团队、教学团队；</w:t>
            </w:r>
          </w:p>
          <w:p>
            <w:pPr>
              <w:pStyle w:val="108"/>
              <w:pageBreakBefore w:val="0"/>
              <w:topLinePunct w:val="0"/>
              <w:bidi w:val="0"/>
              <w:spacing w:before="131"/>
              <w:jc w:val="left"/>
              <w:outlineLvl w:val="9"/>
              <w:rPr>
                <w:b/>
                <w:lang w:val="en-US"/>
              </w:rPr>
            </w:pPr>
            <w:r>
              <w:rPr>
                <w:rFonts w:hint="eastAsia"/>
                <w:b/>
                <w:lang w:val="en-US"/>
              </w:rPr>
              <w:t>2.二级学院提供佐证，以教务处认定为准。</w:t>
            </w:r>
          </w:p>
        </w:tc>
        <w:tc>
          <w:tcPr>
            <w:tcW w:w="3614" w:type="dxa"/>
            <w:noWrap w:val="0"/>
            <w:vAlign w:val="center"/>
          </w:tcPr>
          <w:p>
            <w:pPr>
              <w:pStyle w:val="108"/>
              <w:pageBreakBefore w:val="0"/>
              <w:topLinePunct w:val="0"/>
              <w:bidi w:val="0"/>
              <w:spacing w:before="131"/>
              <w:ind w:right="27"/>
              <w:jc w:val="left"/>
              <w:outlineLvl w:val="9"/>
              <w:rPr>
                <w:b/>
                <w:lang w:val="en-US"/>
              </w:rPr>
            </w:pPr>
            <w:r>
              <w:rPr>
                <w:rFonts w:hint="eastAsia"/>
                <w:b/>
                <w:lang w:val="en-US"/>
              </w:rPr>
              <w:t>1.国家级，比值为100%</w:t>
            </w:r>
          </w:p>
          <w:p>
            <w:pPr>
              <w:pStyle w:val="108"/>
              <w:pageBreakBefore w:val="0"/>
              <w:topLinePunct w:val="0"/>
              <w:bidi w:val="0"/>
              <w:spacing w:before="131"/>
              <w:ind w:right="27"/>
              <w:jc w:val="left"/>
              <w:outlineLvl w:val="9"/>
              <w:rPr>
                <w:b/>
                <w:lang w:val="en-US"/>
              </w:rPr>
            </w:pPr>
            <w:r>
              <w:rPr>
                <w:rFonts w:hint="eastAsia"/>
                <w:b/>
                <w:lang w:val="en-US"/>
              </w:rPr>
              <w:t>2.市级，比值为80%</w:t>
            </w:r>
          </w:p>
          <w:p>
            <w:pPr>
              <w:pStyle w:val="108"/>
              <w:pageBreakBefore w:val="0"/>
              <w:topLinePunct w:val="0"/>
              <w:bidi w:val="0"/>
              <w:spacing w:before="131"/>
              <w:ind w:right="27"/>
              <w:jc w:val="left"/>
              <w:outlineLvl w:val="9"/>
              <w:rPr>
                <w:b/>
                <w:lang w:val="en-US"/>
              </w:rPr>
            </w:pPr>
            <w:r>
              <w:rPr>
                <w:rFonts w:hint="eastAsia"/>
                <w:b/>
                <w:lang w:val="en-US"/>
              </w:rPr>
              <w:t>3.校级，比值为60%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1620" w:type="dxa"/>
            <w:vMerge w:val="continue"/>
            <w:noWrap w:val="0"/>
            <w:vAlign w:val="center"/>
          </w:tcPr>
          <w:p>
            <w:pPr>
              <w:pStyle w:val="108"/>
              <w:pageBreakBefore w:val="0"/>
              <w:topLinePunct w:val="0"/>
              <w:bidi w:val="0"/>
              <w:spacing w:before="131"/>
              <w:jc w:val="center"/>
              <w:outlineLvl w:val="9"/>
              <w:rPr>
                <w:b/>
                <w:lang w:val="en-US"/>
              </w:rPr>
            </w:pPr>
          </w:p>
        </w:tc>
        <w:tc>
          <w:tcPr>
            <w:tcW w:w="1494" w:type="dxa"/>
            <w:vMerge w:val="restart"/>
            <w:noWrap w:val="0"/>
            <w:vAlign w:val="center"/>
          </w:tcPr>
          <w:p>
            <w:pPr>
              <w:pStyle w:val="108"/>
              <w:pageBreakBefore w:val="0"/>
              <w:topLinePunct w:val="0"/>
              <w:bidi w:val="0"/>
              <w:spacing w:before="131"/>
              <w:jc w:val="center"/>
              <w:outlineLvl w:val="9"/>
              <w:rPr>
                <w:b/>
                <w:lang w:val="en-US"/>
              </w:rPr>
            </w:pPr>
            <w:r>
              <w:rPr>
                <w:rFonts w:hint="eastAsia"/>
                <w:b/>
                <w:lang w:val="en-US"/>
              </w:rPr>
              <w:t>5</w:t>
            </w:r>
            <w:r>
              <w:rPr>
                <w:rFonts w:ascii="Times New Roman" w:eastAsia="Times New Roman"/>
                <w:b/>
              </w:rPr>
              <w:t>-</w:t>
            </w:r>
            <w:r>
              <w:rPr>
                <w:rFonts w:hint="eastAsia"/>
                <w:b/>
                <w:lang w:val="en-US"/>
              </w:rPr>
              <w:t>3产教融合</w:t>
            </w:r>
          </w:p>
          <w:p>
            <w:pPr>
              <w:pStyle w:val="108"/>
              <w:pageBreakBefore w:val="0"/>
              <w:topLinePunct w:val="0"/>
              <w:bidi w:val="0"/>
              <w:spacing w:before="131"/>
              <w:jc w:val="center"/>
              <w:outlineLvl w:val="9"/>
              <w:rPr>
                <w:b/>
                <w:lang w:val="en-US"/>
              </w:rPr>
            </w:pPr>
            <w:r>
              <w:rPr>
                <w:rFonts w:hint="eastAsia"/>
                <w:b/>
                <w:lang w:val="en-US"/>
              </w:rPr>
              <w:t>基地</w:t>
            </w:r>
          </w:p>
          <w:p>
            <w:pPr>
              <w:pStyle w:val="108"/>
              <w:pageBreakBefore w:val="0"/>
              <w:topLinePunct w:val="0"/>
              <w:bidi w:val="0"/>
              <w:spacing w:before="131"/>
              <w:jc w:val="center"/>
              <w:outlineLvl w:val="9"/>
              <w:rPr>
                <w:b/>
                <w:lang w:val="en-US"/>
              </w:rPr>
            </w:pPr>
            <w:r>
              <w:rPr>
                <w:rFonts w:hint="eastAsia"/>
                <w:b/>
                <w:lang w:val="en-US"/>
              </w:rPr>
              <w:t>（</w:t>
            </w:r>
            <w:r>
              <w:rPr>
                <w:b/>
                <w:lang w:val="en-US"/>
              </w:rPr>
              <w:t>6</w:t>
            </w:r>
            <w:r>
              <w:rPr>
                <w:rFonts w:hint="eastAsia"/>
                <w:b/>
                <w:lang w:val="en-US"/>
              </w:rPr>
              <w:t>分）</w:t>
            </w:r>
          </w:p>
        </w:tc>
        <w:tc>
          <w:tcPr>
            <w:tcW w:w="2716" w:type="dxa"/>
            <w:noWrap w:val="0"/>
            <w:vAlign w:val="center"/>
          </w:tcPr>
          <w:p>
            <w:pPr>
              <w:pStyle w:val="108"/>
              <w:pageBreakBefore w:val="0"/>
              <w:topLinePunct w:val="0"/>
              <w:bidi w:val="0"/>
              <w:spacing w:before="131"/>
              <w:jc w:val="center"/>
              <w:outlineLvl w:val="9"/>
              <w:rPr>
                <w:b/>
                <w:lang w:val="en-US"/>
              </w:rPr>
            </w:pPr>
            <w:r>
              <w:rPr>
                <w:rFonts w:hint="eastAsia"/>
                <w:b/>
                <w:lang w:val="en-US"/>
              </w:rPr>
              <w:t>市级及以上产教融合实训基地和校级重点产教融合校企合作项目</w:t>
            </w:r>
          </w:p>
          <w:p>
            <w:pPr>
              <w:pStyle w:val="108"/>
              <w:pageBreakBefore w:val="0"/>
              <w:topLinePunct w:val="0"/>
              <w:bidi w:val="0"/>
              <w:spacing w:before="131"/>
              <w:jc w:val="center"/>
              <w:outlineLvl w:val="9"/>
              <w:rPr>
                <w:b/>
                <w:lang w:val="en-US"/>
              </w:rPr>
            </w:pPr>
            <w:r>
              <w:rPr>
                <w:rFonts w:hint="eastAsia"/>
                <w:b/>
                <w:lang w:val="en-US"/>
              </w:rPr>
              <w:t>（</w:t>
            </w:r>
            <w:r>
              <w:rPr>
                <w:b/>
                <w:lang w:val="en-US"/>
              </w:rPr>
              <w:t>2</w:t>
            </w:r>
            <w:r>
              <w:rPr>
                <w:rFonts w:hint="eastAsia"/>
                <w:b/>
                <w:lang w:val="en-US"/>
              </w:rPr>
              <w:t>分）</w:t>
            </w:r>
          </w:p>
        </w:tc>
        <w:tc>
          <w:tcPr>
            <w:tcW w:w="4735" w:type="dxa"/>
            <w:noWrap w:val="0"/>
            <w:vAlign w:val="center"/>
          </w:tcPr>
          <w:p>
            <w:pPr>
              <w:pStyle w:val="108"/>
              <w:pageBreakBefore w:val="0"/>
              <w:topLinePunct w:val="0"/>
              <w:bidi w:val="0"/>
              <w:spacing w:before="131"/>
              <w:jc w:val="left"/>
              <w:outlineLvl w:val="9"/>
              <w:rPr>
                <w:b/>
                <w:lang w:val="en-US"/>
              </w:rPr>
            </w:pPr>
            <w:r>
              <w:rPr>
                <w:rFonts w:hint="eastAsia"/>
                <w:b/>
                <w:lang w:val="en-US"/>
              </w:rPr>
              <w:t>1.该专业获得市级及以上产教融合实训基地等称号</w:t>
            </w:r>
          </w:p>
          <w:p>
            <w:pPr>
              <w:pStyle w:val="108"/>
              <w:pageBreakBefore w:val="0"/>
              <w:topLinePunct w:val="0"/>
              <w:bidi w:val="0"/>
              <w:spacing w:before="131"/>
              <w:jc w:val="left"/>
              <w:outlineLvl w:val="9"/>
              <w:rPr>
                <w:b/>
                <w:lang w:val="en-US"/>
              </w:rPr>
            </w:pPr>
            <w:r>
              <w:rPr>
                <w:rFonts w:hint="eastAsia"/>
                <w:b/>
                <w:lang w:val="en-US"/>
              </w:rPr>
              <w:t>2.二级学院提供佐证，最后以教务处认定为准。</w:t>
            </w:r>
          </w:p>
        </w:tc>
        <w:tc>
          <w:tcPr>
            <w:tcW w:w="3614" w:type="dxa"/>
            <w:noWrap w:val="0"/>
            <w:vAlign w:val="center"/>
          </w:tcPr>
          <w:p>
            <w:pPr>
              <w:pStyle w:val="108"/>
              <w:pageBreakBefore w:val="0"/>
              <w:topLinePunct w:val="0"/>
              <w:bidi w:val="0"/>
              <w:spacing w:before="131"/>
              <w:ind w:right="27"/>
              <w:jc w:val="left"/>
              <w:outlineLvl w:val="9"/>
              <w:rPr>
                <w:b/>
                <w:lang w:val="en-US"/>
              </w:rPr>
            </w:pPr>
            <w:r>
              <w:rPr>
                <w:rFonts w:hint="eastAsia"/>
                <w:b/>
                <w:lang w:val="en-US"/>
              </w:rPr>
              <w:t>1.国家级，比值为100%</w:t>
            </w:r>
          </w:p>
          <w:p>
            <w:pPr>
              <w:pStyle w:val="108"/>
              <w:pageBreakBefore w:val="0"/>
              <w:topLinePunct w:val="0"/>
              <w:bidi w:val="0"/>
              <w:spacing w:before="131"/>
              <w:ind w:right="27"/>
              <w:jc w:val="left"/>
              <w:outlineLvl w:val="9"/>
              <w:rPr>
                <w:b/>
                <w:lang w:val="en-US"/>
              </w:rPr>
            </w:pPr>
            <w:r>
              <w:rPr>
                <w:rFonts w:hint="eastAsia"/>
                <w:b/>
                <w:lang w:val="en-US"/>
              </w:rPr>
              <w:t>2.市级，比值为80%</w:t>
            </w:r>
          </w:p>
          <w:p>
            <w:pPr>
              <w:pStyle w:val="108"/>
              <w:pageBreakBefore w:val="0"/>
              <w:topLinePunct w:val="0"/>
              <w:bidi w:val="0"/>
              <w:spacing w:before="131"/>
              <w:ind w:right="27"/>
              <w:jc w:val="left"/>
              <w:outlineLvl w:val="9"/>
              <w:rPr>
                <w:b/>
                <w:lang w:val="en-US"/>
              </w:rPr>
            </w:pPr>
            <w:r>
              <w:rPr>
                <w:rFonts w:hint="eastAsia"/>
                <w:b/>
                <w:lang w:val="en-US"/>
              </w:rPr>
              <w:t>3.校级，比值为60%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1620" w:type="dxa"/>
            <w:vMerge w:val="continue"/>
            <w:noWrap w:val="0"/>
            <w:vAlign w:val="center"/>
          </w:tcPr>
          <w:p>
            <w:pPr>
              <w:pStyle w:val="108"/>
              <w:pageBreakBefore w:val="0"/>
              <w:topLinePunct w:val="0"/>
              <w:bidi w:val="0"/>
              <w:spacing w:before="131"/>
              <w:jc w:val="center"/>
              <w:outlineLvl w:val="9"/>
              <w:rPr>
                <w:b/>
                <w:lang w:val="en-US"/>
              </w:rPr>
            </w:pPr>
          </w:p>
        </w:tc>
        <w:tc>
          <w:tcPr>
            <w:tcW w:w="1494" w:type="dxa"/>
            <w:vMerge w:val="continue"/>
            <w:noWrap w:val="0"/>
            <w:vAlign w:val="center"/>
          </w:tcPr>
          <w:p>
            <w:pPr>
              <w:pStyle w:val="108"/>
              <w:pageBreakBefore w:val="0"/>
              <w:topLinePunct w:val="0"/>
              <w:bidi w:val="0"/>
              <w:spacing w:before="131"/>
              <w:jc w:val="center"/>
              <w:outlineLvl w:val="9"/>
              <w:rPr>
                <w:b/>
                <w:lang w:val="en-US"/>
              </w:rPr>
            </w:pPr>
          </w:p>
        </w:tc>
        <w:tc>
          <w:tcPr>
            <w:tcW w:w="2716" w:type="dxa"/>
            <w:noWrap w:val="0"/>
            <w:vAlign w:val="center"/>
          </w:tcPr>
          <w:p>
            <w:pPr>
              <w:pStyle w:val="108"/>
              <w:pageBreakBefore w:val="0"/>
              <w:topLinePunct w:val="0"/>
              <w:bidi w:val="0"/>
              <w:spacing w:before="131"/>
              <w:jc w:val="center"/>
              <w:outlineLvl w:val="9"/>
              <w:rPr>
                <w:b/>
                <w:lang w:val="en-US"/>
              </w:rPr>
            </w:pPr>
            <w:r>
              <w:rPr>
                <w:rFonts w:hint="eastAsia"/>
                <w:b/>
                <w:lang w:val="en-US"/>
              </w:rPr>
              <w:t>市级及以上产教融合实训基地和校级重点产教融合校企合作项目</w:t>
            </w:r>
          </w:p>
          <w:p>
            <w:pPr>
              <w:pStyle w:val="108"/>
              <w:pageBreakBefore w:val="0"/>
              <w:topLinePunct w:val="0"/>
              <w:bidi w:val="0"/>
              <w:spacing w:before="131"/>
              <w:jc w:val="center"/>
              <w:outlineLvl w:val="9"/>
              <w:rPr>
                <w:b/>
                <w:lang w:val="en-US"/>
              </w:rPr>
            </w:pPr>
            <w:r>
              <w:rPr>
                <w:rFonts w:hint="eastAsia"/>
                <w:b/>
                <w:lang w:val="en-US"/>
              </w:rPr>
              <w:t>（</w:t>
            </w:r>
            <w:r>
              <w:rPr>
                <w:b/>
                <w:lang w:val="en-US"/>
              </w:rPr>
              <w:t>4</w:t>
            </w:r>
            <w:r>
              <w:rPr>
                <w:rFonts w:hint="eastAsia"/>
                <w:b/>
                <w:lang w:val="en-US"/>
              </w:rPr>
              <w:t>分）</w:t>
            </w:r>
          </w:p>
        </w:tc>
        <w:tc>
          <w:tcPr>
            <w:tcW w:w="4735" w:type="dxa"/>
            <w:noWrap w:val="0"/>
            <w:vAlign w:val="center"/>
          </w:tcPr>
          <w:p>
            <w:pPr>
              <w:pStyle w:val="108"/>
              <w:pageBreakBefore w:val="0"/>
              <w:topLinePunct w:val="0"/>
              <w:bidi w:val="0"/>
              <w:spacing w:before="131"/>
              <w:jc w:val="left"/>
              <w:outlineLvl w:val="9"/>
              <w:rPr>
                <w:b/>
                <w:lang w:val="en-US"/>
              </w:rPr>
            </w:pPr>
            <w:r>
              <w:rPr>
                <w:rFonts w:hint="eastAsia"/>
                <w:b/>
                <w:lang w:val="en-US"/>
              </w:rPr>
              <w:t>1.该专业当年新增市级及以上产教融合实训基地情况和该专业获得校级重点产教融合校企合作项目情况；</w:t>
            </w:r>
          </w:p>
          <w:p>
            <w:pPr>
              <w:pStyle w:val="108"/>
              <w:pageBreakBefore w:val="0"/>
              <w:topLinePunct w:val="0"/>
              <w:bidi w:val="0"/>
              <w:spacing w:before="131"/>
              <w:jc w:val="left"/>
              <w:outlineLvl w:val="9"/>
              <w:rPr>
                <w:b/>
                <w:lang w:val="en-US"/>
              </w:rPr>
            </w:pPr>
            <w:r>
              <w:rPr>
                <w:rFonts w:hint="eastAsia"/>
                <w:b/>
                <w:lang w:val="en-US"/>
              </w:rPr>
              <w:t>2.二级学院提供佐证，最后以教务处认定为准。</w:t>
            </w:r>
          </w:p>
        </w:tc>
        <w:tc>
          <w:tcPr>
            <w:tcW w:w="3614" w:type="dxa"/>
            <w:noWrap w:val="0"/>
            <w:vAlign w:val="center"/>
          </w:tcPr>
          <w:p>
            <w:pPr>
              <w:pStyle w:val="108"/>
              <w:pageBreakBefore w:val="0"/>
              <w:topLinePunct w:val="0"/>
              <w:bidi w:val="0"/>
              <w:spacing w:before="131"/>
              <w:ind w:right="27"/>
              <w:jc w:val="left"/>
              <w:outlineLvl w:val="9"/>
              <w:rPr>
                <w:b/>
                <w:lang w:val="en-US"/>
              </w:rPr>
            </w:pPr>
            <w:r>
              <w:rPr>
                <w:rFonts w:hint="eastAsia"/>
                <w:b/>
                <w:lang w:val="en-US"/>
              </w:rPr>
              <w:t>1.国家级产教融合基地，比值为100%</w:t>
            </w:r>
          </w:p>
          <w:p>
            <w:pPr>
              <w:pStyle w:val="108"/>
              <w:pageBreakBefore w:val="0"/>
              <w:topLinePunct w:val="0"/>
              <w:bidi w:val="0"/>
              <w:spacing w:before="131"/>
              <w:ind w:right="27"/>
              <w:jc w:val="left"/>
              <w:outlineLvl w:val="9"/>
              <w:rPr>
                <w:b/>
                <w:lang w:val="en-US"/>
              </w:rPr>
            </w:pPr>
            <w:r>
              <w:rPr>
                <w:rFonts w:hint="eastAsia"/>
                <w:b/>
                <w:lang w:val="en-US"/>
              </w:rPr>
              <w:t>2.市级产教融合基地，比值为80%</w:t>
            </w:r>
          </w:p>
          <w:p>
            <w:pPr>
              <w:pStyle w:val="108"/>
              <w:pageBreakBefore w:val="0"/>
              <w:topLinePunct w:val="0"/>
              <w:bidi w:val="0"/>
              <w:spacing w:before="131"/>
              <w:ind w:right="27"/>
              <w:jc w:val="left"/>
              <w:outlineLvl w:val="9"/>
              <w:rPr>
                <w:b/>
                <w:lang w:val="en-US"/>
              </w:rPr>
            </w:pPr>
            <w:r>
              <w:rPr>
                <w:rFonts w:hint="eastAsia"/>
                <w:b/>
                <w:lang w:val="en-US"/>
              </w:rPr>
              <w:t>3.校级重点产教融合校企合作项目，比值为60%</w:t>
            </w:r>
          </w:p>
          <w:p>
            <w:pPr>
              <w:pStyle w:val="108"/>
              <w:pageBreakBefore w:val="0"/>
              <w:topLinePunct w:val="0"/>
              <w:bidi w:val="0"/>
              <w:spacing w:before="131"/>
              <w:ind w:right="27"/>
              <w:jc w:val="left"/>
              <w:outlineLvl w:val="9"/>
              <w:rPr>
                <w:b/>
                <w:lang w:val="en-US"/>
              </w:rPr>
            </w:pPr>
            <w:r>
              <w:rPr>
                <w:b/>
                <w:lang w:val="en-US"/>
              </w:rPr>
              <w:t>4</w:t>
            </w:r>
            <w:r>
              <w:rPr>
                <w:rFonts w:hint="eastAsia"/>
                <w:b/>
                <w:lang w:val="en-US"/>
              </w:rPr>
              <w:t>.当年新增在建基地、项目，在对应等级基础上减半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1620" w:type="dxa"/>
            <w:vMerge w:val="continue"/>
            <w:noWrap w:val="0"/>
            <w:vAlign w:val="center"/>
          </w:tcPr>
          <w:p>
            <w:pPr>
              <w:pStyle w:val="108"/>
              <w:pageBreakBefore w:val="0"/>
              <w:topLinePunct w:val="0"/>
              <w:bidi w:val="0"/>
              <w:spacing w:before="131"/>
              <w:jc w:val="center"/>
              <w:outlineLvl w:val="9"/>
              <w:rPr>
                <w:b/>
                <w:lang w:val="en-US"/>
              </w:rPr>
            </w:pPr>
          </w:p>
        </w:tc>
        <w:tc>
          <w:tcPr>
            <w:tcW w:w="1494" w:type="dxa"/>
            <w:noWrap w:val="0"/>
            <w:vAlign w:val="center"/>
          </w:tcPr>
          <w:p>
            <w:pPr>
              <w:pStyle w:val="108"/>
              <w:pageBreakBefore w:val="0"/>
              <w:topLinePunct w:val="0"/>
              <w:bidi w:val="0"/>
              <w:spacing w:before="131"/>
              <w:jc w:val="center"/>
              <w:outlineLvl w:val="9"/>
              <w:rPr>
                <w:b/>
                <w:lang w:val="en-US"/>
              </w:rPr>
            </w:pPr>
            <w:r>
              <w:rPr>
                <w:rFonts w:hint="eastAsia"/>
                <w:b/>
                <w:lang w:val="en-US"/>
              </w:rPr>
              <w:t>5</w:t>
            </w:r>
            <w:r>
              <w:rPr>
                <w:rFonts w:ascii="Times New Roman" w:eastAsia="Times New Roman"/>
                <w:b/>
              </w:rPr>
              <w:t>-</w:t>
            </w:r>
            <w:r>
              <w:rPr>
                <w:rFonts w:hint="eastAsia"/>
                <w:b/>
                <w:lang w:val="en-US"/>
              </w:rPr>
              <w:t>4教学能力</w:t>
            </w:r>
          </w:p>
          <w:p>
            <w:pPr>
              <w:pStyle w:val="108"/>
              <w:pageBreakBefore w:val="0"/>
              <w:topLinePunct w:val="0"/>
              <w:bidi w:val="0"/>
              <w:spacing w:before="131"/>
              <w:jc w:val="center"/>
              <w:outlineLvl w:val="9"/>
              <w:rPr>
                <w:b/>
                <w:lang w:val="en-US"/>
              </w:rPr>
            </w:pPr>
            <w:r>
              <w:rPr>
                <w:rFonts w:hint="eastAsia"/>
                <w:b/>
                <w:lang w:val="en-US"/>
              </w:rPr>
              <w:t>大赛（</w:t>
            </w:r>
            <w:r>
              <w:rPr>
                <w:b/>
                <w:lang w:val="en-US"/>
              </w:rPr>
              <w:t>5</w:t>
            </w:r>
            <w:r>
              <w:rPr>
                <w:rFonts w:hint="eastAsia"/>
                <w:b/>
                <w:lang w:val="en-US"/>
              </w:rPr>
              <w:t>分）</w:t>
            </w:r>
          </w:p>
        </w:tc>
        <w:tc>
          <w:tcPr>
            <w:tcW w:w="2716" w:type="dxa"/>
            <w:noWrap w:val="0"/>
            <w:vAlign w:val="center"/>
          </w:tcPr>
          <w:p>
            <w:pPr>
              <w:pStyle w:val="108"/>
              <w:pageBreakBefore w:val="0"/>
              <w:topLinePunct w:val="0"/>
              <w:bidi w:val="0"/>
              <w:spacing w:before="131"/>
              <w:jc w:val="center"/>
              <w:outlineLvl w:val="9"/>
              <w:rPr>
                <w:b/>
                <w:lang w:val="en-US"/>
              </w:rPr>
            </w:pPr>
            <w:r>
              <w:rPr>
                <w:rFonts w:hint="eastAsia"/>
                <w:b/>
                <w:color w:val="auto"/>
                <w:lang w:val="en-US"/>
              </w:rPr>
              <w:t>当年度</w:t>
            </w:r>
            <w:r>
              <w:rPr>
                <w:rFonts w:hint="eastAsia"/>
                <w:b/>
                <w:lang w:val="en-US"/>
              </w:rPr>
              <w:t>各类教学能力大赛</w:t>
            </w:r>
          </w:p>
          <w:p>
            <w:pPr>
              <w:pStyle w:val="108"/>
              <w:pageBreakBefore w:val="0"/>
              <w:topLinePunct w:val="0"/>
              <w:bidi w:val="0"/>
              <w:spacing w:before="131"/>
              <w:jc w:val="center"/>
              <w:outlineLvl w:val="9"/>
              <w:rPr>
                <w:b/>
                <w:lang w:val="en-US"/>
              </w:rPr>
            </w:pPr>
            <w:r>
              <w:rPr>
                <w:rFonts w:hint="eastAsia"/>
                <w:b/>
                <w:lang w:val="en-US"/>
              </w:rPr>
              <w:t>（</w:t>
            </w:r>
            <w:r>
              <w:rPr>
                <w:b/>
                <w:lang w:val="en-US"/>
              </w:rPr>
              <w:t>5</w:t>
            </w:r>
            <w:r>
              <w:rPr>
                <w:rFonts w:hint="eastAsia"/>
                <w:b/>
                <w:lang w:val="en-US"/>
              </w:rPr>
              <w:t>分）</w:t>
            </w:r>
          </w:p>
        </w:tc>
        <w:tc>
          <w:tcPr>
            <w:tcW w:w="4735" w:type="dxa"/>
            <w:noWrap w:val="0"/>
            <w:vAlign w:val="center"/>
          </w:tcPr>
          <w:p>
            <w:pPr>
              <w:pStyle w:val="108"/>
              <w:pageBreakBefore w:val="0"/>
              <w:topLinePunct w:val="0"/>
              <w:bidi w:val="0"/>
              <w:spacing w:before="131"/>
              <w:jc w:val="left"/>
              <w:outlineLvl w:val="9"/>
              <w:rPr>
                <w:b/>
                <w:lang w:val="en-US"/>
              </w:rPr>
            </w:pPr>
            <w:r>
              <w:rPr>
                <w:rFonts w:hint="eastAsia"/>
                <w:b/>
                <w:lang w:val="en-US"/>
              </w:rPr>
              <w:t>1.有当年获得各类教学能力大赛获奖情况；</w:t>
            </w:r>
          </w:p>
          <w:p>
            <w:pPr>
              <w:pStyle w:val="108"/>
              <w:pageBreakBefore w:val="0"/>
              <w:topLinePunct w:val="0"/>
              <w:bidi w:val="0"/>
              <w:spacing w:before="131"/>
              <w:jc w:val="left"/>
              <w:outlineLvl w:val="9"/>
              <w:rPr>
                <w:b/>
                <w:lang w:val="en-US"/>
              </w:rPr>
            </w:pPr>
            <w:r>
              <w:rPr>
                <w:rFonts w:hint="eastAsia"/>
                <w:b/>
                <w:lang w:val="en-US"/>
              </w:rPr>
              <w:t>2.二级学院提供佐证，最后以教务处认定为准。</w:t>
            </w:r>
          </w:p>
        </w:tc>
        <w:tc>
          <w:tcPr>
            <w:tcW w:w="3614" w:type="dxa"/>
            <w:noWrap w:val="0"/>
            <w:vAlign w:val="center"/>
          </w:tcPr>
          <w:p>
            <w:pPr>
              <w:pStyle w:val="108"/>
              <w:pageBreakBefore w:val="0"/>
              <w:topLinePunct w:val="0"/>
              <w:bidi w:val="0"/>
              <w:spacing w:before="131"/>
              <w:ind w:right="27"/>
              <w:jc w:val="left"/>
              <w:outlineLvl w:val="9"/>
              <w:rPr>
                <w:b/>
                <w:lang w:val="en-US"/>
              </w:rPr>
            </w:pPr>
            <w:r>
              <w:rPr>
                <w:rFonts w:hint="eastAsia"/>
                <w:b/>
                <w:lang w:val="en-US"/>
              </w:rPr>
              <w:t>1.国家级，比值为100%</w:t>
            </w:r>
          </w:p>
          <w:p>
            <w:pPr>
              <w:pStyle w:val="108"/>
              <w:pageBreakBefore w:val="0"/>
              <w:topLinePunct w:val="0"/>
              <w:bidi w:val="0"/>
              <w:spacing w:before="131"/>
              <w:ind w:right="27"/>
              <w:jc w:val="left"/>
              <w:outlineLvl w:val="9"/>
              <w:rPr>
                <w:b/>
                <w:lang w:val="en-US"/>
              </w:rPr>
            </w:pPr>
            <w:r>
              <w:rPr>
                <w:rFonts w:hint="eastAsia"/>
                <w:b/>
                <w:lang w:val="en-US"/>
              </w:rPr>
              <w:t>2.市级，比值为80%</w:t>
            </w:r>
          </w:p>
          <w:p>
            <w:pPr>
              <w:pStyle w:val="108"/>
              <w:pageBreakBefore w:val="0"/>
              <w:topLinePunct w:val="0"/>
              <w:bidi w:val="0"/>
              <w:spacing w:before="131"/>
              <w:ind w:right="27"/>
              <w:jc w:val="left"/>
              <w:outlineLvl w:val="9"/>
              <w:rPr>
                <w:b/>
                <w:lang w:val="en-US"/>
              </w:rPr>
            </w:pPr>
            <w:r>
              <w:rPr>
                <w:rFonts w:hint="eastAsia"/>
                <w:b/>
                <w:lang w:val="en-US"/>
              </w:rPr>
              <w:t>3.教指委，比值为60%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1620" w:type="dxa"/>
            <w:vMerge w:val="continue"/>
            <w:noWrap w:val="0"/>
            <w:vAlign w:val="center"/>
          </w:tcPr>
          <w:p>
            <w:pPr>
              <w:pStyle w:val="108"/>
              <w:pageBreakBefore w:val="0"/>
              <w:topLinePunct w:val="0"/>
              <w:bidi w:val="0"/>
              <w:spacing w:before="131"/>
              <w:jc w:val="center"/>
              <w:outlineLvl w:val="9"/>
              <w:rPr>
                <w:b/>
                <w:lang w:val="en-US"/>
              </w:rPr>
            </w:pPr>
          </w:p>
        </w:tc>
        <w:tc>
          <w:tcPr>
            <w:tcW w:w="1494" w:type="dxa"/>
            <w:noWrap w:val="0"/>
            <w:vAlign w:val="center"/>
          </w:tcPr>
          <w:p>
            <w:pPr>
              <w:pStyle w:val="108"/>
              <w:pageBreakBefore w:val="0"/>
              <w:topLinePunct w:val="0"/>
              <w:bidi w:val="0"/>
              <w:spacing w:before="131"/>
              <w:jc w:val="center"/>
              <w:outlineLvl w:val="9"/>
              <w:rPr>
                <w:b/>
                <w:lang w:val="en-US"/>
              </w:rPr>
            </w:pPr>
            <w:r>
              <w:rPr>
                <w:rFonts w:hint="eastAsia"/>
                <w:b/>
                <w:lang w:val="en-US"/>
              </w:rPr>
              <w:t>5</w:t>
            </w:r>
            <w:r>
              <w:rPr>
                <w:rFonts w:ascii="Times New Roman" w:eastAsia="Times New Roman"/>
                <w:b/>
              </w:rPr>
              <w:t>-</w:t>
            </w:r>
            <w:r>
              <w:rPr>
                <w:rFonts w:hint="eastAsia"/>
                <w:b/>
                <w:lang w:val="en-US"/>
              </w:rPr>
              <w:t>5教材</w:t>
            </w:r>
          </w:p>
          <w:p>
            <w:pPr>
              <w:pStyle w:val="108"/>
              <w:pageBreakBefore w:val="0"/>
              <w:topLinePunct w:val="0"/>
              <w:bidi w:val="0"/>
              <w:spacing w:before="131"/>
              <w:jc w:val="center"/>
              <w:outlineLvl w:val="9"/>
              <w:rPr>
                <w:b/>
                <w:lang w:val="en-US"/>
              </w:rPr>
            </w:pPr>
            <w:r>
              <w:rPr>
                <w:rFonts w:hint="eastAsia"/>
                <w:b/>
                <w:lang w:val="en-US"/>
              </w:rPr>
              <w:t>（3分）</w:t>
            </w:r>
          </w:p>
        </w:tc>
        <w:tc>
          <w:tcPr>
            <w:tcW w:w="2716" w:type="dxa"/>
            <w:noWrap w:val="0"/>
            <w:vAlign w:val="center"/>
          </w:tcPr>
          <w:p>
            <w:pPr>
              <w:pStyle w:val="108"/>
              <w:pageBreakBefore w:val="0"/>
              <w:topLinePunct w:val="0"/>
              <w:bidi w:val="0"/>
              <w:spacing w:before="131"/>
              <w:jc w:val="center"/>
              <w:outlineLvl w:val="9"/>
              <w:rPr>
                <w:b/>
                <w:lang w:val="en-US"/>
              </w:rPr>
            </w:pPr>
            <w:r>
              <w:rPr>
                <w:rFonts w:hint="eastAsia"/>
                <w:b/>
                <w:color w:val="auto"/>
                <w:lang w:val="en-US"/>
              </w:rPr>
              <w:t>当年度</w:t>
            </w:r>
            <w:r>
              <w:rPr>
                <w:rFonts w:hint="eastAsia"/>
                <w:b/>
                <w:lang w:val="en-US"/>
              </w:rPr>
              <w:t>编写教材</w:t>
            </w:r>
          </w:p>
          <w:p>
            <w:pPr>
              <w:pStyle w:val="108"/>
              <w:pageBreakBefore w:val="0"/>
              <w:topLinePunct w:val="0"/>
              <w:bidi w:val="0"/>
              <w:spacing w:before="131"/>
              <w:jc w:val="center"/>
              <w:outlineLvl w:val="9"/>
              <w:rPr>
                <w:b/>
                <w:lang w:val="en-US"/>
              </w:rPr>
            </w:pPr>
            <w:r>
              <w:rPr>
                <w:rFonts w:hint="eastAsia"/>
                <w:b/>
                <w:lang w:val="en-US"/>
              </w:rPr>
              <w:t>（3分）</w:t>
            </w:r>
          </w:p>
        </w:tc>
        <w:tc>
          <w:tcPr>
            <w:tcW w:w="4735" w:type="dxa"/>
            <w:noWrap w:val="0"/>
            <w:vAlign w:val="center"/>
          </w:tcPr>
          <w:p>
            <w:pPr>
              <w:pStyle w:val="108"/>
              <w:pageBreakBefore w:val="0"/>
              <w:topLinePunct w:val="0"/>
              <w:bidi w:val="0"/>
              <w:spacing w:before="131"/>
              <w:jc w:val="left"/>
              <w:outlineLvl w:val="9"/>
              <w:rPr>
                <w:b/>
                <w:lang w:val="en-US"/>
              </w:rPr>
            </w:pPr>
            <w:r>
              <w:rPr>
                <w:rFonts w:hint="eastAsia"/>
                <w:b/>
                <w:lang w:val="en-US"/>
              </w:rPr>
              <w:t>1.当年该专业教师主编各类教材情况；</w:t>
            </w:r>
          </w:p>
          <w:p>
            <w:pPr>
              <w:pStyle w:val="108"/>
              <w:pageBreakBefore w:val="0"/>
              <w:topLinePunct w:val="0"/>
              <w:bidi w:val="0"/>
              <w:spacing w:before="131"/>
              <w:jc w:val="left"/>
              <w:outlineLvl w:val="9"/>
              <w:rPr>
                <w:b/>
                <w:lang w:val="en-US"/>
              </w:rPr>
            </w:pPr>
            <w:r>
              <w:rPr>
                <w:rFonts w:hint="eastAsia"/>
                <w:b/>
                <w:lang w:val="en-US"/>
              </w:rPr>
              <w:t>2.二级学院提供佐证，最后以教务处认定为准</w:t>
            </w:r>
          </w:p>
        </w:tc>
        <w:tc>
          <w:tcPr>
            <w:tcW w:w="3614" w:type="dxa"/>
            <w:noWrap w:val="0"/>
            <w:vAlign w:val="center"/>
          </w:tcPr>
          <w:p>
            <w:pPr>
              <w:pStyle w:val="108"/>
              <w:pageBreakBefore w:val="0"/>
              <w:topLinePunct w:val="0"/>
              <w:bidi w:val="0"/>
              <w:spacing w:before="131"/>
              <w:ind w:right="27"/>
              <w:jc w:val="left"/>
              <w:outlineLvl w:val="9"/>
              <w:rPr>
                <w:b/>
                <w:lang w:val="en-US"/>
              </w:rPr>
            </w:pPr>
            <w:r>
              <w:rPr>
                <w:rFonts w:hint="eastAsia"/>
                <w:b/>
                <w:lang w:val="en-US"/>
              </w:rPr>
              <w:t>1.出版1本及以上，比值为100%；</w:t>
            </w:r>
          </w:p>
          <w:p>
            <w:pPr>
              <w:pStyle w:val="108"/>
              <w:pageBreakBefore w:val="0"/>
              <w:topLinePunct w:val="0"/>
              <w:bidi w:val="0"/>
              <w:spacing w:before="131"/>
              <w:ind w:right="27"/>
              <w:jc w:val="left"/>
              <w:outlineLvl w:val="9"/>
              <w:rPr>
                <w:b/>
                <w:lang w:val="en-US"/>
              </w:rPr>
            </w:pPr>
            <w:r>
              <w:rPr>
                <w:rFonts w:hint="eastAsia"/>
                <w:b/>
                <w:lang w:val="en-US"/>
              </w:rPr>
              <w:t>2.编写校办教材1本级以上，并在网上通过教务处备案，比值为80%；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trPr>
        <w:tc>
          <w:tcPr>
            <w:tcW w:w="1620" w:type="dxa"/>
            <w:vMerge w:val="continue"/>
            <w:noWrap w:val="0"/>
            <w:vAlign w:val="center"/>
          </w:tcPr>
          <w:p>
            <w:pPr>
              <w:pStyle w:val="108"/>
              <w:pageBreakBefore w:val="0"/>
              <w:topLinePunct w:val="0"/>
              <w:bidi w:val="0"/>
              <w:spacing w:before="131"/>
              <w:jc w:val="center"/>
              <w:outlineLvl w:val="9"/>
              <w:rPr>
                <w:b/>
                <w:lang w:val="en-US"/>
              </w:rPr>
            </w:pPr>
          </w:p>
        </w:tc>
        <w:tc>
          <w:tcPr>
            <w:tcW w:w="1494" w:type="dxa"/>
            <w:noWrap w:val="0"/>
            <w:vAlign w:val="center"/>
          </w:tcPr>
          <w:p>
            <w:pPr>
              <w:pStyle w:val="108"/>
              <w:pageBreakBefore w:val="0"/>
              <w:topLinePunct w:val="0"/>
              <w:bidi w:val="0"/>
              <w:spacing w:before="131"/>
              <w:jc w:val="center"/>
              <w:outlineLvl w:val="9"/>
              <w:rPr>
                <w:b/>
                <w:lang w:val="en-US"/>
              </w:rPr>
            </w:pPr>
            <w:r>
              <w:rPr>
                <w:b/>
                <w:lang w:val="en-US"/>
              </w:rPr>
              <w:t>5</w:t>
            </w:r>
            <w:r>
              <w:rPr>
                <w:rFonts w:hint="eastAsia"/>
                <w:b/>
                <w:lang w:val="en-US"/>
              </w:rPr>
              <w:t>-</w:t>
            </w:r>
            <w:r>
              <w:rPr>
                <w:b/>
                <w:lang w:val="en-US"/>
              </w:rPr>
              <w:t>6</w:t>
            </w:r>
            <w:r>
              <w:rPr>
                <w:rFonts w:hint="eastAsia"/>
                <w:b/>
                <w:lang w:val="en-US"/>
              </w:rPr>
              <w:t>提质培优 （</w:t>
            </w:r>
            <w:r>
              <w:rPr>
                <w:b/>
                <w:lang w:val="en-US"/>
              </w:rPr>
              <w:t>5</w:t>
            </w:r>
            <w:r>
              <w:rPr>
                <w:rFonts w:hint="eastAsia"/>
                <w:b/>
                <w:lang w:val="en-US"/>
              </w:rPr>
              <w:t>分）</w:t>
            </w:r>
          </w:p>
        </w:tc>
        <w:tc>
          <w:tcPr>
            <w:tcW w:w="2716" w:type="dxa"/>
            <w:noWrap w:val="0"/>
            <w:vAlign w:val="center"/>
          </w:tcPr>
          <w:p>
            <w:pPr>
              <w:pStyle w:val="108"/>
              <w:pageBreakBefore w:val="0"/>
              <w:topLinePunct w:val="0"/>
              <w:bidi w:val="0"/>
              <w:spacing w:before="131"/>
              <w:jc w:val="center"/>
              <w:outlineLvl w:val="9"/>
              <w:rPr>
                <w:b/>
                <w:lang w:val="en-US"/>
              </w:rPr>
            </w:pPr>
            <w:r>
              <w:rPr>
                <w:rFonts w:hint="eastAsia"/>
                <w:b/>
                <w:lang w:val="en-US"/>
              </w:rPr>
              <w:t>提质培优获奖或推荐</w:t>
            </w:r>
          </w:p>
          <w:p>
            <w:pPr>
              <w:pStyle w:val="108"/>
              <w:pageBreakBefore w:val="0"/>
              <w:topLinePunct w:val="0"/>
              <w:bidi w:val="0"/>
              <w:spacing w:before="131"/>
              <w:jc w:val="center"/>
              <w:outlineLvl w:val="9"/>
              <w:rPr>
                <w:b/>
                <w:lang w:val="en-US"/>
              </w:rPr>
            </w:pPr>
            <w:r>
              <w:rPr>
                <w:rFonts w:hint="eastAsia"/>
                <w:b/>
                <w:lang w:val="en-US"/>
              </w:rPr>
              <w:t>（</w:t>
            </w:r>
            <w:r>
              <w:rPr>
                <w:b/>
                <w:lang w:val="en-US"/>
              </w:rPr>
              <w:t>5</w:t>
            </w:r>
            <w:r>
              <w:rPr>
                <w:rFonts w:hint="eastAsia"/>
                <w:b/>
                <w:lang w:val="en-US"/>
              </w:rPr>
              <w:t>分）</w:t>
            </w:r>
          </w:p>
        </w:tc>
        <w:tc>
          <w:tcPr>
            <w:tcW w:w="4735" w:type="dxa"/>
            <w:noWrap w:val="0"/>
            <w:vAlign w:val="center"/>
          </w:tcPr>
          <w:p>
            <w:pPr>
              <w:pStyle w:val="108"/>
              <w:pageBreakBefore w:val="0"/>
              <w:topLinePunct w:val="0"/>
              <w:bidi w:val="0"/>
              <w:spacing w:before="131"/>
              <w:jc w:val="left"/>
              <w:outlineLvl w:val="9"/>
              <w:rPr>
                <w:b/>
                <w:lang w:val="en-US"/>
              </w:rPr>
            </w:pPr>
            <w:r>
              <w:rPr>
                <w:rFonts w:hint="eastAsia"/>
                <w:b/>
                <w:lang w:val="en-US"/>
              </w:rPr>
              <w:t>1.该专业教师负责的提质培优项目获奖或推荐情况；</w:t>
            </w:r>
          </w:p>
          <w:p>
            <w:pPr>
              <w:pStyle w:val="108"/>
              <w:pageBreakBefore w:val="0"/>
              <w:topLinePunct w:val="0"/>
              <w:bidi w:val="0"/>
              <w:spacing w:before="131"/>
              <w:jc w:val="left"/>
              <w:outlineLvl w:val="9"/>
              <w:rPr>
                <w:b/>
                <w:lang w:val="en-US"/>
              </w:rPr>
            </w:pPr>
            <w:r>
              <w:rPr>
                <w:rFonts w:hint="eastAsia"/>
                <w:b/>
                <w:lang w:val="en-US"/>
              </w:rPr>
              <w:t>2.二级学院提供佐证，最后以教务处认定为准</w:t>
            </w:r>
          </w:p>
        </w:tc>
        <w:tc>
          <w:tcPr>
            <w:tcW w:w="3614" w:type="dxa"/>
            <w:noWrap w:val="0"/>
            <w:vAlign w:val="center"/>
          </w:tcPr>
          <w:p>
            <w:pPr>
              <w:pStyle w:val="108"/>
              <w:pageBreakBefore w:val="0"/>
              <w:topLinePunct w:val="0"/>
              <w:bidi w:val="0"/>
              <w:spacing w:before="131"/>
              <w:ind w:right="27"/>
              <w:jc w:val="left"/>
              <w:outlineLvl w:val="9"/>
              <w:rPr>
                <w:b/>
                <w:lang w:val="en-US"/>
              </w:rPr>
            </w:pPr>
            <w:r>
              <w:rPr>
                <w:rFonts w:hint="eastAsia"/>
                <w:b/>
                <w:lang w:val="en-US"/>
              </w:rPr>
              <w:t>1.国家级，比值为100%</w:t>
            </w:r>
          </w:p>
          <w:p>
            <w:pPr>
              <w:pStyle w:val="108"/>
              <w:pageBreakBefore w:val="0"/>
              <w:topLinePunct w:val="0"/>
              <w:bidi w:val="0"/>
              <w:spacing w:before="131"/>
              <w:ind w:right="27"/>
              <w:jc w:val="left"/>
              <w:outlineLvl w:val="9"/>
              <w:rPr>
                <w:b/>
                <w:lang w:val="en-US"/>
              </w:rPr>
            </w:pPr>
            <w:r>
              <w:rPr>
                <w:rFonts w:hint="eastAsia"/>
                <w:b/>
                <w:lang w:val="en-US"/>
              </w:rPr>
              <w:t>2.市级或国家级推荐，比值为80%</w:t>
            </w:r>
          </w:p>
          <w:p>
            <w:pPr>
              <w:pStyle w:val="108"/>
              <w:pageBreakBefore w:val="0"/>
              <w:topLinePunct w:val="0"/>
              <w:bidi w:val="0"/>
              <w:spacing w:before="131"/>
              <w:ind w:right="27"/>
              <w:jc w:val="left"/>
              <w:outlineLvl w:val="9"/>
              <w:rPr>
                <w:b/>
                <w:lang w:val="en-US"/>
              </w:rPr>
            </w:pPr>
            <w:r>
              <w:rPr>
                <w:rFonts w:hint="eastAsia"/>
                <w:b/>
                <w:lang w:val="en-US"/>
              </w:rPr>
              <w:t>3.市级推荐，比值为60%</w:t>
            </w:r>
          </w:p>
        </w:tc>
      </w:tr>
    </w:tbl>
    <w:p>
      <w:pPr>
        <w:pStyle w:val="108"/>
        <w:pageBreakBefore w:val="0"/>
        <w:topLinePunct w:val="0"/>
        <w:bidi w:val="0"/>
        <w:spacing w:before="131" w:line="360" w:lineRule="auto"/>
        <w:jc w:val="left"/>
        <w:outlineLvl w:val="9"/>
        <w:rPr>
          <w:rFonts w:hint="eastAsia"/>
          <w:sz w:val="32"/>
          <w:lang w:val="en-US"/>
        </w:rPr>
      </w:pPr>
    </w:p>
    <w:p>
      <w:pPr>
        <w:pStyle w:val="108"/>
        <w:pageBreakBefore w:val="0"/>
        <w:topLinePunct w:val="0"/>
        <w:bidi w:val="0"/>
        <w:spacing w:before="131" w:line="360" w:lineRule="auto"/>
        <w:jc w:val="left"/>
        <w:outlineLvl w:val="9"/>
        <w:rPr>
          <w:rFonts w:hint="eastAsia"/>
          <w:sz w:val="32"/>
          <w:lang w:val="en-US"/>
        </w:rPr>
      </w:pPr>
    </w:p>
    <w:p>
      <w:pPr>
        <w:pStyle w:val="108"/>
        <w:pageBreakBefore w:val="0"/>
        <w:topLinePunct w:val="0"/>
        <w:bidi w:val="0"/>
        <w:spacing w:before="131" w:line="360" w:lineRule="auto"/>
        <w:jc w:val="left"/>
        <w:outlineLvl w:val="9"/>
        <w:rPr>
          <w:rFonts w:hint="eastAsia"/>
          <w:sz w:val="32"/>
          <w:lang w:val="en-US"/>
        </w:rPr>
        <w:sectPr>
          <w:pgSz w:w="16838" w:h="11906" w:orient="landscape"/>
          <w:pgMar w:top="1803" w:right="1440" w:bottom="1803" w:left="1440" w:header="851" w:footer="992" w:gutter="0"/>
          <w:pgNumType w:fmt="decimal"/>
          <w:cols w:space="425" w:num="1"/>
          <w:docGrid w:type="lines" w:linePitch="312" w:charSpace="0"/>
        </w:sectPr>
      </w:pPr>
    </w:p>
    <w:p>
      <w:pPr>
        <w:pStyle w:val="108"/>
        <w:pageBreakBefore w:val="0"/>
        <w:topLinePunct w:val="0"/>
        <w:bidi w:val="0"/>
        <w:spacing w:before="131" w:line="360" w:lineRule="auto"/>
        <w:jc w:val="left"/>
        <w:outlineLvl w:val="9"/>
        <w:rPr>
          <w:sz w:val="28"/>
          <w:szCs w:val="28"/>
          <w:lang w:val="en-US"/>
        </w:rPr>
      </w:pPr>
      <w:r>
        <w:rPr>
          <w:rFonts w:hint="eastAsia"/>
          <w:sz w:val="28"/>
          <w:szCs w:val="28"/>
          <w:lang w:val="en-US"/>
        </w:rPr>
        <w:t>二、额外加减分项目</w:t>
      </w:r>
    </w:p>
    <w:p>
      <w:pPr>
        <w:pStyle w:val="108"/>
        <w:pageBreakBefore w:val="0"/>
        <w:topLinePunct w:val="0"/>
        <w:bidi w:val="0"/>
        <w:spacing w:line="360" w:lineRule="auto"/>
        <w:ind w:firstLine="560" w:firstLineChars="200"/>
        <w:jc w:val="left"/>
        <w:outlineLvl w:val="9"/>
        <w:rPr>
          <w:sz w:val="28"/>
          <w:szCs w:val="28"/>
          <w:lang w:val="en-US"/>
        </w:rPr>
      </w:pPr>
      <w:r>
        <w:rPr>
          <w:rFonts w:hint="eastAsia"/>
          <w:sz w:val="28"/>
          <w:szCs w:val="28"/>
          <w:lang w:val="en-US"/>
        </w:rPr>
        <w:t>1.学校按照不同考试类型进行招生录取时，若本考试类型的最低分落在某专业（分文理），将对本专业进行2分的扣分；若最高分落在某个专业，对本专业进行加分2分的加分。</w:t>
      </w:r>
    </w:p>
    <w:p>
      <w:pPr>
        <w:pStyle w:val="108"/>
        <w:pageBreakBefore w:val="0"/>
        <w:topLinePunct w:val="0"/>
        <w:bidi w:val="0"/>
        <w:spacing w:line="360" w:lineRule="auto"/>
        <w:ind w:firstLine="560" w:firstLineChars="200"/>
        <w:jc w:val="left"/>
        <w:outlineLvl w:val="9"/>
        <w:rPr>
          <w:sz w:val="28"/>
          <w:szCs w:val="28"/>
          <w:lang w:val="en-US"/>
        </w:rPr>
      </w:pPr>
      <w:r>
        <w:rPr>
          <w:rFonts w:hint="eastAsia"/>
          <w:sz w:val="28"/>
          <w:szCs w:val="28"/>
          <w:lang w:val="en-US"/>
        </w:rPr>
        <w:t>2.学生在临港企业就业数量超过毕业生（企业注册在奉贤+临港），学生所在专业可以按照每个学生+0.3分，最高不超过5分。</w:t>
      </w:r>
    </w:p>
    <w:p>
      <w:pPr>
        <w:pStyle w:val="108"/>
        <w:pageBreakBefore w:val="0"/>
        <w:topLinePunct w:val="0"/>
        <w:bidi w:val="0"/>
        <w:spacing w:line="360" w:lineRule="auto"/>
        <w:jc w:val="left"/>
        <w:outlineLvl w:val="9"/>
        <w:rPr>
          <w:sz w:val="28"/>
          <w:szCs w:val="28"/>
          <w:lang w:val="en-US"/>
        </w:rPr>
      </w:pPr>
      <w:r>
        <w:rPr>
          <w:rFonts w:hint="eastAsia"/>
          <w:sz w:val="28"/>
          <w:szCs w:val="28"/>
          <w:lang w:val="en-US"/>
        </w:rPr>
        <w:t>三、填表注意事项</w:t>
      </w:r>
    </w:p>
    <w:p>
      <w:pPr>
        <w:pStyle w:val="108"/>
        <w:pageBreakBefore w:val="0"/>
        <w:topLinePunct w:val="0"/>
        <w:bidi w:val="0"/>
        <w:spacing w:line="360" w:lineRule="auto"/>
        <w:ind w:firstLine="560" w:firstLineChars="200"/>
        <w:jc w:val="left"/>
        <w:outlineLvl w:val="9"/>
        <w:rPr>
          <w:rFonts w:hint="eastAsia"/>
          <w:sz w:val="28"/>
          <w:szCs w:val="28"/>
          <w:lang w:val="en-US"/>
        </w:rPr>
      </w:pPr>
      <w:r>
        <w:rPr>
          <w:rFonts w:hint="eastAsia"/>
          <w:sz w:val="28"/>
          <w:szCs w:val="28"/>
          <w:lang w:val="en-US"/>
        </w:rPr>
        <w:t>各类成果、获奖、基地、项目等记分，均按照项目负责人所在专业进行统计；技能大赛获奖按照指导教师或者学生归属专业进行统计；教材按照主编所在专业进行统计。</w:t>
      </w:r>
    </w:p>
    <w:p>
      <w:pPr>
        <w:pStyle w:val="108"/>
        <w:pageBreakBefore w:val="0"/>
        <w:topLinePunct w:val="0"/>
        <w:bidi w:val="0"/>
        <w:spacing w:line="360" w:lineRule="auto"/>
        <w:ind w:firstLine="640" w:firstLineChars="200"/>
        <w:jc w:val="left"/>
        <w:outlineLvl w:val="9"/>
        <w:rPr>
          <w:rFonts w:hint="eastAsia"/>
          <w:sz w:val="32"/>
          <w:lang w:val="en-US"/>
        </w:rPr>
      </w:pPr>
    </w:p>
    <w:p>
      <w:pPr>
        <w:pStyle w:val="108"/>
        <w:pageBreakBefore w:val="0"/>
        <w:topLinePunct w:val="0"/>
        <w:bidi w:val="0"/>
        <w:spacing w:line="360" w:lineRule="auto"/>
        <w:ind w:firstLine="640" w:firstLineChars="200"/>
        <w:jc w:val="left"/>
        <w:outlineLvl w:val="9"/>
        <w:rPr>
          <w:rFonts w:hint="eastAsia"/>
          <w:sz w:val="32"/>
          <w:lang w:val="en-US"/>
        </w:rPr>
      </w:pPr>
    </w:p>
    <w:p>
      <w:pPr>
        <w:pStyle w:val="108"/>
        <w:pageBreakBefore w:val="0"/>
        <w:topLinePunct w:val="0"/>
        <w:bidi w:val="0"/>
        <w:spacing w:line="360" w:lineRule="auto"/>
        <w:ind w:firstLine="640" w:firstLineChars="200"/>
        <w:jc w:val="left"/>
        <w:outlineLvl w:val="9"/>
        <w:rPr>
          <w:rFonts w:hint="eastAsia"/>
          <w:sz w:val="32"/>
          <w:lang w:val="en-US"/>
        </w:rPr>
      </w:pPr>
    </w:p>
    <w:p>
      <w:pPr>
        <w:pStyle w:val="108"/>
        <w:pageBreakBefore w:val="0"/>
        <w:topLinePunct w:val="0"/>
        <w:bidi w:val="0"/>
        <w:spacing w:line="360" w:lineRule="auto"/>
        <w:ind w:firstLine="640" w:firstLineChars="200"/>
        <w:jc w:val="left"/>
        <w:outlineLvl w:val="9"/>
        <w:rPr>
          <w:rFonts w:hint="eastAsia"/>
          <w:sz w:val="32"/>
          <w:lang w:val="en-US"/>
        </w:rPr>
      </w:pPr>
    </w:p>
    <w:p>
      <w:pPr>
        <w:pageBreakBefore w:val="0"/>
        <w:topLinePunct w:val="0"/>
        <w:bidi w:val="0"/>
        <w:spacing w:line="500" w:lineRule="exact"/>
        <w:outlineLvl w:val="9"/>
        <w:rPr>
          <w:rFonts w:eastAsia="黑体"/>
          <w:sz w:val="32"/>
          <w:szCs w:val="32"/>
        </w:rPr>
      </w:pPr>
      <w:bookmarkStart w:id="373" w:name="_Hlk83821929"/>
    </w:p>
    <w:p>
      <w:pPr>
        <w:pageBreakBefore w:val="0"/>
        <w:topLinePunct w:val="0"/>
        <w:bidi w:val="0"/>
        <w:spacing w:line="500" w:lineRule="exact"/>
        <w:outlineLvl w:val="9"/>
        <w:rPr>
          <w:rFonts w:eastAsia="黑体"/>
          <w:sz w:val="32"/>
          <w:szCs w:val="32"/>
        </w:rPr>
      </w:pPr>
    </w:p>
    <w:p>
      <w:pPr>
        <w:pageBreakBefore w:val="0"/>
        <w:topLinePunct w:val="0"/>
        <w:bidi w:val="0"/>
        <w:spacing w:line="500" w:lineRule="exact"/>
        <w:outlineLvl w:val="9"/>
        <w:rPr>
          <w:rFonts w:eastAsia="黑体"/>
          <w:sz w:val="32"/>
          <w:szCs w:val="32"/>
        </w:rPr>
      </w:pPr>
    </w:p>
    <w:p>
      <w:pPr>
        <w:pageBreakBefore w:val="0"/>
        <w:topLinePunct w:val="0"/>
        <w:bidi w:val="0"/>
        <w:spacing w:line="500" w:lineRule="exact"/>
        <w:outlineLvl w:val="9"/>
        <w:rPr>
          <w:rFonts w:eastAsia="黑体"/>
          <w:sz w:val="32"/>
          <w:szCs w:val="32"/>
        </w:rPr>
      </w:pPr>
    </w:p>
    <w:p>
      <w:pPr>
        <w:pageBreakBefore w:val="0"/>
        <w:topLinePunct w:val="0"/>
        <w:bidi w:val="0"/>
        <w:spacing w:line="500" w:lineRule="exact"/>
        <w:outlineLvl w:val="9"/>
        <w:rPr>
          <w:rFonts w:eastAsia="黑体"/>
          <w:sz w:val="32"/>
          <w:szCs w:val="32"/>
        </w:rPr>
      </w:pPr>
    </w:p>
    <w:p>
      <w:pPr>
        <w:pageBreakBefore w:val="0"/>
        <w:topLinePunct w:val="0"/>
        <w:bidi w:val="0"/>
        <w:spacing w:line="500" w:lineRule="exact"/>
        <w:outlineLvl w:val="9"/>
        <w:rPr>
          <w:rFonts w:eastAsia="黑体"/>
          <w:sz w:val="32"/>
          <w:szCs w:val="32"/>
        </w:rPr>
      </w:pPr>
    </w:p>
    <w:p>
      <w:pPr>
        <w:pageBreakBefore w:val="0"/>
        <w:topLinePunct w:val="0"/>
        <w:bidi w:val="0"/>
        <w:spacing w:line="500" w:lineRule="exact"/>
        <w:outlineLvl w:val="9"/>
        <w:rPr>
          <w:rFonts w:eastAsia="黑体"/>
          <w:sz w:val="32"/>
          <w:szCs w:val="32"/>
        </w:rPr>
      </w:pPr>
    </w:p>
    <w:p>
      <w:pPr>
        <w:pageBreakBefore w:val="0"/>
        <w:topLinePunct w:val="0"/>
        <w:bidi w:val="0"/>
        <w:spacing w:line="500" w:lineRule="exact"/>
        <w:outlineLvl w:val="9"/>
        <w:rPr>
          <w:rFonts w:eastAsia="黑体"/>
          <w:sz w:val="32"/>
          <w:szCs w:val="32"/>
        </w:rPr>
      </w:pPr>
    </w:p>
    <w:p>
      <w:pPr>
        <w:pageBreakBefore w:val="0"/>
        <w:topLinePunct w:val="0"/>
        <w:bidi w:val="0"/>
        <w:spacing w:line="500" w:lineRule="exact"/>
        <w:outlineLvl w:val="9"/>
        <w:rPr>
          <w:rFonts w:eastAsia="黑体"/>
          <w:sz w:val="32"/>
          <w:szCs w:val="32"/>
        </w:rPr>
      </w:pPr>
    </w:p>
    <w:p>
      <w:pPr>
        <w:pageBreakBefore w:val="0"/>
        <w:topLinePunct w:val="0"/>
        <w:bidi w:val="0"/>
        <w:spacing w:line="500" w:lineRule="exact"/>
        <w:outlineLvl w:val="9"/>
        <w:rPr>
          <w:rFonts w:eastAsia="黑体"/>
          <w:sz w:val="32"/>
          <w:szCs w:val="32"/>
        </w:rPr>
      </w:pPr>
    </w:p>
    <w:bookmarkEnd w:id="373"/>
    <w:p>
      <w:pPr>
        <w:pageBreakBefore w:val="0"/>
        <w:topLinePunct w:val="0"/>
        <w:bidi w:val="0"/>
        <w:ind w:right="-57" w:rightChars="-27"/>
        <w:jc w:val="center"/>
        <w:outlineLvl w:val="9"/>
        <w:rPr>
          <w:rFonts w:ascii="华文中宋" w:hAnsi="华文中宋" w:eastAsia="华文中宋"/>
          <w:b/>
          <w:color w:val="FF0000"/>
          <w:spacing w:val="10"/>
          <w:sz w:val="56"/>
          <w:szCs w:val="56"/>
        </w:rPr>
      </w:pPr>
      <w:bookmarkStart w:id="374" w:name="_Toc27908"/>
      <w:bookmarkStart w:id="375" w:name="_Toc27709"/>
      <w:bookmarkStart w:id="376" w:name="_Toc248"/>
    </w:p>
    <w:p>
      <w:pPr>
        <w:pageBreakBefore w:val="0"/>
        <w:topLinePunct w:val="0"/>
        <w:bidi w:val="0"/>
        <w:ind w:right="-57" w:rightChars="-27"/>
        <w:jc w:val="center"/>
        <w:outlineLvl w:val="9"/>
        <w:rPr>
          <w:rFonts w:ascii="华文中宋" w:hAnsi="华文中宋" w:eastAsia="华文中宋"/>
          <w:b/>
          <w:color w:val="FF0000"/>
          <w:spacing w:val="10"/>
          <w:sz w:val="56"/>
          <w:szCs w:val="56"/>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lang w:val="en-US" w:eastAsia="zh-CN"/>
        </w:rPr>
      </w:pPr>
      <w:r>
        <w:rPr>
          <w:rFonts w:hint="eastAsia" w:ascii="华文中宋" w:hAnsi="华文中宋" w:eastAsia="华文中宋" w:cs="Times New Roman"/>
          <w:b/>
          <w:color w:val="FF0000"/>
          <w:spacing w:val="10"/>
          <w:sz w:val="56"/>
          <w:szCs w:val="56"/>
          <w:lang w:val="en-US" w:eastAsia="zh-CN"/>
        </w:rPr>
        <w:t>上海电子信息职业技术学院文件</w:t>
      </w:r>
    </w:p>
    <w:p>
      <w:pPr>
        <w:pageBreakBefore w:val="0"/>
        <w:topLinePunct w:val="0"/>
        <w:bidi w:val="0"/>
        <w:ind w:left="-317" w:leftChars="-200" w:right="-158" w:rightChars="-75" w:hanging="103" w:hangingChars="43"/>
        <w:jc w:val="center"/>
        <w:outlineLvl w:val="9"/>
        <w:rPr>
          <w:rFonts w:ascii="Calibri" w:hAnsi="Calibri"/>
          <w:sz w:val="24"/>
        </w:rPr>
      </w:pPr>
    </w:p>
    <w:p>
      <w:pPr>
        <w:pageBreakBefore w:val="0"/>
        <w:topLinePunct w:val="0"/>
        <w:bidi w:val="0"/>
        <w:jc w:val="center"/>
        <w:outlineLvl w:val="9"/>
        <w:rPr>
          <w:sz w:val="24"/>
        </w:rPr>
      </w:pPr>
    </w:p>
    <w:p>
      <w:pPr>
        <w:pageBreakBefore w:val="0"/>
        <w:topLinePunct w:val="0"/>
        <w:bidi w:val="0"/>
        <w:jc w:val="center"/>
        <w:outlineLvl w:val="9"/>
        <w:rPr>
          <w:sz w:val="24"/>
        </w:rPr>
      </w:pPr>
    </w:p>
    <w:p>
      <w:pPr>
        <w:pageBreakBefore w:val="0"/>
        <w:topLinePunct w:val="0"/>
        <w:bidi w:val="0"/>
        <w:spacing w:before="156" w:beforeLines="50"/>
        <w:jc w:val="center"/>
        <w:outlineLvl w:val="9"/>
        <w:rPr>
          <w:rFonts w:ascii="黑体" w:eastAsia="黑体"/>
          <w:color w:val="FF0000"/>
          <w:u w:val="thick"/>
        </w:rPr>
      </w:pPr>
      <w:r>
        <w:rPr>
          <w:rFonts w:hint="eastAsia" w:ascii="仿宋_GB2312" w:hAnsi="TTEditFont" w:eastAsia="仿宋_GB2312"/>
          <w:color w:val="000000"/>
          <w:sz w:val="32"/>
          <w:szCs w:val="28"/>
        </w:rPr>
        <w:t>沪电信职院</w:t>
      </w:r>
      <w:r>
        <w:rPr>
          <w:rFonts w:hint="eastAsia" w:ascii="仿宋_GB2312" w:hAnsi="TTEditFont" w:eastAsia="仿宋_GB2312"/>
          <w:color w:val="000000"/>
          <w:sz w:val="32"/>
          <w:szCs w:val="28"/>
          <w:highlight w:val="none"/>
        </w:rPr>
        <w:t>〔202</w:t>
      </w:r>
      <w:r>
        <w:rPr>
          <w:rFonts w:hint="eastAsia" w:ascii="仿宋_GB2312" w:hAnsi="TTEditFont" w:eastAsia="仿宋_GB2312"/>
          <w:color w:val="000000"/>
          <w:sz w:val="32"/>
          <w:szCs w:val="28"/>
          <w:highlight w:val="none"/>
          <w:lang w:val="en-US" w:eastAsia="zh-CN"/>
        </w:rPr>
        <w:t>2</w:t>
      </w:r>
      <w:r>
        <w:rPr>
          <w:rFonts w:hint="eastAsia" w:ascii="仿宋_GB2312" w:hAnsi="TTEditFont" w:eastAsia="仿宋_GB2312"/>
          <w:color w:val="000000"/>
          <w:sz w:val="32"/>
          <w:szCs w:val="28"/>
          <w:highlight w:val="none"/>
        </w:rPr>
        <w:t>〕</w:t>
      </w:r>
      <w:r>
        <w:rPr>
          <w:rFonts w:hint="eastAsia" w:ascii="仿宋_GB2312" w:hAnsi="TTEditFont" w:eastAsia="仿宋_GB2312"/>
          <w:color w:val="000000"/>
          <w:sz w:val="32"/>
          <w:szCs w:val="28"/>
          <w:highlight w:val="none"/>
          <w:lang w:val="en-US" w:eastAsia="zh-CN"/>
        </w:rPr>
        <w:t>14</w:t>
      </w:r>
      <w:r>
        <w:rPr>
          <w:rFonts w:hint="eastAsia" w:ascii="仿宋_GB2312" w:hAnsi="TTEditFont" w:eastAsia="仿宋_GB2312"/>
          <w:color w:val="000000"/>
          <w:sz w:val="32"/>
          <w:szCs w:val="28"/>
          <w:highlight w:val="none"/>
        </w:rPr>
        <w:t xml:space="preserve">号 </w:t>
      </w:r>
      <w:r>
        <w:rPr>
          <w:rFonts w:hint="eastAsia" w:ascii="仿宋_GB2312" w:hAnsi="TTEditFont" w:eastAsia="仿宋_GB2312"/>
          <w:color w:val="000000"/>
          <w:sz w:val="32"/>
          <w:szCs w:val="28"/>
        </w:rPr>
        <w:t xml:space="preserve">  </w:t>
      </w:r>
    </w:p>
    <w:p>
      <w:pPr>
        <w:pageBreakBefore w:val="0"/>
        <w:topLinePunct w:val="0"/>
        <w:bidi w:val="0"/>
        <w:spacing w:after="312" w:afterLines="100" w:line="400" w:lineRule="exact"/>
        <w:outlineLvl w:val="9"/>
        <w:rPr>
          <w:rFonts w:ascii="仿宋" w:hAnsi="仿宋" w:eastAsia="仿宋" w:cs="仿宋"/>
          <w:b/>
          <w:color w:val="000000"/>
          <w:kern w:val="0"/>
          <w:sz w:val="30"/>
          <w:szCs w:val="30"/>
        </w:rPr>
      </w:pPr>
      <w:r>
        <w:rPr>
          <w:rFonts w:hint="eastAsia" w:ascii="黑体" w:eastAsia="黑体"/>
          <w:color w:val="FF0000"/>
          <w:u w:val="thick"/>
        </w:rPr>
        <w:t xml:space="preserve">                                                          </w:t>
      </w:r>
      <w:r>
        <w:rPr>
          <w:rFonts w:ascii="黑体" w:eastAsia="黑体"/>
          <w:color w:val="FF0000"/>
          <w:u w:val="thick"/>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color w:val="000000"/>
          <w:kern w:val="0"/>
          <w:sz w:val="36"/>
          <w:szCs w:val="36"/>
        </w:rPr>
      </w:pPr>
      <w:bookmarkStart w:id="377" w:name="_Toc32205"/>
      <w:r>
        <w:rPr>
          <w:rFonts w:hint="eastAsia" w:ascii="黑体" w:hAnsi="黑体" w:eastAsia="黑体" w:cs="黑体"/>
          <w:b/>
          <w:kern w:val="0"/>
          <w:sz w:val="36"/>
          <w:szCs w:val="36"/>
        </w:rPr>
        <w:t>关于印发《上海电子信息职业技术学院教学事故认定及处理办法》的通知</w:t>
      </w:r>
      <w:bookmarkEnd w:id="377"/>
    </w:p>
    <w:p>
      <w:pPr>
        <w:pageBreakBefore w:val="0"/>
        <w:topLinePunct w:val="0"/>
        <w:bidi w:val="0"/>
        <w:spacing w:before="312" w:beforeLines="100" w:line="560" w:lineRule="exact"/>
        <w:jc w:val="left"/>
        <w:outlineLvl w:val="9"/>
        <w:rPr>
          <w:rFonts w:hint="eastAsia" w:ascii="仿宋_GB2312" w:eastAsia="仿宋_GB2312"/>
          <w:color w:val="000000"/>
          <w:kern w:val="0"/>
          <w:sz w:val="28"/>
          <w:szCs w:val="28"/>
        </w:rPr>
      </w:pPr>
    </w:p>
    <w:p>
      <w:pPr>
        <w:pageBreakBefore w:val="0"/>
        <w:topLinePunct w:val="0"/>
        <w:bidi w:val="0"/>
        <w:spacing w:before="312" w:beforeLines="100" w:line="560" w:lineRule="exact"/>
        <w:jc w:val="left"/>
        <w:outlineLvl w:val="9"/>
        <w:rPr>
          <w:rFonts w:ascii="仿宋_GB2312" w:eastAsia="仿宋_GB2312"/>
          <w:color w:val="000000"/>
          <w:kern w:val="0"/>
          <w:sz w:val="28"/>
          <w:szCs w:val="28"/>
        </w:rPr>
      </w:pPr>
      <w:r>
        <w:rPr>
          <w:rFonts w:hint="eastAsia" w:ascii="仿宋_GB2312" w:eastAsia="仿宋_GB2312"/>
          <w:color w:val="000000"/>
          <w:kern w:val="0"/>
          <w:sz w:val="28"/>
          <w:szCs w:val="28"/>
        </w:rPr>
        <w:t>各教学单位、职能部门：</w:t>
      </w:r>
    </w:p>
    <w:p>
      <w:pPr>
        <w:pageBreakBefore w:val="0"/>
        <w:topLinePunct w:val="0"/>
        <w:bidi w:val="0"/>
        <w:spacing w:after="312" w:afterLines="100" w:line="400" w:lineRule="exact"/>
        <w:ind w:firstLine="560" w:firstLineChars="200"/>
        <w:jc w:val="left"/>
        <w:outlineLvl w:val="9"/>
        <w:rPr>
          <w:rFonts w:hint="eastAsia" w:ascii="仿宋_GB2312" w:eastAsia="仿宋_GB2312"/>
          <w:color w:val="000000"/>
          <w:kern w:val="0"/>
          <w:sz w:val="28"/>
          <w:szCs w:val="28"/>
        </w:rPr>
      </w:pPr>
    </w:p>
    <w:p>
      <w:pPr>
        <w:pageBreakBefore w:val="0"/>
        <w:topLinePunct w:val="0"/>
        <w:bidi w:val="0"/>
        <w:spacing w:after="312" w:afterLines="100" w:line="400" w:lineRule="exact"/>
        <w:ind w:firstLine="560" w:firstLineChars="200"/>
        <w:jc w:val="left"/>
        <w:outlineLvl w:val="9"/>
        <w:rPr>
          <w:rFonts w:ascii="仿宋_GB2312" w:hAnsi="Calibri" w:eastAsia="仿宋_GB2312"/>
          <w:color w:val="000000"/>
          <w:kern w:val="0"/>
          <w:sz w:val="28"/>
          <w:szCs w:val="28"/>
        </w:rPr>
      </w:pPr>
      <w:r>
        <w:rPr>
          <w:rFonts w:hint="eastAsia" w:ascii="仿宋_GB2312" w:eastAsia="仿宋_GB2312"/>
          <w:color w:val="000000"/>
          <w:kern w:val="0"/>
          <w:sz w:val="28"/>
          <w:szCs w:val="28"/>
        </w:rPr>
        <w:t>现将《上海电子信息职业技术学院教学事故认定及处理办法》印发给你们，请结合本部门工作实际，认真研究执行。</w:t>
      </w:r>
    </w:p>
    <w:p>
      <w:pPr>
        <w:pageBreakBefore w:val="0"/>
        <w:widowControl/>
        <w:topLinePunct w:val="0"/>
        <w:bidi w:val="0"/>
        <w:spacing w:line="500" w:lineRule="exact"/>
        <w:ind w:left="1478" w:leftChars="304" w:hanging="840" w:hangingChars="300"/>
        <w:jc w:val="left"/>
        <w:outlineLvl w:val="9"/>
        <w:rPr>
          <w:rFonts w:ascii="仿宋_GB2312" w:hAnsi="宋体" w:eastAsia="仿宋_GB2312" w:cs="宋体"/>
          <w:kern w:val="0"/>
          <w:sz w:val="28"/>
          <w:szCs w:val="28"/>
        </w:rPr>
      </w:pPr>
      <w:r>
        <w:rPr>
          <w:rFonts w:hint="eastAsia" w:ascii="仿宋_GB2312" w:hAnsi="Calibri" w:eastAsia="仿宋_GB2312"/>
          <w:color w:val="000000"/>
          <w:kern w:val="0"/>
          <w:sz w:val="28"/>
          <w:szCs w:val="28"/>
        </w:rPr>
        <w:t>附件：</w:t>
      </w:r>
      <w:r>
        <w:rPr>
          <w:rFonts w:hint="eastAsia" w:ascii="仿宋_GB2312" w:eastAsia="仿宋_GB2312"/>
          <w:color w:val="000000"/>
          <w:kern w:val="0"/>
          <w:sz w:val="28"/>
          <w:szCs w:val="28"/>
        </w:rPr>
        <w:t>上海电子信息职业技术学院教学事故认定及处理办法</w:t>
      </w:r>
    </w:p>
    <w:p>
      <w:pPr>
        <w:pageBreakBefore w:val="0"/>
        <w:topLinePunct w:val="0"/>
        <w:bidi w:val="0"/>
        <w:spacing w:line="500" w:lineRule="exact"/>
        <w:jc w:val="center"/>
        <w:outlineLvl w:val="9"/>
        <w:rPr>
          <w:rFonts w:ascii="仿宋_GB2312" w:eastAsia="仿宋_GB2312"/>
          <w:sz w:val="28"/>
          <w:szCs w:val="28"/>
        </w:rPr>
      </w:pPr>
      <w:r>
        <w:rPr>
          <w:rFonts w:hint="eastAsia" w:ascii="仿宋_GB2312" w:eastAsia="仿宋_GB2312"/>
          <w:sz w:val="28"/>
          <w:szCs w:val="28"/>
        </w:rPr>
        <w:t xml:space="preserve">               </w:t>
      </w:r>
    </w:p>
    <w:p>
      <w:pPr>
        <w:pageBreakBefore w:val="0"/>
        <w:topLinePunct w:val="0"/>
        <w:bidi w:val="0"/>
        <w:spacing w:line="500" w:lineRule="exact"/>
        <w:ind w:left="1693" w:leftChars="806" w:firstLine="1260" w:firstLineChars="450"/>
        <w:outlineLvl w:val="9"/>
        <w:rPr>
          <w:rFonts w:ascii="仿宋_GB2312" w:eastAsia="仿宋_GB2312"/>
          <w:sz w:val="28"/>
          <w:szCs w:val="28"/>
        </w:rPr>
      </w:pPr>
    </w:p>
    <w:p>
      <w:pPr>
        <w:pageBreakBefore w:val="0"/>
        <w:topLinePunct w:val="0"/>
        <w:bidi w:val="0"/>
        <w:spacing w:line="500" w:lineRule="exact"/>
        <w:ind w:left="1693" w:leftChars="806" w:firstLine="1820" w:firstLineChars="650"/>
        <w:outlineLvl w:val="9"/>
        <w:rPr>
          <w:rFonts w:ascii="仿宋_GB2312" w:eastAsia="仿宋_GB2312"/>
          <w:sz w:val="28"/>
          <w:szCs w:val="28"/>
        </w:rPr>
      </w:pPr>
    </w:p>
    <w:p>
      <w:pPr>
        <w:pageBreakBefore w:val="0"/>
        <w:topLinePunct w:val="0"/>
        <w:bidi w:val="0"/>
        <w:spacing w:line="500" w:lineRule="exact"/>
        <w:ind w:left="1693" w:leftChars="806" w:firstLine="1820" w:firstLineChars="650"/>
        <w:jc w:val="right"/>
        <w:outlineLvl w:val="9"/>
        <w:rPr>
          <w:rFonts w:ascii="黑体" w:hAnsi="黑体" w:eastAsia="黑体" w:cs="仿宋"/>
          <w:sz w:val="28"/>
          <w:szCs w:val="28"/>
        </w:rPr>
      </w:pPr>
      <w:r>
        <w:rPr>
          <w:rFonts w:hint="eastAsia" w:ascii="仿宋_GB2312" w:eastAsia="仿宋_GB2312"/>
          <w:sz w:val="28"/>
          <w:szCs w:val="28"/>
        </w:rPr>
        <w:t>上海电子信息职业技术学院</w:t>
      </w:r>
      <w:r>
        <w:rPr>
          <w:rFonts w:hint="eastAsia" w:ascii="仿宋_GB2312" w:eastAsia="仿宋_GB2312"/>
          <w:sz w:val="28"/>
          <w:szCs w:val="28"/>
        </w:rPr>
        <w:br w:type="textWrapping"/>
      </w:r>
      <w:r>
        <w:rPr>
          <w:rFonts w:hint="eastAsia" w:ascii="仿宋_GB2312" w:eastAsia="仿宋_GB2312"/>
          <w:sz w:val="28"/>
          <w:szCs w:val="28"/>
        </w:rPr>
        <w:t xml:space="preserve">                   </w:t>
      </w:r>
      <w:r>
        <w:rPr>
          <w:rFonts w:hint="eastAsia" w:ascii="仿宋_GB2312" w:eastAsia="仿宋_GB2312"/>
          <w:sz w:val="28"/>
          <w:szCs w:val="28"/>
          <w:highlight w:val="none"/>
        </w:rPr>
        <w:t>202</w:t>
      </w:r>
      <w:r>
        <w:rPr>
          <w:rFonts w:hint="eastAsia" w:ascii="仿宋_GB2312" w:eastAsia="仿宋_GB2312"/>
          <w:sz w:val="28"/>
          <w:szCs w:val="28"/>
          <w:highlight w:val="none"/>
          <w:lang w:val="en-US" w:eastAsia="zh-CN"/>
        </w:rPr>
        <w:t>2</w:t>
      </w:r>
      <w:r>
        <w:rPr>
          <w:rFonts w:hint="eastAsia" w:ascii="仿宋_GB2312" w:eastAsia="仿宋_GB2312"/>
          <w:sz w:val="28"/>
          <w:szCs w:val="28"/>
          <w:highlight w:val="none"/>
        </w:rPr>
        <w:t>年</w:t>
      </w:r>
      <w:r>
        <w:rPr>
          <w:rFonts w:hint="eastAsia" w:ascii="仿宋_GB2312" w:eastAsia="仿宋_GB2312"/>
          <w:sz w:val="28"/>
          <w:szCs w:val="28"/>
          <w:highlight w:val="none"/>
          <w:lang w:val="en-US" w:eastAsia="zh-CN"/>
        </w:rPr>
        <w:t>2</w:t>
      </w:r>
      <w:r>
        <w:rPr>
          <w:rFonts w:hint="eastAsia" w:ascii="仿宋_GB2312" w:eastAsia="仿宋_GB2312"/>
          <w:sz w:val="28"/>
          <w:szCs w:val="28"/>
          <w:highlight w:val="none"/>
        </w:rPr>
        <w:t>月</w:t>
      </w:r>
      <w:r>
        <w:rPr>
          <w:rFonts w:hint="eastAsia" w:ascii="仿宋_GB2312" w:eastAsia="仿宋_GB2312"/>
          <w:sz w:val="28"/>
          <w:szCs w:val="28"/>
          <w:highlight w:val="none"/>
          <w:lang w:val="en-US" w:eastAsia="zh-CN"/>
        </w:rPr>
        <w:t>23</w:t>
      </w:r>
      <w:r>
        <w:rPr>
          <w:rFonts w:hint="eastAsia" w:ascii="仿宋_GB2312" w:eastAsia="仿宋_GB2312"/>
          <w:sz w:val="28"/>
          <w:szCs w:val="28"/>
          <w:highlight w:val="none"/>
        </w:rPr>
        <w:t>日</w:t>
      </w:r>
    </w:p>
    <w:p>
      <w:pPr>
        <w:pageBreakBefore w:val="0"/>
        <w:topLinePunct w:val="0"/>
        <w:bidi w:val="0"/>
        <w:spacing w:after="312" w:afterLines="100" w:line="400" w:lineRule="exact"/>
        <w:jc w:val="center"/>
        <w:outlineLvl w:val="9"/>
        <w:rPr>
          <w:rFonts w:ascii="仿宋" w:hAnsi="仿宋" w:eastAsia="仿宋" w:cs="仿宋"/>
          <w:b/>
          <w:color w:val="000000"/>
          <w:kern w:val="0"/>
          <w:sz w:val="28"/>
          <w:szCs w:val="28"/>
        </w:rPr>
      </w:pPr>
    </w:p>
    <w:p>
      <w:pPr>
        <w:pageBreakBefore w:val="0"/>
        <w:topLinePunct w:val="0"/>
        <w:bidi w:val="0"/>
        <w:spacing w:line="360" w:lineRule="auto"/>
        <w:jc w:val="left"/>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附件：</w:t>
      </w:r>
    </w:p>
    <w:p>
      <w:pPr>
        <w:pageBreakBefore w:val="0"/>
        <w:topLinePunct w:val="0"/>
        <w:bidi w:val="0"/>
        <w:spacing w:line="360" w:lineRule="auto"/>
        <w:jc w:val="center"/>
        <w:outlineLvl w:val="9"/>
        <w:rPr>
          <w:rFonts w:hint="eastAsia" w:ascii="黑体" w:hAnsi="黑体" w:eastAsia="黑体" w:cs="黑体"/>
          <w:b/>
          <w:kern w:val="0"/>
          <w:sz w:val="36"/>
          <w:szCs w:val="36"/>
        </w:rPr>
      </w:pPr>
      <w:r>
        <w:rPr>
          <w:rFonts w:hint="eastAsia" w:ascii="黑体" w:hAnsi="黑体" w:eastAsia="黑体" w:cs="黑体"/>
          <w:b/>
          <w:kern w:val="0"/>
          <w:sz w:val="36"/>
          <w:szCs w:val="36"/>
        </w:rPr>
        <w:t>上海电子信息职业技术学院</w:t>
      </w:r>
    </w:p>
    <w:p>
      <w:pPr>
        <w:pageBreakBefore w:val="0"/>
        <w:topLinePunct w:val="0"/>
        <w:bidi w:val="0"/>
        <w:spacing w:line="360" w:lineRule="auto"/>
        <w:jc w:val="center"/>
        <w:outlineLvl w:val="9"/>
        <w:rPr>
          <w:rFonts w:hint="eastAsia" w:ascii="黑体" w:hAnsi="黑体" w:eastAsia="黑体" w:cs="黑体"/>
          <w:b/>
          <w:kern w:val="0"/>
          <w:sz w:val="36"/>
          <w:szCs w:val="36"/>
        </w:rPr>
      </w:pPr>
      <w:r>
        <w:rPr>
          <w:rFonts w:hint="eastAsia" w:ascii="黑体" w:hAnsi="黑体" w:eastAsia="黑体" w:cs="黑体"/>
          <w:b/>
          <w:kern w:val="0"/>
          <w:sz w:val="36"/>
          <w:szCs w:val="36"/>
        </w:rPr>
        <w:t>教学事故认定及处理办法</w:t>
      </w:r>
      <w:bookmarkEnd w:id="374"/>
      <w:bookmarkEnd w:id="375"/>
      <w:bookmarkEnd w:id="376"/>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为进一步规范教学管理，维护正常稳定的教学秩序，保证教学工作有序运行及各教学环节的教学质量，严肃教学纪律，做到从严治教，根据国家和学校有关规定，及时认定和处理各类教学事故，以达到减少直至杜绝的目的，特制定本办法。</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bookmarkStart w:id="378" w:name="_Toc295991890"/>
      <w:r>
        <w:rPr>
          <w:rFonts w:hint="eastAsia" w:ascii="仿宋_GB2312" w:hAnsi="仿宋_GB2312" w:eastAsia="仿宋_GB2312" w:cs="仿宋_GB2312"/>
          <w:b w:val="0"/>
          <w:bCs/>
          <w:kern w:val="0"/>
          <w:sz w:val="28"/>
          <w:szCs w:val="28"/>
          <w:lang w:val="en-US" w:eastAsia="zh-CN"/>
        </w:rPr>
        <w:t>一、教学事故的认定</w:t>
      </w:r>
      <w:bookmarkEnd w:id="378"/>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一）教学事故是指教师（包括外聘教师）、教学管理人员、教学辅助人员在教学组织与运行、考试与成绩评定、教学管理过程中，因过错、过失影响正常教学秩序或影响教学环节的正常实施和教学质量，或出于主观意愿给学校的教学活动造成不良后果的事件或行为。</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（二）教学事故认定范围包括：教学工作、考试工作、教学管理和教学保障工作。</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三）依据教学事故给学校教学活动带来不良后果的程度和影响，由轻到重分为三级：三级教学事故（轻微教学事故）、二级教学事故（一般教学事故）和一级教学事故（严重教学事故）。具体认定标准见《上海电子信息职业技术学院教学事故等级认定表》（附件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bookmarkStart w:id="379" w:name="_Toc295991891"/>
      <w:r>
        <w:rPr>
          <w:rFonts w:hint="eastAsia" w:ascii="仿宋_GB2312" w:hAnsi="仿宋_GB2312" w:eastAsia="仿宋_GB2312" w:cs="仿宋_GB2312"/>
          <w:b w:val="0"/>
          <w:bCs/>
          <w:kern w:val="0"/>
          <w:sz w:val="28"/>
          <w:szCs w:val="28"/>
          <w:lang w:val="en-US" w:eastAsia="zh-CN"/>
        </w:rPr>
        <w:t>二、教学事故的处理</w:t>
      </w:r>
      <w:bookmarkEnd w:id="379"/>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（一）凡被认定为教学事故的当事人，根据实际情况，予以一定范围内的通报。各级教学事故均应在当事人所属部门和任课部门内，以适当方式通报；一级教学事故，还应由教务处以适当方式在学校范围通报。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二）校内专任教师、兼课教师一年内发生一次三级教学事故，年度考核总分扣2分；发生一次二级教学事故，年度考核总分扣5分；发生一次一级教学事故，年度考核总分扣10分，以此累计。校外兼职、兼课教师一年内发生一次一级教学事故或累计两次二级教学事故，停聘一学年，如重新聘任期间，继续发生教学事故，学期结束后不得再聘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（三）发生一次一级教学事故及以上者或一次二级教学事故及以上者或两次三级教学事故及以上者，当年年终考核不能评定为优秀。</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bookmarkStart w:id="380" w:name="_Toc295991892"/>
      <w:r>
        <w:rPr>
          <w:rFonts w:hint="eastAsia" w:ascii="仿宋_GB2312" w:hAnsi="仿宋_GB2312" w:eastAsia="仿宋_GB2312" w:cs="仿宋_GB2312"/>
          <w:b w:val="0"/>
          <w:bCs/>
          <w:kern w:val="0"/>
          <w:sz w:val="28"/>
          <w:szCs w:val="28"/>
          <w:lang w:val="en-US" w:eastAsia="zh-CN"/>
        </w:rPr>
        <w:t>三、教学事故认定程序</w:t>
      </w:r>
      <w:bookmarkEnd w:id="380"/>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一）校内师生和校外督导均可以到学校教务处反映教学异常现象(涉及课堂教学的异常现象时效不超过一个月)。反映人应先填写《教学异常情况报告表》（附件2）并交至教务处，教务处填写《教学异常情况登记表》（附件3）并依据异常情况将表反馈给当事人任课部门或当事人所属部门。相关部门负责人收到《教学异常情况登记表》后，在回执单上签字确认。</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二）当事人相关部门对教学异常现象开展调查，根据《上海电子信息职业技术学院教学事故等级认定表》（附件1）作出处理意见，并在5个工作日内填写《教学异常情况登记表》（附件3）、《教学异常情况处理意见表》（附件4）报送教务处。</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三）教务处根据《上海电子信息职业技术学院教学事故等级认定表》（附件1），结合部门调查情况，在5个工作日内作出处理意见并填写《教学异常情况处理意见表》（附件4）。在教学异常现象调查过程中，如当事人不配合调查，教务处则根据已有的材料给出处理意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四）教务处和当事人相关部门对教学异常情况处理意见一致时，教务处将《教学异常情况处理意见表》（附件4），连同《教学异常情况登记表》（附件3）报学校分管领导审批；教务处和当事人相关部门对教学异常现象处理意见不一致时，由学校分管领导根据《上海电子信息职业技术学院教学事故等级认定表》（附件1），组织教务处负责人、教学运行负责人、教学督导负责人和当事人相关部门党政领导、分工会主席对上报的教学异常现象研究分析，统一意见，作出认定。</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（五）教学事故当事人如果对认定及处理结果有异议，可在收到处理结果后5个工作日内向学校教学工作委员会提出仲裁，逾期视为无异议。</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bookmarkStart w:id="381" w:name="_Toc295991893"/>
      <w:r>
        <w:rPr>
          <w:rFonts w:hint="eastAsia" w:ascii="仿宋_GB2312" w:hAnsi="仿宋_GB2312" w:eastAsia="仿宋_GB2312" w:cs="仿宋_GB2312"/>
          <w:b w:val="0"/>
          <w:bCs/>
          <w:kern w:val="0"/>
          <w:sz w:val="28"/>
          <w:szCs w:val="28"/>
          <w:lang w:val="en-US" w:eastAsia="zh-CN"/>
        </w:rPr>
        <w:t>四、附则</w:t>
      </w:r>
      <w:bookmarkEnd w:id="381"/>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本办法自颁布之日起正式实施，原《上海电子信息职业技术学院教学事故的认定及处理办法（修订）》（沪电信职院〔2021〕53号）废止，由上海电子信息职业技术学院教务处负责解释。</w:t>
      </w:r>
    </w:p>
    <w:p>
      <w:pPr>
        <w:pageBreakBefore w:val="0"/>
        <w:topLinePunct w:val="0"/>
        <w:bidi w:val="0"/>
        <w:spacing w:line="400" w:lineRule="exact"/>
        <w:ind w:firstLine="640" w:firstLineChars="200"/>
        <w:outlineLvl w:val="9"/>
        <w:rPr>
          <w:rFonts w:ascii="仿宋" w:hAnsi="仿宋" w:eastAsia="仿宋" w:cs="仿宋"/>
          <w:color w:val="000000"/>
          <w:sz w:val="32"/>
          <w:szCs w:val="32"/>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附件：1.上海电子信息职业技术学院教学事故等级认定表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2.教学异常情况报告表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3.教学异常情况登记表</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b w:val="0"/>
          <w:bCs/>
          <w:kern w:val="0"/>
          <w:sz w:val="28"/>
          <w:szCs w:val="28"/>
          <w:lang w:val="en-US" w:eastAsia="zh-CN"/>
        </w:rPr>
      </w:pPr>
      <w:r>
        <w:rPr>
          <w:rFonts w:hint="eastAsia" w:ascii="仿宋_GB2312" w:hAnsi="仿宋_GB2312" w:eastAsia="仿宋_GB2312" w:cs="仿宋_GB2312"/>
          <w:b w:val="0"/>
          <w:bCs/>
          <w:kern w:val="0"/>
          <w:sz w:val="28"/>
          <w:szCs w:val="28"/>
          <w:lang w:val="en-US" w:eastAsia="zh-CN"/>
        </w:rPr>
        <w:t>4.教学异常情况处理意见表</w:t>
      </w:r>
    </w:p>
    <w:p>
      <w:pPr>
        <w:pageBreakBefore w:val="0"/>
        <w:topLinePunct w:val="0"/>
        <w:bidi w:val="0"/>
        <w:spacing w:line="400" w:lineRule="exact"/>
        <w:outlineLvl w:val="9"/>
        <w:rPr>
          <w:rFonts w:hint="eastAsia" w:ascii="仿宋" w:hAnsi="仿宋" w:eastAsia="仿宋" w:cs="仿宋"/>
          <w:color w:val="000000"/>
          <w:sz w:val="24"/>
        </w:rPr>
      </w:pPr>
    </w:p>
    <w:p>
      <w:pPr>
        <w:pageBreakBefore w:val="0"/>
        <w:topLinePunct w:val="0"/>
        <w:bidi w:val="0"/>
        <w:spacing w:line="400" w:lineRule="exact"/>
        <w:outlineLvl w:val="9"/>
        <w:rPr>
          <w:rFonts w:hint="eastAsia" w:ascii="仿宋" w:hAnsi="仿宋" w:eastAsia="仿宋" w:cs="仿宋"/>
          <w:color w:val="000000"/>
          <w:sz w:val="24"/>
        </w:rPr>
        <w:sectPr>
          <w:pgSz w:w="11906" w:h="16838"/>
          <w:pgMar w:top="1440" w:right="1803" w:bottom="1440" w:left="1803" w:header="851" w:footer="992" w:gutter="0"/>
          <w:pgNumType w:fmt="decimal"/>
          <w:cols w:space="425" w:num="1"/>
          <w:docGrid w:type="lines" w:linePitch="312" w:charSpace="0"/>
        </w:sectPr>
      </w:pPr>
    </w:p>
    <w:p>
      <w:pPr>
        <w:pageBreakBefore w:val="0"/>
        <w:topLinePunct w:val="0"/>
        <w:bidi w:val="0"/>
        <w:spacing w:line="400" w:lineRule="exact"/>
        <w:outlineLvl w:val="9"/>
        <w:rPr>
          <w:rFonts w:ascii="仿宋" w:hAnsi="仿宋" w:eastAsia="仿宋" w:cs="仿宋"/>
          <w:color w:val="000000"/>
          <w:sz w:val="24"/>
        </w:rPr>
      </w:pPr>
      <w:r>
        <w:rPr>
          <w:rFonts w:hint="eastAsia" w:ascii="仿宋" w:hAnsi="仿宋" w:eastAsia="仿宋" w:cs="仿宋"/>
          <w:color w:val="000000"/>
          <w:sz w:val="24"/>
        </w:rPr>
        <w:t>附件1</w:t>
      </w:r>
    </w:p>
    <w:p>
      <w:pPr>
        <w:pageBreakBefore w:val="0"/>
        <w:topLinePunct w:val="0"/>
        <w:bidi w:val="0"/>
        <w:spacing w:after="312" w:afterLines="100" w:line="400" w:lineRule="exact"/>
        <w:jc w:val="center"/>
        <w:outlineLvl w:val="9"/>
        <w:rPr>
          <w:rFonts w:ascii="仿宋" w:hAnsi="仿宋" w:eastAsia="仿宋" w:cs="仿宋"/>
          <w:color w:val="000000"/>
          <w:sz w:val="28"/>
          <w:szCs w:val="28"/>
        </w:rPr>
      </w:pPr>
      <w:r>
        <w:rPr>
          <w:rFonts w:hint="eastAsia" w:ascii="仿宋" w:hAnsi="仿宋" w:eastAsia="仿宋" w:cs="仿宋"/>
          <w:color w:val="000000"/>
          <w:sz w:val="28"/>
          <w:szCs w:val="28"/>
        </w:rPr>
        <w:t>上海电子信息职业技术学院教学事故等级认定表</w:t>
      </w:r>
    </w:p>
    <w:tbl>
      <w:tblPr>
        <w:tblStyle w:val="37"/>
        <w:tblW w:w="13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4394"/>
        <w:gridCol w:w="4395"/>
        <w:gridCol w:w="4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blHeader/>
          <w:jc w:val="center"/>
        </w:trPr>
        <w:tc>
          <w:tcPr>
            <w:tcW w:w="881" w:type="dxa"/>
            <w:tcBorders>
              <w:tl2br w:val="single" w:color="auto" w:sz="4" w:space="0"/>
            </w:tcBorders>
            <w:noWrap w:val="0"/>
            <w:vAlign w:val="center"/>
          </w:tcPr>
          <w:p>
            <w:pPr>
              <w:pageBreakBefore w:val="0"/>
              <w:topLinePunct w:val="0"/>
              <w:bidi w:val="0"/>
              <w:jc w:val="right"/>
              <w:outlineLvl w:val="9"/>
              <w:rPr>
                <w:rFonts w:ascii="仿宋" w:hAnsi="仿宋" w:eastAsia="仿宋" w:cs="仿宋"/>
                <w:b/>
                <w:color w:val="000000"/>
                <w:szCs w:val="21"/>
              </w:rPr>
            </w:pPr>
            <w:r>
              <w:rPr>
                <w:rFonts w:hint="eastAsia" w:ascii="仿宋" w:hAnsi="仿宋" w:eastAsia="仿宋" w:cs="仿宋"/>
                <w:b/>
                <w:color w:val="000000"/>
                <w:szCs w:val="21"/>
              </w:rPr>
              <w:t>等级</w:t>
            </w:r>
            <w:r>
              <w:rPr>
                <w:rFonts w:ascii="仿宋" w:hAnsi="仿宋" w:eastAsia="仿宋" w:cs="仿宋"/>
                <w:color w:val="000000"/>
                <w:szCs w:val="21"/>
              </w:rPr>
              <w:t xml:space="preserve"> </w:t>
            </w:r>
            <w:r>
              <w:rPr>
                <w:rFonts w:hint="eastAsia" w:ascii="仿宋" w:hAnsi="仿宋" w:eastAsia="仿宋" w:cs="仿宋"/>
                <w:b/>
                <w:color w:val="000000"/>
                <w:szCs w:val="21"/>
              </w:rPr>
              <w:t>内容</w:t>
            </w:r>
          </w:p>
          <w:p>
            <w:pPr>
              <w:pageBreakBefore w:val="0"/>
              <w:topLinePunct w:val="0"/>
              <w:bidi w:val="0"/>
              <w:outlineLvl w:val="9"/>
              <w:rPr>
                <w:rFonts w:ascii="仿宋" w:hAnsi="仿宋" w:eastAsia="仿宋" w:cs="仿宋"/>
                <w:b/>
                <w:color w:val="000000"/>
                <w:szCs w:val="21"/>
              </w:rPr>
            </w:pPr>
            <w:r>
              <w:rPr>
                <w:rFonts w:hint="eastAsia" w:ascii="仿宋" w:hAnsi="仿宋" w:eastAsia="仿宋" w:cs="仿宋"/>
                <w:b/>
                <w:color w:val="000000"/>
                <w:szCs w:val="21"/>
              </w:rPr>
              <w:t>类别</w:t>
            </w:r>
          </w:p>
        </w:tc>
        <w:tc>
          <w:tcPr>
            <w:tcW w:w="4394" w:type="dxa"/>
            <w:noWrap w:val="0"/>
            <w:vAlign w:val="center"/>
          </w:tcPr>
          <w:p>
            <w:pPr>
              <w:pageBreakBefore w:val="0"/>
              <w:topLinePunct w:val="0"/>
              <w:bidi w:val="0"/>
              <w:jc w:val="center"/>
              <w:outlineLvl w:val="9"/>
              <w:rPr>
                <w:rFonts w:ascii="仿宋" w:hAnsi="仿宋" w:eastAsia="仿宋" w:cs="仿宋"/>
                <w:b/>
                <w:color w:val="000000"/>
                <w:szCs w:val="21"/>
              </w:rPr>
            </w:pPr>
            <w:r>
              <w:rPr>
                <w:rFonts w:hint="eastAsia" w:ascii="仿宋" w:hAnsi="仿宋" w:eastAsia="仿宋" w:cs="仿宋"/>
                <w:b/>
                <w:color w:val="000000"/>
                <w:szCs w:val="21"/>
              </w:rPr>
              <w:t>三级教学事故</w:t>
            </w:r>
          </w:p>
          <w:p>
            <w:pPr>
              <w:pageBreakBefore w:val="0"/>
              <w:topLinePunct w:val="0"/>
              <w:bidi w:val="0"/>
              <w:jc w:val="center"/>
              <w:outlineLvl w:val="9"/>
              <w:rPr>
                <w:rFonts w:ascii="仿宋" w:hAnsi="仿宋" w:eastAsia="仿宋" w:cs="仿宋"/>
                <w:b/>
                <w:color w:val="000000"/>
                <w:szCs w:val="21"/>
              </w:rPr>
            </w:pPr>
            <w:r>
              <w:rPr>
                <w:rFonts w:ascii="仿宋" w:hAnsi="仿宋" w:eastAsia="仿宋" w:cs="仿宋"/>
                <w:b/>
                <w:color w:val="000000"/>
                <w:szCs w:val="21"/>
              </w:rPr>
              <w:t>（</w:t>
            </w:r>
            <w:r>
              <w:rPr>
                <w:rFonts w:hint="eastAsia" w:ascii="仿宋" w:hAnsi="仿宋" w:eastAsia="仿宋" w:cs="仿宋"/>
                <w:b/>
                <w:color w:val="000000"/>
                <w:szCs w:val="21"/>
              </w:rPr>
              <w:t>轻微教学事故</w:t>
            </w:r>
            <w:r>
              <w:rPr>
                <w:rFonts w:ascii="仿宋" w:hAnsi="仿宋" w:eastAsia="仿宋" w:cs="仿宋"/>
                <w:b/>
                <w:color w:val="000000"/>
                <w:szCs w:val="21"/>
              </w:rPr>
              <w:t>）</w:t>
            </w:r>
          </w:p>
        </w:tc>
        <w:tc>
          <w:tcPr>
            <w:tcW w:w="4395" w:type="dxa"/>
            <w:noWrap w:val="0"/>
            <w:vAlign w:val="center"/>
          </w:tcPr>
          <w:p>
            <w:pPr>
              <w:pageBreakBefore w:val="0"/>
              <w:topLinePunct w:val="0"/>
              <w:bidi w:val="0"/>
              <w:jc w:val="center"/>
              <w:outlineLvl w:val="9"/>
              <w:rPr>
                <w:rFonts w:ascii="仿宋" w:hAnsi="仿宋" w:eastAsia="仿宋" w:cs="仿宋"/>
                <w:b/>
                <w:color w:val="000000"/>
                <w:szCs w:val="21"/>
              </w:rPr>
            </w:pPr>
            <w:r>
              <w:rPr>
                <w:rFonts w:hint="eastAsia" w:ascii="仿宋" w:hAnsi="仿宋" w:eastAsia="仿宋" w:cs="仿宋"/>
                <w:b/>
                <w:color w:val="000000"/>
                <w:szCs w:val="21"/>
              </w:rPr>
              <w:t>二级教学事故</w:t>
            </w:r>
          </w:p>
          <w:p>
            <w:pPr>
              <w:pageBreakBefore w:val="0"/>
              <w:topLinePunct w:val="0"/>
              <w:bidi w:val="0"/>
              <w:jc w:val="center"/>
              <w:outlineLvl w:val="9"/>
              <w:rPr>
                <w:rFonts w:ascii="仿宋" w:hAnsi="仿宋" w:eastAsia="仿宋" w:cs="仿宋"/>
                <w:b/>
                <w:color w:val="000000"/>
                <w:szCs w:val="21"/>
              </w:rPr>
            </w:pPr>
            <w:r>
              <w:rPr>
                <w:rFonts w:ascii="仿宋" w:hAnsi="仿宋" w:eastAsia="仿宋" w:cs="仿宋"/>
                <w:b/>
                <w:color w:val="000000"/>
                <w:szCs w:val="21"/>
              </w:rPr>
              <w:t>（</w:t>
            </w:r>
            <w:r>
              <w:rPr>
                <w:rFonts w:hint="eastAsia" w:ascii="仿宋" w:hAnsi="仿宋" w:eastAsia="仿宋" w:cs="仿宋"/>
                <w:b/>
                <w:color w:val="000000"/>
                <w:szCs w:val="21"/>
              </w:rPr>
              <w:t>一般教学事故</w:t>
            </w:r>
            <w:r>
              <w:rPr>
                <w:rFonts w:ascii="仿宋" w:hAnsi="仿宋" w:eastAsia="仿宋" w:cs="仿宋"/>
                <w:b/>
                <w:color w:val="000000"/>
                <w:szCs w:val="21"/>
              </w:rPr>
              <w:t>）</w:t>
            </w:r>
          </w:p>
        </w:tc>
        <w:tc>
          <w:tcPr>
            <w:tcW w:w="4217" w:type="dxa"/>
            <w:noWrap w:val="0"/>
            <w:vAlign w:val="center"/>
          </w:tcPr>
          <w:p>
            <w:pPr>
              <w:pageBreakBefore w:val="0"/>
              <w:topLinePunct w:val="0"/>
              <w:bidi w:val="0"/>
              <w:jc w:val="center"/>
              <w:outlineLvl w:val="9"/>
              <w:rPr>
                <w:rFonts w:ascii="仿宋" w:hAnsi="仿宋" w:eastAsia="仿宋" w:cs="仿宋"/>
                <w:b/>
                <w:color w:val="000000"/>
                <w:szCs w:val="21"/>
              </w:rPr>
            </w:pPr>
            <w:r>
              <w:rPr>
                <w:rFonts w:hint="eastAsia" w:ascii="仿宋" w:hAnsi="仿宋" w:eastAsia="仿宋" w:cs="仿宋"/>
                <w:b/>
                <w:color w:val="000000"/>
                <w:szCs w:val="21"/>
              </w:rPr>
              <w:t>一级教学事故</w:t>
            </w:r>
          </w:p>
          <w:p>
            <w:pPr>
              <w:pageBreakBefore w:val="0"/>
              <w:topLinePunct w:val="0"/>
              <w:bidi w:val="0"/>
              <w:jc w:val="center"/>
              <w:outlineLvl w:val="9"/>
              <w:rPr>
                <w:rFonts w:ascii="仿宋" w:hAnsi="仿宋" w:eastAsia="仿宋" w:cs="仿宋"/>
                <w:b/>
                <w:color w:val="000000"/>
                <w:szCs w:val="21"/>
              </w:rPr>
            </w:pPr>
            <w:r>
              <w:rPr>
                <w:rFonts w:ascii="仿宋" w:hAnsi="仿宋" w:eastAsia="仿宋" w:cs="仿宋"/>
                <w:b/>
                <w:color w:val="000000"/>
                <w:szCs w:val="21"/>
              </w:rPr>
              <w:t>（</w:t>
            </w:r>
            <w:r>
              <w:rPr>
                <w:rFonts w:hint="eastAsia" w:ascii="仿宋" w:hAnsi="仿宋" w:eastAsia="仿宋" w:cs="仿宋"/>
                <w:b/>
                <w:color w:val="000000"/>
                <w:szCs w:val="21"/>
              </w:rPr>
              <w:t>严重教学事故</w:t>
            </w:r>
            <w:r>
              <w:rPr>
                <w:rFonts w:ascii="仿宋" w:hAnsi="仿宋" w:eastAsia="仿宋" w:cs="仿宋"/>
                <w:b/>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8" w:hRule="atLeast"/>
          <w:jc w:val="center"/>
        </w:trPr>
        <w:tc>
          <w:tcPr>
            <w:tcW w:w="881" w:type="dxa"/>
            <w:noWrap w:val="0"/>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教学</w:t>
            </w:r>
          </w:p>
        </w:tc>
        <w:tc>
          <w:tcPr>
            <w:tcW w:w="4394" w:type="dxa"/>
            <w:noWrap w:val="0"/>
            <w:vAlign w:val="top"/>
          </w:tcPr>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1.</w:t>
            </w:r>
            <w:r>
              <w:rPr>
                <w:rFonts w:hint="eastAsia" w:ascii="仿宋" w:hAnsi="仿宋" w:eastAsia="仿宋" w:cs="仿宋"/>
                <w:color w:val="000000"/>
                <w:szCs w:val="21"/>
              </w:rPr>
              <w:t>未经所属教学单位和教学主管部门同意，或未办理有关手续，教师擅自变动上课时间和地点。</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2.教师上课迟到或提前下课5</w:t>
            </w:r>
            <w:r>
              <w:rPr>
                <w:rFonts w:hint="eastAsia" w:ascii="仿宋" w:hAnsi="仿宋" w:eastAsia="仿宋" w:cs="仿宋"/>
                <w:color w:val="000000"/>
                <w:szCs w:val="21"/>
              </w:rPr>
              <w:t>分钟以内</w:t>
            </w:r>
            <w:r>
              <w:rPr>
                <w:rFonts w:ascii="仿宋" w:hAnsi="仿宋" w:eastAsia="仿宋" w:cs="仿宋"/>
                <w:color w:val="000000"/>
                <w:szCs w:val="21"/>
              </w:rPr>
              <w:t>(含5</w:t>
            </w:r>
            <w:r>
              <w:rPr>
                <w:rFonts w:hint="eastAsia" w:ascii="仿宋" w:hAnsi="仿宋" w:eastAsia="仿宋" w:cs="仿宋"/>
                <w:color w:val="000000"/>
                <w:szCs w:val="21"/>
              </w:rPr>
              <w:t>分钟</w:t>
            </w:r>
            <w:r>
              <w:rPr>
                <w:rFonts w:ascii="仿宋" w:hAnsi="仿宋" w:eastAsia="仿宋" w:cs="仿宋"/>
                <w:color w:val="000000"/>
                <w:szCs w:val="21"/>
              </w:rPr>
              <w:t>) （</w:t>
            </w:r>
            <w:r>
              <w:rPr>
                <w:rFonts w:hint="eastAsia" w:ascii="仿宋" w:hAnsi="仿宋" w:eastAsia="仿宋" w:cs="仿宋"/>
                <w:color w:val="000000"/>
                <w:szCs w:val="21"/>
              </w:rPr>
              <w:t>不可抗力原因除外）并未征得所属教学单位或教学主管部门同意；上课</w:t>
            </w:r>
            <w:r>
              <w:rPr>
                <w:rFonts w:ascii="仿宋" w:hAnsi="仿宋" w:eastAsia="仿宋" w:cs="仿宋"/>
                <w:color w:val="000000"/>
                <w:szCs w:val="21"/>
              </w:rPr>
              <w:t>中途</w:t>
            </w:r>
            <w:r>
              <w:rPr>
                <w:rFonts w:hint="eastAsia" w:ascii="仿宋" w:hAnsi="仿宋" w:eastAsia="仿宋" w:cs="仿宋"/>
                <w:color w:val="000000"/>
                <w:szCs w:val="21"/>
              </w:rPr>
              <w:t>无特殊原因，未经批准</w:t>
            </w:r>
            <w:r>
              <w:rPr>
                <w:rFonts w:ascii="仿宋" w:hAnsi="仿宋" w:eastAsia="仿宋" w:cs="仿宋"/>
                <w:color w:val="000000"/>
                <w:szCs w:val="21"/>
              </w:rPr>
              <w:t>离开课堂5分钟以内(含5分钟)</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kern w:val="0"/>
                <w:szCs w:val="21"/>
              </w:rPr>
            </w:pPr>
            <w:r>
              <w:rPr>
                <w:rFonts w:ascii="仿宋" w:hAnsi="仿宋" w:eastAsia="仿宋" w:cs="仿宋"/>
                <w:color w:val="000000"/>
                <w:szCs w:val="21"/>
              </w:rPr>
              <w:t>3.教师在上课过程中</w:t>
            </w:r>
            <w:r>
              <w:rPr>
                <w:rFonts w:hint="eastAsia" w:ascii="仿宋" w:hAnsi="仿宋" w:eastAsia="仿宋" w:cs="仿宋"/>
                <w:color w:val="000000"/>
                <w:kern w:val="0"/>
                <w:szCs w:val="21"/>
              </w:rPr>
              <w:t>使用手机等通信工具办理与课堂无关事宜，时间累计不超过</w:t>
            </w:r>
            <w:r>
              <w:rPr>
                <w:rFonts w:ascii="仿宋" w:hAnsi="仿宋" w:eastAsia="仿宋" w:cs="仿宋"/>
                <w:color w:val="000000"/>
                <w:kern w:val="0"/>
                <w:szCs w:val="21"/>
              </w:rPr>
              <w:t>5分钟（含5分钟）</w:t>
            </w:r>
            <w:r>
              <w:rPr>
                <w:rFonts w:hint="eastAsia" w:ascii="仿宋" w:hAnsi="仿宋" w:eastAsia="仿宋" w:cs="仿宋"/>
                <w:color w:val="000000"/>
                <w:kern w:val="0"/>
                <w:szCs w:val="21"/>
              </w:rPr>
              <w:t>。</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4.教师上课不带教案、教材、教具等必备的教学资料或工具，或</w:t>
            </w:r>
            <w:r>
              <w:rPr>
                <w:rFonts w:hint="eastAsia" w:ascii="仿宋" w:hAnsi="仿宋" w:eastAsia="仿宋" w:cs="仿宋"/>
                <w:color w:val="000000"/>
                <w:szCs w:val="21"/>
              </w:rPr>
              <w:t>课程设计及实验、实习前准备不足，而影响正常教学。</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5.教师未严格执行</w:t>
            </w:r>
            <w:r>
              <w:rPr>
                <w:rFonts w:hint="eastAsia" w:ascii="仿宋" w:hAnsi="仿宋" w:eastAsia="仿宋" w:cs="仿宋"/>
                <w:color w:val="000000"/>
                <w:szCs w:val="21"/>
              </w:rPr>
              <w:t>课程标准</w:t>
            </w:r>
            <w:r>
              <w:rPr>
                <w:rFonts w:ascii="仿宋" w:hAnsi="仿宋" w:eastAsia="仿宋" w:cs="仿宋"/>
                <w:color w:val="000000"/>
                <w:szCs w:val="21"/>
              </w:rPr>
              <w:t>、教学进度表</w:t>
            </w:r>
            <w:r>
              <w:rPr>
                <w:rFonts w:hint="eastAsia" w:ascii="仿宋" w:hAnsi="仿宋" w:eastAsia="仿宋" w:cs="仿宋"/>
                <w:color w:val="000000"/>
                <w:szCs w:val="21"/>
              </w:rPr>
              <w:t>等</w:t>
            </w:r>
            <w:r>
              <w:rPr>
                <w:rFonts w:ascii="仿宋" w:hAnsi="仿宋" w:eastAsia="仿宋" w:cs="仿宋"/>
                <w:color w:val="000000"/>
                <w:szCs w:val="21"/>
              </w:rPr>
              <w:t>教学文件规定，</w:t>
            </w:r>
            <w:r>
              <w:rPr>
                <w:rFonts w:hint="eastAsia" w:ascii="仿宋" w:hAnsi="仿宋" w:eastAsia="仿宋" w:cs="仿宋"/>
                <w:color w:val="000000"/>
                <w:szCs w:val="21"/>
              </w:rPr>
              <w:t>提前或滞后</w:t>
            </w:r>
            <w:r>
              <w:rPr>
                <w:rFonts w:ascii="仿宋" w:hAnsi="仿宋" w:eastAsia="仿宋" w:cs="仿宋"/>
                <w:color w:val="000000"/>
                <w:szCs w:val="21"/>
              </w:rPr>
              <w:t>8课时以上（含8课时）</w:t>
            </w:r>
            <w:r>
              <w:rPr>
                <w:rFonts w:hint="eastAsia" w:ascii="仿宋" w:hAnsi="仿宋" w:eastAsia="仿宋" w:cs="仿宋"/>
                <w:color w:val="000000"/>
                <w:szCs w:val="21"/>
              </w:rPr>
              <w:t>。</w:t>
            </w:r>
            <w:r>
              <w:rPr>
                <w:rFonts w:ascii="仿宋" w:hAnsi="仿宋" w:eastAsia="仿宋" w:cs="仿宋"/>
                <w:color w:val="000000"/>
                <w:szCs w:val="21"/>
              </w:rPr>
              <w:t xml:space="preserve"> </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6.指导教师、带队教师擅自缩短实践教学内容三分之一以上二分之一以下</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7.</w:t>
            </w:r>
            <w:r>
              <w:rPr>
                <w:rFonts w:hint="eastAsia" w:ascii="仿宋" w:hAnsi="仿宋" w:eastAsia="仿宋" w:cs="仿宋"/>
                <w:color w:val="000000"/>
                <w:szCs w:val="21"/>
              </w:rPr>
              <w:t>践习</w:t>
            </w:r>
            <w:r>
              <w:rPr>
                <w:rFonts w:ascii="仿宋" w:hAnsi="仿宋" w:eastAsia="仿宋" w:cs="仿宋"/>
                <w:color w:val="000000"/>
                <w:szCs w:val="21"/>
              </w:rPr>
              <w:t>期间，带队教师擅自离开工作岗位</w:t>
            </w:r>
            <w:r>
              <w:rPr>
                <w:rFonts w:hint="eastAsia" w:ascii="仿宋" w:hAnsi="仿宋" w:eastAsia="仿宋" w:cs="仿宋"/>
                <w:color w:val="000000"/>
                <w:szCs w:val="21"/>
              </w:rPr>
              <w:t>半天以内</w:t>
            </w:r>
            <w:r>
              <w:rPr>
                <w:rFonts w:ascii="仿宋" w:hAnsi="仿宋" w:eastAsia="仿宋" w:cs="仿宋"/>
                <w:color w:val="000000"/>
                <w:szCs w:val="21"/>
              </w:rPr>
              <w:t>(</w:t>
            </w:r>
            <w:r>
              <w:rPr>
                <w:rFonts w:hint="eastAsia" w:ascii="仿宋" w:hAnsi="仿宋" w:eastAsia="仿宋" w:cs="仿宋"/>
                <w:color w:val="000000"/>
                <w:szCs w:val="21"/>
              </w:rPr>
              <w:t>含半天，一天按8课时计算</w:t>
            </w:r>
            <w:r>
              <w:rPr>
                <w:rFonts w:ascii="仿宋" w:hAnsi="仿宋" w:eastAsia="仿宋" w:cs="仿宋"/>
                <w:color w:val="000000"/>
                <w:szCs w:val="21"/>
              </w:rPr>
              <w:t>)</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8</w:t>
            </w:r>
            <w:r>
              <w:rPr>
                <w:rFonts w:ascii="仿宋" w:hAnsi="仿宋" w:eastAsia="仿宋" w:cs="仿宋"/>
                <w:color w:val="000000"/>
                <w:szCs w:val="21"/>
              </w:rPr>
              <w:t>．指导教师审核通过的学生毕业实习报告</w:t>
            </w:r>
            <w:r>
              <w:rPr>
                <w:rFonts w:hint="eastAsia" w:ascii="仿宋" w:hAnsi="仿宋" w:eastAsia="仿宋" w:cs="仿宋"/>
                <w:color w:val="000000"/>
                <w:szCs w:val="21"/>
              </w:rPr>
              <w:t>严重不符合学校要求或出现雷同抄袭现象。</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9．教师擅自提前进行毕业实习答辩或答辩未按学校的有关规定进行</w:t>
            </w:r>
            <w:r>
              <w:rPr>
                <w:rFonts w:hint="eastAsia" w:ascii="仿宋" w:hAnsi="仿宋" w:eastAsia="仿宋" w:cs="仿宋"/>
                <w:color w:val="000000"/>
                <w:szCs w:val="21"/>
              </w:rPr>
              <w:t>。</w:t>
            </w:r>
          </w:p>
        </w:tc>
        <w:tc>
          <w:tcPr>
            <w:tcW w:w="4395" w:type="dxa"/>
            <w:noWrap w:val="0"/>
            <w:vAlign w:val="top"/>
          </w:tcPr>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1.</w:t>
            </w:r>
            <w:r>
              <w:rPr>
                <w:rFonts w:hint="eastAsia" w:ascii="仿宋" w:hAnsi="仿宋" w:eastAsia="仿宋" w:cs="仿宋"/>
                <w:color w:val="000000"/>
                <w:szCs w:val="21"/>
              </w:rPr>
              <w:t>教师未经所属教学单位和教学主管部门同意，擅自舍弃或变更课程标准内容三分之一以下六分之一以上。</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2.教师上课迟到或提前下课5分钟以上（不含5分钟）</w:t>
            </w:r>
            <w:r>
              <w:rPr>
                <w:rFonts w:hint="eastAsia" w:ascii="仿宋" w:hAnsi="仿宋" w:eastAsia="仿宋" w:cs="仿宋"/>
                <w:color w:val="000000"/>
                <w:szCs w:val="21"/>
              </w:rPr>
              <w:t>15分钟以下</w:t>
            </w:r>
            <w:r>
              <w:rPr>
                <w:rFonts w:ascii="仿宋" w:hAnsi="仿宋" w:eastAsia="仿宋" w:cs="仿宋"/>
                <w:color w:val="000000"/>
                <w:szCs w:val="21"/>
              </w:rPr>
              <w:t>(含</w:t>
            </w:r>
            <w:r>
              <w:rPr>
                <w:rFonts w:hint="eastAsia" w:ascii="仿宋" w:hAnsi="仿宋" w:eastAsia="仿宋" w:cs="仿宋"/>
                <w:color w:val="000000"/>
                <w:szCs w:val="21"/>
              </w:rPr>
              <w:t>15分钟</w:t>
            </w:r>
            <w:r>
              <w:rPr>
                <w:rFonts w:ascii="仿宋" w:hAnsi="仿宋" w:eastAsia="仿宋" w:cs="仿宋"/>
                <w:color w:val="000000"/>
                <w:szCs w:val="21"/>
              </w:rPr>
              <w:t xml:space="preserve">) </w:t>
            </w:r>
            <w:r>
              <w:rPr>
                <w:rFonts w:hint="eastAsia" w:ascii="仿宋" w:hAnsi="仿宋" w:eastAsia="仿宋" w:cs="仿宋"/>
                <w:color w:val="000000"/>
                <w:szCs w:val="21"/>
              </w:rPr>
              <w:t>（不可抗力原因除外）并未征得所属教学单位或教学主管部门同意；上课</w:t>
            </w:r>
            <w:r>
              <w:rPr>
                <w:rFonts w:ascii="仿宋" w:hAnsi="仿宋" w:eastAsia="仿宋" w:cs="仿宋"/>
                <w:color w:val="000000"/>
                <w:szCs w:val="21"/>
              </w:rPr>
              <w:t>中途</w:t>
            </w:r>
            <w:r>
              <w:rPr>
                <w:rFonts w:hint="eastAsia" w:ascii="仿宋" w:hAnsi="仿宋" w:eastAsia="仿宋" w:cs="仿宋"/>
                <w:color w:val="000000"/>
                <w:szCs w:val="21"/>
              </w:rPr>
              <w:t>无特殊原因，未经批准离开课堂</w:t>
            </w:r>
            <w:r>
              <w:rPr>
                <w:rFonts w:ascii="仿宋" w:hAnsi="仿宋" w:eastAsia="仿宋" w:cs="仿宋"/>
                <w:color w:val="000000"/>
                <w:szCs w:val="21"/>
              </w:rPr>
              <w:t>5分钟以上（不含5分钟）</w:t>
            </w:r>
            <w:r>
              <w:rPr>
                <w:rFonts w:hint="eastAsia" w:ascii="仿宋" w:hAnsi="仿宋" w:eastAsia="仿宋" w:cs="仿宋"/>
                <w:color w:val="000000"/>
                <w:szCs w:val="21"/>
              </w:rPr>
              <w:t>15分钟以下</w:t>
            </w:r>
            <w:r>
              <w:rPr>
                <w:rFonts w:ascii="仿宋" w:hAnsi="仿宋" w:eastAsia="仿宋" w:cs="仿宋"/>
                <w:color w:val="000000"/>
                <w:szCs w:val="21"/>
              </w:rPr>
              <w:t>(含</w:t>
            </w:r>
            <w:r>
              <w:rPr>
                <w:rFonts w:hint="eastAsia" w:ascii="仿宋" w:hAnsi="仿宋" w:eastAsia="仿宋" w:cs="仿宋"/>
                <w:color w:val="000000"/>
                <w:szCs w:val="21"/>
              </w:rPr>
              <w:t>15分钟</w:t>
            </w:r>
            <w:r>
              <w:rPr>
                <w:rFonts w:ascii="仿宋" w:hAnsi="仿宋" w:eastAsia="仿宋" w:cs="仿宋"/>
                <w:color w:val="000000"/>
                <w:szCs w:val="21"/>
              </w:rPr>
              <w:t>)</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3.教师在上课过程中</w:t>
            </w:r>
            <w:r>
              <w:rPr>
                <w:rFonts w:hint="eastAsia" w:ascii="仿宋" w:hAnsi="仿宋" w:eastAsia="仿宋" w:cs="仿宋"/>
                <w:color w:val="000000"/>
                <w:kern w:val="0"/>
                <w:szCs w:val="21"/>
              </w:rPr>
              <w:t>使用手机等通信工具办理与课堂无关事宜，时间累计达</w:t>
            </w:r>
            <w:r>
              <w:rPr>
                <w:rFonts w:ascii="仿宋" w:hAnsi="仿宋" w:eastAsia="仿宋" w:cs="仿宋"/>
                <w:color w:val="000000"/>
                <w:kern w:val="0"/>
                <w:szCs w:val="21"/>
              </w:rPr>
              <w:t>5分钟</w:t>
            </w:r>
            <w:r>
              <w:rPr>
                <w:rFonts w:hint="eastAsia" w:ascii="仿宋" w:hAnsi="仿宋" w:eastAsia="仿宋" w:cs="仿宋"/>
                <w:color w:val="000000"/>
                <w:kern w:val="0"/>
                <w:szCs w:val="21"/>
              </w:rPr>
              <w:t>以上（不含</w:t>
            </w:r>
            <w:r>
              <w:rPr>
                <w:rFonts w:ascii="仿宋" w:hAnsi="仿宋" w:eastAsia="仿宋" w:cs="仿宋"/>
                <w:color w:val="000000"/>
                <w:kern w:val="0"/>
                <w:szCs w:val="21"/>
              </w:rPr>
              <w:t>5分钟）15分钟以下（含15分钟）</w:t>
            </w:r>
            <w:r>
              <w:rPr>
                <w:rFonts w:hint="eastAsia" w:ascii="仿宋" w:hAnsi="仿宋" w:eastAsia="仿宋" w:cs="仿宋"/>
                <w:color w:val="000000"/>
                <w:kern w:val="0"/>
                <w:szCs w:val="21"/>
              </w:rPr>
              <w:t>。</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 xml:space="preserve">4. </w:t>
            </w:r>
            <w:r>
              <w:rPr>
                <w:rFonts w:hint="eastAsia" w:ascii="仿宋" w:hAnsi="仿宋" w:eastAsia="仿宋" w:cs="仿宋"/>
                <w:color w:val="000000"/>
                <w:szCs w:val="21"/>
              </w:rPr>
              <w:t>教师在授课过程中，以播放视频、音频、浏览网页等单一形式代替课堂教学，且播放过程中与学生无交流时间超过当次课二分之一课时不足三分之二课时。</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5.</w:t>
            </w:r>
            <w:r>
              <w:rPr>
                <w:rFonts w:hint="eastAsia" w:ascii="仿宋" w:hAnsi="仿宋" w:eastAsia="仿宋" w:cs="仿宋"/>
                <w:color w:val="000000"/>
                <w:szCs w:val="21"/>
              </w:rPr>
              <w:t>教师课堂管理不严格，造成课程秩序混乱，严重影响教学效果，学生反映强烈。</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6.</w:t>
            </w:r>
            <w:r>
              <w:rPr>
                <w:rFonts w:hint="eastAsia" w:ascii="仿宋" w:hAnsi="仿宋" w:eastAsia="仿宋" w:cs="仿宋"/>
                <w:color w:val="000000"/>
                <w:szCs w:val="21"/>
              </w:rPr>
              <w:t>教师实验、实习和其他课程前准备不充分，导致实验、实习及其他课程无法正常开展或严重影响实验、实习及课程教学效果，学生反映强烈。</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7.</w:t>
            </w:r>
            <w:r>
              <w:rPr>
                <w:rFonts w:hint="eastAsia" w:ascii="仿宋" w:hAnsi="仿宋" w:eastAsia="仿宋" w:cs="仿宋"/>
                <w:color w:val="000000"/>
                <w:szCs w:val="21"/>
              </w:rPr>
              <w:t>在校内、外实践教学中，指导教师未按照要求指导学生规范操作仪器设备，造成一般经济损失或一般安全事故。</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8.</w:t>
            </w:r>
            <w:r>
              <w:rPr>
                <w:rFonts w:hint="eastAsia" w:ascii="仿宋" w:hAnsi="仿宋" w:eastAsia="仿宋" w:cs="仿宋"/>
                <w:color w:val="000000"/>
                <w:szCs w:val="21"/>
              </w:rPr>
              <w:t>践习</w:t>
            </w:r>
            <w:r>
              <w:rPr>
                <w:rFonts w:ascii="仿宋" w:hAnsi="仿宋" w:eastAsia="仿宋" w:cs="仿宋"/>
                <w:color w:val="000000"/>
                <w:szCs w:val="21"/>
              </w:rPr>
              <w:t>期间，带队教师擅自离开工作岗位</w:t>
            </w:r>
            <w:r>
              <w:rPr>
                <w:rFonts w:hint="eastAsia" w:ascii="仿宋" w:hAnsi="仿宋" w:eastAsia="仿宋" w:cs="仿宋"/>
                <w:color w:val="000000"/>
                <w:szCs w:val="21"/>
              </w:rPr>
              <w:t>半天以上（不含半天）一天以下（含一天）（一天按8课时计算）。</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9.指导教师、联系教师违反实践单位安全保密规定</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p>
        </w:tc>
        <w:tc>
          <w:tcPr>
            <w:tcW w:w="4217" w:type="dxa"/>
            <w:noWrap w:val="0"/>
            <w:vAlign w:val="top"/>
          </w:tcPr>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1.</w:t>
            </w:r>
            <w:r>
              <w:rPr>
                <w:rFonts w:hint="eastAsia" w:ascii="仿宋" w:hAnsi="仿宋" w:eastAsia="仿宋" w:cs="仿宋"/>
                <w:color w:val="000000"/>
                <w:szCs w:val="21"/>
              </w:rPr>
              <w:t>教师未经所属教学单位和教学主管部门同意，擅自舍弃课程标准内容三分之一及以上。</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2.教师</w:t>
            </w:r>
            <w:r>
              <w:rPr>
                <w:rFonts w:hint="eastAsia" w:ascii="仿宋" w:hAnsi="仿宋" w:eastAsia="仿宋" w:cs="仿宋"/>
                <w:color w:val="000000"/>
                <w:szCs w:val="21"/>
              </w:rPr>
              <w:t>上课迟到或提前下课15分钟以上(不含15分钟) （不可抗力原因除外）并未征得所属教学单位和教学主管部门同意；上课</w:t>
            </w:r>
            <w:r>
              <w:rPr>
                <w:rFonts w:ascii="仿宋" w:hAnsi="仿宋" w:eastAsia="仿宋" w:cs="仿宋"/>
                <w:color w:val="000000"/>
                <w:szCs w:val="21"/>
              </w:rPr>
              <w:t>中途</w:t>
            </w:r>
            <w:r>
              <w:rPr>
                <w:rFonts w:hint="eastAsia" w:ascii="仿宋" w:hAnsi="仿宋" w:eastAsia="仿宋" w:cs="仿宋"/>
                <w:color w:val="000000"/>
                <w:szCs w:val="21"/>
              </w:rPr>
              <w:t>无特殊原因，未经批准离开课堂15</w:t>
            </w:r>
            <w:r>
              <w:rPr>
                <w:rFonts w:ascii="仿宋" w:hAnsi="仿宋" w:eastAsia="仿宋" w:cs="仿宋"/>
                <w:color w:val="000000"/>
                <w:szCs w:val="21"/>
              </w:rPr>
              <w:t>分钟以上</w:t>
            </w:r>
            <w:r>
              <w:rPr>
                <w:rFonts w:hint="eastAsia" w:ascii="仿宋" w:hAnsi="仿宋" w:eastAsia="仿宋" w:cs="仿宋"/>
                <w:color w:val="000000"/>
                <w:szCs w:val="21"/>
              </w:rPr>
              <w:t>（不含1</w:t>
            </w:r>
            <w:r>
              <w:rPr>
                <w:rFonts w:ascii="仿宋" w:hAnsi="仿宋" w:eastAsia="仿宋" w:cs="仿宋"/>
                <w:color w:val="000000"/>
                <w:szCs w:val="21"/>
              </w:rPr>
              <w:t>5</w:t>
            </w:r>
            <w:r>
              <w:rPr>
                <w:rFonts w:hint="eastAsia" w:ascii="仿宋" w:hAnsi="仿宋" w:eastAsia="仿宋" w:cs="仿宋"/>
                <w:color w:val="000000"/>
                <w:szCs w:val="21"/>
              </w:rPr>
              <w:t>分钟）；旷、缺课</w:t>
            </w:r>
            <w:r>
              <w:rPr>
                <w:rFonts w:ascii="仿宋" w:hAnsi="仿宋" w:eastAsia="仿宋" w:cs="仿宋"/>
                <w:color w:val="000000"/>
                <w:szCs w:val="21"/>
              </w:rPr>
              <w:t>1</w:t>
            </w:r>
            <w:r>
              <w:rPr>
                <w:rFonts w:hint="eastAsia" w:ascii="仿宋" w:hAnsi="仿宋" w:eastAsia="仿宋" w:cs="仿宋"/>
                <w:color w:val="000000"/>
                <w:szCs w:val="21"/>
              </w:rPr>
              <w:t>课时及以上（不可抗力原因除外）并未征得所属教学单位和教学主管部门同意；未经所属教学单位和教学主管部门同意，未办理有关手续而擅自停课或找人代课</w:t>
            </w:r>
            <w:r>
              <w:rPr>
                <w:rFonts w:ascii="仿宋" w:hAnsi="仿宋" w:eastAsia="仿宋" w:cs="仿宋"/>
                <w:color w:val="000000"/>
                <w:szCs w:val="21"/>
              </w:rPr>
              <w:t>1</w:t>
            </w:r>
            <w:r>
              <w:rPr>
                <w:rFonts w:hint="eastAsia" w:ascii="仿宋" w:hAnsi="仿宋" w:eastAsia="仿宋" w:cs="仿宋"/>
                <w:color w:val="000000"/>
                <w:szCs w:val="21"/>
              </w:rPr>
              <w:t>课时及以上。</w:t>
            </w:r>
          </w:p>
          <w:p>
            <w:pPr>
              <w:pageBreakBefore w:val="0"/>
              <w:topLinePunct w:val="0"/>
              <w:bidi w:val="0"/>
              <w:spacing w:line="300" w:lineRule="exact"/>
              <w:outlineLvl w:val="9"/>
              <w:rPr>
                <w:rFonts w:ascii="仿宋" w:hAnsi="仿宋" w:eastAsia="仿宋" w:cs="仿宋"/>
                <w:color w:val="000000"/>
                <w:kern w:val="0"/>
                <w:szCs w:val="21"/>
              </w:rPr>
            </w:pPr>
            <w:r>
              <w:rPr>
                <w:rFonts w:ascii="仿宋" w:hAnsi="仿宋" w:eastAsia="仿宋" w:cs="仿宋"/>
                <w:color w:val="000000"/>
                <w:kern w:val="0"/>
                <w:szCs w:val="21"/>
              </w:rPr>
              <w:t>3．</w:t>
            </w:r>
            <w:r>
              <w:rPr>
                <w:rFonts w:hint="eastAsia" w:ascii="仿宋" w:hAnsi="仿宋" w:eastAsia="仿宋" w:cs="仿宋"/>
                <w:color w:val="000000"/>
                <w:szCs w:val="21"/>
              </w:rPr>
              <w:t>教师在上课过程中使用手机等通信工具办理</w:t>
            </w:r>
            <w:r>
              <w:rPr>
                <w:rFonts w:hint="eastAsia" w:ascii="仿宋" w:hAnsi="仿宋" w:eastAsia="仿宋" w:cs="仿宋"/>
                <w:color w:val="000000"/>
                <w:kern w:val="0"/>
                <w:szCs w:val="21"/>
              </w:rPr>
              <w:t>与课堂无关事宜</w:t>
            </w:r>
            <w:r>
              <w:rPr>
                <w:rFonts w:hint="eastAsia" w:ascii="仿宋" w:hAnsi="仿宋" w:eastAsia="仿宋" w:cs="仿宋"/>
                <w:color w:val="000000"/>
                <w:szCs w:val="21"/>
              </w:rPr>
              <w:t>，时间累计超过</w:t>
            </w:r>
            <w:r>
              <w:rPr>
                <w:rFonts w:ascii="仿宋" w:hAnsi="仿宋" w:eastAsia="仿宋" w:cs="仿宋"/>
                <w:color w:val="000000"/>
                <w:szCs w:val="21"/>
              </w:rPr>
              <w:t>15</w:t>
            </w:r>
            <w:r>
              <w:rPr>
                <w:rFonts w:hint="eastAsia" w:ascii="仿宋" w:hAnsi="仿宋" w:eastAsia="仿宋" w:cs="仿宋"/>
                <w:color w:val="000000"/>
                <w:szCs w:val="21"/>
              </w:rPr>
              <w:t>分钟（不含</w:t>
            </w:r>
            <w:r>
              <w:rPr>
                <w:rFonts w:ascii="仿宋" w:hAnsi="仿宋" w:eastAsia="仿宋" w:cs="仿宋"/>
                <w:color w:val="000000"/>
                <w:szCs w:val="21"/>
              </w:rPr>
              <w:t>15分钟）</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kern w:val="0"/>
                <w:szCs w:val="21"/>
              </w:rPr>
              <w:t>4.</w:t>
            </w:r>
            <w:r>
              <w:rPr>
                <w:rFonts w:ascii="仿宋" w:hAnsi="仿宋" w:eastAsia="仿宋" w:cs="仿宋"/>
                <w:color w:val="000000"/>
                <w:szCs w:val="21"/>
              </w:rPr>
              <w:t xml:space="preserve"> </w:t>
            </w:r>
            <w:r>
              <w:rPr>
                <w:rFonts w:hint="eastAsia" w:ascii="仿宋" w:hAnsi="仿宋" w:eastAsia="仿宋" w:cs="仿宋"/>
                <w:color w:val="000000"/>
                <w:szCs w:val="21"/>
              </w:rPr>
              <w:t>教师在授课过程中，以播放视频、音频、浏览网页等单一形式代替课堂教学，且播放过程中与学生无交流超过当次课的三分之二课时。</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5</w:t>
            </w:r>
            <w:r>
              <w:rPr>
                <w:rFonts w:ascii="仿宋" w:hAnsi="仿宋" w:eastAsia="仿宋" w:cs="仿宋"/>
                <w:color w:val="000000"/>
                <w:szCs w:val="21"/>
              </w:rPr>
              <w:t>.教师辱骂学生情节严重或体罚学生</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6</w:t>
            </w:r>
            <w:r>
              <w:rPr>
                <w:rFonts w:ascii="仿宋" w:hAnsi="仿宋" w:eastAsia="仿宋" w:cs="仿宋"/>
                <w:color w:val="000000"/>
                <w:szCs w:val="21"/>
              </w:rPr>
              <w:t>.指导教师、带队教师擅自缩短实践教学内容二分之一及以上。</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7</w:t>
            </w:r>
            <w:r>
              <w:rPr>
                <w:rFonts w:ascii="仿宋" w:hAnsi="仿宋" w:eastAsia="仿宋" w:cs="仿宋"/>
                <w:color w:val="000000"/>
                <w:szCs w:val="21"/>
              </w:rPr>
              <w:t>.</w:t>
            </w:r>
            <w:r>
              <w:rPr>
                <w:rFonts w:hint="eastAsia" w:ascii="仿宋" w:hAnsi="仿宋" w:eastAsia="仿宋" w:cs="仿宋"/>
                <w:color w:val="000000"/>
                <w:szCs w:val="21"/>
              </w:rPr>
              <w:t>践习</w:t>
            </w:r>
            <w:r>
              <w:rPr>
                <w:rFonts w:ascii="仿宋" w:hAnsi="仿宋" w:eastAsia="仿宋" w:cs="仿宋"/>
                <w:color w:val="000000"/>
                <w:szCs w:val="21"/>
              </w:rPr>
              <w:t>期间，带队教师擅自离开工作岗位超过</w:t>
            </w:r>
            <w:r>
              <w:rPr>
                <w:rFonts w:hint="eastAsia" w:ascii="仿宋" w:hAnsi="仿宋" w:eastAsia="仿宋" w:cs="仿宋"/>
                <w:color w:val="000000"/>
                <w:szCs w:val="21"/>
              </w:rPr>
              <w:t>一</w:t>
            </w:r>
            <w:r>
              <w:rPr>
                <w:rFonts w:ascii="仿宋" w:hAnsi="仿宋" w:eastAsia="仿宋" w:cs="仿宋"/>
                <w:color w:val="000000"/>
                <w:szCs w:val="21"/>
              </w:rPr>
              <w:t>天</w:t>
            </w:r>
            <w:r>
              <w:rPr>
                <w:rFonts w:hint="eastAsia" w:ascii="仿宋" w:hAnsi="仿宋" w:eastAsia="仿宋" w:cs="仿宋"/>
                <w:color w:val="000000"/>
                <w:szCs w:val="21"/>
              </w:rPr>
              <w:t>（不含一天，一天按8课时计算）。</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8</w:t>
            </w:r>
            <w:r>
              <w:rPr>
                <w:rFonts w:ascii="仿宋" w:hAnsi="仿宋" w:eastAsia="仿宋" w:cs="仿宋"/>
                <w:color w:val="000000"/>
                <w:szCs w:val="21"/>
              </w:rPr>
              <w:t>.</w:t>
            </w:r>
            <w:r>
              <w:rPr>
                <w:rFonts w:hint="eastAsia" w:ascii="仿宋" w:hAnsi="仿宋" w:eastAsia="仿宋" w:cs="仿宋"/>
                <w:color w:val="000000"/>
                <w:szCs w:val="21"/>
              </w:rPr>
              <w:t>在校内、外实践教学中，指导教师未按照要求指导学生规范操作仪器设备，造成重大经济损失或严重安全事故。</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9</w:t>
            </w:r>
            <w:r>
              <w:rPr>
                <w:rFonts w:ascii="仿宋" w:hAnsi="仿宋" w:eastAsia="仿宋" w:cs="仿宋"/>
                <w:color w:val="000000"/>
                <w:szCs w:val="21"/>
              </w:rPr>
              <w:t>.指导教师、带队教师严重违反实践单位安全保密规定</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 w:type="dxa"/>
            <w:noWrap w:val="0"/>
            <w:vAlign w:val="center"/>
          </w:tcPr>
          <w:p>
            <w:pPr>
              <w:pageBreakBefore w:val="0"/>
              <w:topLinePunct w:val="0"/>
              <w:bidi w:val="0"/>
              <w:spacing w:line="300" w:lineRule="exact"/>
              <w:jc w:val="center"/>
              <w:outlineLvl w:val="9"/>
              <w:rPr>
                <w:rFonts w:ascii="仿宋" w:hAnsi="仿宋" w:eastAsia="仿宋" w:cs="仿宋"/>
                <w:color w:val="000000"/>
                <w:szCs w:val="21"/>
              </w:rPr>
            </w:pPr>
            <w:r>
              <w:rPr>
                <w:rFonts w:hint="eastAsia" w:ascii="仿宋" w:hAnsi="仿宋" w:eastAsia="仿宋" w:cs="仿宋"/>
                <w:color w:val="000000"/>
                <w:szCs w:val="21"/>
              </w:rPr>
              <w:t>考试与</w:t>
            </w:r>
          </w:p>
          <w:p>
            <w:pPr>
              <w:pageBreakBefore w:val="0"/>
              <w:topLinePunct w:val="0"/>
              <w:bidi w:val="0"/>
              <w:spacing w:line="300" w:lineRule="exact"/>
              <w:jc w:val="center"/>
              <w:outlineLvl w:val="9"/>
              <w:rPr>
                <w:rFonts w:ascii="仿宋" w:hAnsi="仿宋" w:eastAsia="仿宋" w:cs="仿宋"/>
                <w:color w:val="000000"/>
                <w:szCs w:val="21"/>
              </w:rPr>
            </w:pPr>
            <w:r>
              <w:rPr>
                <w:rFonts w:hint="eastAsia" w:ascii="仿宋" w:hAnsi="仿宋" w:eastAsia="仿宋" w:cs="仿宋"/>
                <w:color w:val="000000"/>
                <w:szCs w:val="21"/>
              </w:rPr>
              <w:t>成绩评定</w:t>
            </w:r>
          </w:p>
        </w:tc>
        <w:tc>
          <w:tcPr>
            <w:tcW w:w="4394" w:type="dxa"/>
            <w:noWrap w:val="0"/>
            <w:vAlign w:val="top"/>
          </w:tcPr>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1.教师未经所属教学单位</w:t>
            </w:r>
            <w:r>
              <w:rPr>
                <w:rFonts w:hint="eastAsia" w:ascii="仿宋" w:hAnsi="仿宋" w:eastAsia="仿宋" w:cs="仿宋"/>
                <w:color w:val="000000"/>
                <w:szCs w:val="21"/>
              </w:rPr>
              <w:t>或教学主管部门同意，并未办理有关手续，擅自找人代监考。</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2.监考教师迟到</w:t>
            </w:r>
            <w:r>
              <w:rPr>
                <w:rFonts w:hint="eastAsia" w:ascii="仿宋" w:hAnsi="仿宋" w:eastAsia="仿宋" w:cs="仿宋"/>
                <w:color w:val="000000"/>
                <w:szCs w:val="21"/>
              </w:rPr>
              <w:t>不超过</w:t>
            </w:r>
            <w:r>
              <w:rPr>
                <w:rFonts w:ascii="仿宋" w:hAnsi="仿宋" w:eastAsia="仿宋" w:cs="仿宋"/>
                <w:color w:val="000000"/>
                <w:szCs w:val="21"/>
              </w:rPr>
              <w:t>5分钟（含5分钟）</w:t>
            </w:r>
            <w:r>
              <w:rPr>
                <w:rFonts w:hint="eastAsia" w:ascii="仿宋" w:hAnsi="仿宋" w:eastAsia="仿宋" w:cs="仿宋"/>
                <w:color w:val="000000"/>
                <w:szCs w:val="21"/>
              </w:rPr>
              <w:t>而未提前通知所属教学单位和教学主管部门，</w:t>
            </w:r>
            <w:r>
              <w:rPr>
                <w:rFonts w:ascii="仿宋" w:hAnsi="仿宋" w:eastAsia="仿宋" w:cs="仿宋"/>
                <w:color w:val="000000"/>
                <w:szCs w:val="21"/>
              </w:rPr>
              <w:t>或</w:t>
            </w:r>
            <w:r>
              <w:rPr>
                <w:rFonts w:hint="eastAsia" w:ascii="仿宋" w:hAnsi="仿宋" w:eastAsia="仿宋" w:cs="仿宋"/>
                <w:color w:val="000000"/>
                <w:szCs w:val="21"/>
              </w:rPr>
              <w:t>考试中途无正当理由擅离考场不超过</w:t>
            </w:r>
            <w:r>
              <w:rPr>
                <w:rFonts w:ascii="仿宋" w:hAnsi="仿宋" w:eastAsia="仿宋" w:cs="仿宋"/>
                <w:color w:val="000000"/>
                <w:szCs w:val="21"/>
              </w:rPr>
              <w:t>5分钟（含5分钟）</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kern w:val="0"/>
                <w:szCs w:val="21"/>
              </w:rPr>
              <w:t>3</w:t>
            </w:r>
            <w:r>
              <w:rPr>
                <w:rFonts w:ascii="仿宋" w:hAnsi="仿宋" w:eastAsia="仿宋" w:cs="仿宋"/>
                <w:color w:val="000000"/>
                <w:szCs w:val="21"/>
              </w:rPr>
              <w:t>.监考教师监考不力，对学生作弊不予制止</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4</w:t>
            </w:r>
            <w:r>
              <w:rPr>
                <w:rFonts w:ascii="仿宋" w:hAnsi="仿宋" w:eastAsia="仿宋" w:cs="仿宋"/>
                <w:color w:val="000000"/>
                <w:szCs w:val="21"/>
              </w:rPr>
              <w:t>.管理人员考试组织工作(含考场、监考人员安排)发生失误，影响考试正常进行</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5</w:t>
            </w:r>
            <w:r>
              <w:rPr>
                <w:rFonts w:ascii="仿宋" w:hAnsi="仿宋" w:eastAsia="仿宋" w:cs="仿宋"/>
                <w:color w:val="000000"/>
                <w:szCs w:val="21"/>
              </w:rPr>
              <w:t>.考试试卷校对签字印制完成后，在考试过程中出现2处以下（含2处）影响考试的错误</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6</w:t>
            </w:r>
            <w:r>
              <w:rPr>
                <w:rFonts w:ascii="仿宋" w:hAnsi="仿宋" w:eastAsia="仿宋" w:cs="仿宋"/>
                <w:color w:val="000000"/>
                <w:szCs w:val="21"/>
              </w:rPr>
              <w:t>．教师未在学校规定时间内完成试卷评阅或未按规定时间或规定格式录入、报送、发布成绩</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7</w:t>
            </w:r>
            <w:r>
              <w:rPr>
                <w:rFonts w:ascii="仿宋" w:hAnsi="仿宋" w:eastAsia="仿宋" w:cs="仿宋"/>
                <w:color w:val="000000"/>
                <w:szCs w:val="21"/>
              </w:rPr>
              <w:t>.教师所录入、发布的成绩评定出现错误1处。</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8.教师让没有阅卷任务的人阅卷，或让没有登分任务的人登分。</w:t>
            </w:r>
          </w:p>
          <w:p>
            <w:pPr>
              <w:pageBreakBefore w:val="0"/>
              <w:topLinePunct w:val="0"/>
              <w:bidi w:val="0"/>
              <w:spacing w:line="300" w:lineRule="exact"/>
              <w:outlineLvl w:val="9"/>
              <w:rPr>
                <w:rFonts w:ascii="仿宋" w:hAnsi="仿宋" w:eastAsia="仿宋" w:cs="仿宋"/>
                <w:color w:val="000000"/>
                <w:szCs w:val="21"/>
              </w:rPr>
            </w:pPr>
          </w:p>
        </w:tc>
        <w:tc>
          <w:tcPr>
            <w:tcW w:w="4395" w:type="dxa"/>
            <w:noWrap w:val="0"/>
            <w:vAlign w:val="top"/>
          </w:tcPr>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1.监考教师</w:t>
            </w:r>
            <w:r>
              <w:rPr>
                <w:rFonts w:hint="eastAsia" w:ascii="仿宋" w:hAnsi="仿宋" w:eastAsia="仿宋" w:cs="仿宋"/>
                <w:color w:val="000000"/>
                <w:szCs w:val="21"/>
              </w:rPr>
              <w:t>迟到</w:t>
            </w:r>
            <w:r>
              <w:rPr>
                <w:rFonts w:ascii="仿宋" w:hAnsi="仿宋" w:eastAsia="仿宋" w:cs="仿宋"/>
                <w:color w:val="000000"/>
                <w:szCs w:val="21"/>
              </w:rPr>
              <w:t>5分钟以上（不含5分钟）15分钟以下（含15分钟）而</w:t>
            </w:r>
            <w:r>
              <w:rPr>
                <w:rFonts w:hint="eastAsia" w:ascii="仿宋" w:hAnsi="仿宋" w:eastAsia="仿宋" w:cs="仿宋"/>
                <w:color w:val="000000"/>
                <w:szCs w:val="21"/>
              </w:rPr>
              <w:t>未及时通知所属教学单位和教学主管部门，</w:t>
            </w:r>
            <w:r>
              <w:rPr>
                <w:rFonts w:ascii="仿宋" w:hAnsi="仿宋" w:eastAsia="仿宋" w:cs="仿宋"/>
                <w:color w:val="000000"/>
                <w:szCs w:val="21"/>
              </w:rPr>
              <w:t>或</w:t>
            </w:r>
            <w:r>
              <w:rPr>
                <w:rFonts w:hint="eastAsia" w:ascii="仿宋" w:hAnsi="仿宋" w:eastAsia="仿宋" w:cs="仿宋"/>
                <w:color w:val="000000"/>
                <w:szCs w:val="21"/>
              </w:rPr>
              <w:t>考试中途擅离考场</w:t>
            </w:r>
            <w:r>
              <w:rPr>
                <w:rFonts w:ascii="仿宋" w:hAnsi="仿宋" w:eastAsia="仿宋" w:cs="仿宋"/>
                <w:color w:val="000000"/>
                <w:szCs w:val="21"/>
              </w:rPr>
              <w:t>5分钟以上（不含5分钟）15</w:t>
            </w:r>
            <w:r>
              <w:rPr>
                <w:rFonts w:hint="eastAsia" w:ascii="仿宋" w:hAnsi="仿宋" w:eastAsia="仿宋" w:cs="仿宋"/>
                <w:color w:val="000000"/>
                <w:szCs w:val="21"/>
              </w:rPr>
              <w:t>分钟以下（含</w:t>
            </w:r>
            <w:r>
              <w:rPr>
                <w:rFonts w:ascii="仿宋" w:hAnsi="仿宋" w:eastAsia="仿宋" w:cs="仿宋"/>
                <w:color w:val="000000"/>
                <w:szCs w:val="21"/>
              </w:rPr>
              <w:t>15</w:t>
            </w:r>
            <w:r>
              <w:rPr>
                <w:rFonts w:hint="eastAsia" w:ascii="仿宋" w:hAnsi="仿宋" w:eastAsia="仿宋" w:cs="仿宋"/>
                <w:color w:val="000000"/>
                <w:szCs w:val="21"/>
              </w:rPr>
              <w:t>分钟）。</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2</w:t>
            </w:r>
            <w:r>
              <w:rPr>
                <w:rFonts w:ascii="仿宋" w:hAnsi="仿宋" w:eastAsia="仿宋" w:cs="仿宋"/>
                <w:color w:val="000000"/>
                <w:szCs w:val="21"/>
              </w:rPr>
              <w:t>.监考教师考前未认真检查考生的规定证件，导致学生代考等作弊行为</w:t>
            </w:r>
            <w:r>
              <w:rPr>
                <w:rFonts w:hint="eastAsia" w:ascii="仿宋" w:hAnsi="仿宋" w:eastAsia="仿宋" w:cs="仿宋"/>
                <w:color w:val="000000"/>
                <w:szCs w:val="21"/>
              </w:rPr>
              <w:t>得以实施。</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3</w:t>
            </w:r>
            <w:r>
              <w:rPr>
                <w:rFonts w:ascii="仿宋" w:hAnsi="仿宋" w:eastAsia="仿宋" w:cs="仿宋"/>
                <w:color w:val="000000"/>
                <w:szCs w:val="21"/>
              </w:rPr>
              <w:t>.监考教师</w:t>
            </w:r>
            <w:r>
              <w:rPr>
                <w:rFonts w:hint="eastAsia" w:ascii="仿宋" w:hAnsi="仿宋" w:eastAsia="仿宋" w:cs="仿宋"/>
                <w:color w:val="000000"/>
                <w:szCs w:val="21"/>
              </w:rPr>
              <w:t>发试卷前或收集试卷后未清点试卷或答题卡，造成试卷或答题卡数量不足或出现错误，致使考试混乱。</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kern w:val="0"/>
                <w:szCs w:val="21"/>
              </w:rPr>
              <w:t>4</w:t>
            </w:r>
            <w:r>
              <w:rPr>
                <w:rFonts w:ascii="仿宋" w:hAnsi="仿宋" w:eastAsia="仿宋" w:cs="仿宋"/>
                <w:color w:val="000000"/>
                <w:szCs w:val="21"/>
              </w:rPr>
              <w:t>.考试试卷校对签字印制完成后，在考试过程中出现2处以上（不含2处）5处以下（含5处）影响考试的错误</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5</w:t>
            </w:r>
            <w:r>
              <w:rPr>
                <w:rFonts w:ascii="仿宋" w:hAnsi="仿宋" w:eastAsia="仿宋" w:cs="仿宋"/>
                <w:color w:val="000000"/>
                <w:szCs w:val="21"/>
              </w:rPr>
              <w:t>.</w:t>
            </w:r>
            <w:r>
              <w:rPr>
                <w:rFonts w:hint="eastAsia" w:ascii="仿宋" w:hAnsi="仿宋" w:eastAsia="仿宋" w:cs="仿宋"/>
                <w:color w:val="000000"/>
                <w:szCs w:val="21"/>
              </w:rPr>
              <w:t>教师不加强对学生平时成绩的考核，无依据给出平时成绩，或所给成绩与实际成绩明显不符。</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6</w:t>
            </w:r>
            <w:r>
              <w:rPr>
                <w:rFonts w:ascii="仿宋" w:hAnsi="仿宋" w:eastAsia="仿宋" w:cs="仿宋"/>
                <w:color w:val="000000"/>
                <w:szCs w:val="21"/>
              </w:rPr>
              <w:t>.</w:t>
            </w:r>
            <w:r>
              <w:rPr>
                <w:rFonts w:hint="eastAsia" w:ascii="仿宋" w:hAnsi="仿宋" w:eastAsia="仿宋" w:cs="仿宋"/>
                <w:color w:val="000000"/>
                <w:szCs w:val="21"/>
              </w:rPr>
              <w:t>教师所录入、发布的成绩评定错误</w:t>
            </w:r>
            <w:r>
              <w:rPr>
                <w:rFonts w:ascii="仿宋" w:hAnsi="仿宋" w:eastAsia="仿宋" w:cs="仿宋"/>
                <w:color w:val="000000"/>
                <w:szCs w:val="21"/>
              </w:rPr>
              <w:t>2处以上（含2处）。</w:t>
            </w:r>
          </w:p>
          <w:p>
            <w:pPr>
              <w:pageBreakBefore w:val="0"/>
              <w:topLinePunct w:val="0"/>
              <w:bidi w:val="0"/>
              <w:spacing w:line="300" w:lineRule="exact"/>
              <w:outlineLvl w:val="9"/>
              <w:rPr>
                <w:rFonts w:ascii="仿宋" w:hAnsi="仿宋" w:eastAsia="仿宋" w:cs="仿宋"/>
                <w:color w:val="000000"/>
                <w:szCs w:val="21"/>
              </w:rPr>
            </w:pPr>
          </w:p>
        </w:tc>
        <w:tc>
          <w:tcPr>
            <w:tcW w:w="4217" w:type="dxa"/>
            <w:noWrap w:val="0"/>
            <w:vAlign w:val="top"/>
          </w:tcPr>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1.监考教师迟到15分钟以上（不含15分钟）</w:t>
            </w:r>
            <w:r>
              <w:rPr>
                <w:rFonts w:hint="eastAsia" w:ascii="仿宋" w:hAnsi="仿宋" w:eastAsia="仿宋" w:cs="仿宋"/>
                <w:color w:val="000000"/>
                <w:szCs w:val="21"/>
              </w:rPr>
              <w:t>未到考场而未及时通知所属教学单位和教学主管部门，</w:t>
            </w:r>
            <w:r>
              <w:rPr>
                <w:rFonts w:ascii="仿宋" w:hAnsi="仿宋" w:eastAsia="仿宋" w:cs="仿宋"/>
                <w:color w:val="000000"/>
                <w:szCs w:val="21"/>
              </w:rPr>
              <w:t>或</w:t>
            </w:r>
            <w:r>
              <w:rPr>
                <w:rFonts w:hint="eastAsia" w:ascii="仿宋" w:hAnsi="仿宋" w:eastAsia="仿宋" w:cs="仿宋"/>
                <w:color w:val="000000"/>
                <w:szCs w:val="21"/>
              </w:rPr>
              <w:t>考试中途无正当理由擅离考场</w:t>
            </w:r>
            <w:r>
              <w:rPr>
                <w:rFonts w:ascii="仿宋" w:hAnsi="仿宋" w:eastAsia="仿宋" w:cs="仿宋"/>
                <w:color w:val="000000"/>
                <w:szCs w:val="21"/>
              </w:rPr>
              <w:t>15</w:t>
            </w:r>
            <w:r>
              <w:rPr>
                <w:rFonts w:hint="eastAsia" w:ascii="仿宋" w:hAnsi="仿宋" w:eastAsia="仿宋" w:cs="仿宋"/>
                <w:color w:val="000000"/>
                <w:szCs w:val="21"/>
              </w:rPr>
              <w:t>分钟以上（不含</w:t>
            </w:r>
            <w:r>
              <w:rPr>
                <w:rFonts w:ascii="仿宋" w:hAnsi="仿宋" w:eastAsia="仿宋" w:cs="仿宋"/>
                <w:color w:val="000000"/>
                <w:szCs w:val="21"/>
              </w:rPr>
              <w:t>15</w:t>
            </w:r>
            <w:r>
              <w:rPr>
                <w:rFonts w:hint="eastAsia" w:ascii="仿宋" w:hAnsi="仿宋" w:eastAsia="仿宋" w:cs="仿宋"/>
                <w:color w:val="000000"/>
                <w:szCs w:val="21"/>
              </w:rPr>
              <w:t>分钟）。</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kern w:val="0"/>
                <w:szCs w:val="21"/>
              </w:rPr>
              <w:t xml:space="preserve">2. </w:t>
            </w:r>
            <w:r>
              <w:rPr>
                <w:rFonts w:hint="eastAsia" w:ascii="仿宋" w:hAnsi="仿宋" w:eastAsia="仿宋" w:cs="仿宋"/>
                <w:color w:val="000000"/>
                <w:szCs w:val="21"/>
              </w:rPr>
              <w:t>监考教师在考试过程中使用手机。</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3.</w:t>
            </w:r>
            <w:r>
              <w:rPr>
                <w:rFonts w:hint="eastAsia" w:ascii="仿宋" w:hAnsi="仿宋" w:eastAsia="仿宋" w:cs="仿宋"/>
                <w:color w:val="000000"/>
                <w:szCs w:val="21"/>
              </w:rPr>
              <w:t>教师或教学管理人员泄漏考试内容，或在试卷印制、传送、保管过程中泄密。</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4.考试结束后，</w:t>
            </w:r>
            <w:r>
              <w:rPr>
                <w:rFonts w:hint="eastAsia" w:ascii="仿宋" w:hAnsi="仿宋" w:eastAsia="仿宋" w:cs="仿宋"/>
                <w:color w:val="000000"/>
                <w:szCs w:val="21"/>
              </w:rPr>
              <w:t>监考教师漏收或丢失考生试卷或答题卡等。</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5.监考教师监考不力，致使学生大面积作弊或考场秩序混乱的</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6.监考教师发现作弊行为，故意隐瞒、开脱、知情不报</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7.考试试卷校对签字印制完成后，在考试过程中出现5处以上（不含5处）影响考试的错误</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kern w:val="0"/>
                <w:szCs w:val="21"/>
              </w:rPr>
            </w:pPr>
            <w:r>
              <w:rPr>
                <w:rFonts w:ascii="仿宋" w:hAnsi="仿宋" w:eastAsia="仿宋" w:cs="仿宋"/>
                <w:color w:val="000000"/>
                <w:szCs w:val="21"/>
              </w:rPr>
              <w:t>8.管理人员或教师填写呈报学生学习成绩时弄虚作假</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kern w:val="0"/>
                <w:szCs w:val="21"/>
              </w:rPr>
            </w:pPr>
            <w:r>
              <w:rPr>
                <w:rFonts w:ascii="仿宋" w:hAnsi="仿宋" w:eastAsia="仿宋" w:cs="仿宋"/>
                <w:color w:val="000000"/>
                <w:szCs w:val="21"/>
              </w:rPr>
              <w:t>9.教师故意提高或压低学生考试成绩</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kern w:val="0"/>
                <w:szCs w:val="21"/>
              </w:rPr>
            </w:pPr>
            <w:r>
              <w:rPr>
                <w:rFonts w:ascii="仿宋" w:hAnsi="仿宋" w:eastAsia="仿宋" w:cs="仿宋"/>
                <w:color w:val="000000"/>
                <w:szCs w:val="21"/>
              </w:rPr>
              <w:t>10</w:t>
            </w:r>
            <w:r>
              <w:rPr>
                <w:rFonts w:ascii="仿宋" w:hAnsi="仿宋" w:eastAsia="仿宋" w:cs="仿宋"/>
                <w:color w:val="000000"/>
                <w:kern w:val="0"/>
                <w:szCs w:val="21"/>
              </w:rPr>
              <w:t>.成绩评定错误、不在规定时间录入、发布，影响学生评优、</w:t>
            </w:r>
            <w:r>
              <w:rPr>
                <w:rFonts w:hint="eastAsia" w:ascii="仿宋" w:hAnsi="仿宋" w:eastAsia="仿宋" w:cs="仿宋"/>
                <w:color w:val="000000"/>
                <w:kern w:val="0"/>
                <w:szCs w:val="21"/>
              </w:rPr>
              <w:t>毕业等</w:t>
            </w:r>
            <w:r>
              <w:rPr>
                <w:rFonts w:ascii="仿宋" w:hAnsi="仿宋" w:eastAsia="仿宋" w:cs="仿宋"/>
                <w:color w:val="000000"/>
                <w:kern w:val="0"/>
                <w:szCs w:val="21"/>
              </w:rPr>
              <w:t>重大利益</w:t>
            </w:r>
            <w:r>
              <w:rPr>
                <w:rFonts w:hint="eastAsia" w:ascii="仿宋" w:hAnsi="仿宋" w:eastAsia="仿宋" w:cs="仿宋"/>
                <w:color w:val="000000"/>
                <w:kern w:val="0"/>
                <w:szCs w:val="21"/>
              </w:rPr>
              <w:t>。</w:t>
            </w:r>
          </w:p>
          <w:p>
            <w:pPr>
              <w:pageBreakBefore w:val="0"/>
              <w:topLinePunct w:val="0"/>
              <w:bidi w:val="0"/>
              <w:spacing w:line="300" w:lineRule="exact"/>
              <w:outlineLvl w:val="9"/>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1" w:type="dxa"/>
            <w:noWrap w:val="0"/>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教学</w:t>
            </w:r>
          </w:p>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管理</w:t>
            </w:r>
          </w:p>
        </w:tc>
        <w:tc>
          <w:tcPr>
            <w:tcW w:w="4394" w:type="dxa"/>
            <w:noWrap w:val="0"/>
            <w:vAlign w:val="top"/>
          </w:tcPr>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1.教师已事前请假，而受理者未及时作相应安排，造成教学秩序混乱</w:t>
            </w:r>
            <w:r>
              <w:rPr>
                <w:rFonts w:hint="eastAsia" w:ascii="仿宋" w:hAnsi="仿宋" w:eastAsia="仿宋" w:cs="仿宋"/>
                <w:color w:val="000000"/>
                <w:szCs w:val="21"/>
              </w:rPr>
              <w:t>或教学无法正常进行。</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2.</w:t>
            </w:r>
            <w:r>
              <w:rPr>
                <w:rFonts w:hint="eastAsia" w:ascii="仿宋" w:hAnsi="仿宋" w:eastAsia="仿宋" w:cs="仿宋"/>
                <w:color w:val="000000"/>
                <w:szCs w:val="21"/>
              </w:rPr>
              <w:t>教学</w:t>
            </w:r>
            <w:r>
              <w:rPr>
                <w:rFonts w:ascii="仿宋" w:hAnsi="仿宋" w:eastAsia="仿宋" w:cs="仿宋"/>
                <w:color w:val="000000"/>
                <w:szCs w:val="21"/>
              </w:rPr>
              <w:t>管理人员未按规定及时发布学生成绩</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3.相关责任人因主观原因造成的教材迟订、漏订、错订，致使教材开学2周内不能发放，对教学造成影响</w:t>
            </w:r>
            <w:r>
              <w:rPr>
                <w:rFonts w:hint="eastAsia" w:ascii="仿宋" w:hAnsi="仿宋" w:eastAsia="仿宋" w:cs="仿宋"/>
                <w:color w:val="000000"/>
                <w:szCs w:val="21"/>
              </w:rPr>
              <w:t>。</w:t>
            </w:r>
          </w:p>
        </w:tc>
        <w:tc>
          <w:tcPr>
            <w:tcW w:w="4395" w:type="dxa"/>
            <w:noWrap w:val="0"/>
            <w:vAlign w:val="top"/>
          </w:tcPr>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1．管理人员未按时排课，影响正常教学秩序的</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2.</w:t>
            </w:r>
            <w:r>
              <w:rPr>
                <w:rFonts w:hint="eastAsia" w:ascii="仿宋" w:hAnsi="仿宋" w:eastAsia="仿宋" w:cs="仿宋"/>
                <w:color w:val="000000"/>
                <w:szCs w:val="21"/>
              </w:rPr>
              <w:t>管理人员在单次排课或教室调度时出现多处错误，造成教学秩序混乱。</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3.相关责任人因主观原因造成的教材迟订、漏订、错订，致使教材开学2周以上4周以下不能发放，对教学造成严重影响</w:t>
            </w:r>
            <w:r>
              <w:rPr>
                <w:rFonts w:hint="eastAsia" w:ascii="仿宋" w:hAnsi="仿宋" w:eastAsia="仿宋" w:cs="仿宋"/>
                <w:color w:val="000000"/>
                <w:szCs w:val="21"/>
              </w:rPr>
              <w:t>。</w:t>
            </w:r>
          </w:p>
        </w:tc>
        <w:tc>
          <w:tcPr>
            <w:tcW w:w="4217" w:type="dxa"/>
            <w:noWrap w:val="0"/>
            <w:vAlign w:val="top"/>
          </w:tcPr>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1.管理人员出具与事实不符的学历、学籍、成绩等各类证书、证明等</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2.</w:t>
            </w:r>
            <w:r>
              <w:rPr>
                <w:rFonts w:hint="eastAsia" w:ascii="仿宋" w:hAnsi="仿宋" w:eastAsia="仿宋" w:cs="仿宋"/>
                <w:color w:val="000000"/>
                <w:szCs w:val="21"/>
              </w:rPr>
              <w:t>二级学院在教学工作开始前，未按教学计划落实教学安排，或未落实任课教师，致使教学任务无人承担。</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3.相关责任人因主观原因造成的教材迟订、漏订、错订，致使教材开学4周以上不能发放，对教学造成严重影响</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4.教学资料缺失严重、管理混乱，影响教学正常运行和各类教学评比检查工作；</w:t>
            </w:r>
          </w:p>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kern w:val="0"/>
                <w:szCs w:val="21"/>
              </w:rPr>
              <w:t>5</w:t>
            </w:r>
            <w:r>
              <w:rPr>
                <w:rFonts w:ascii="仿宋" w:hAnsi="仿宋" w:eastAsia="仿宋" w:cs="仿宋"/>
                <w:color w:val="000000"/>
                <w:szCs w:val="21"/>
              </w:rPr>
              <w:t>.管理人员丢失在校生考试成绩而无法弥补。</w:t>
            </w:r>
          </w:p>
          <w:p>
            <w:pPr>
              <w:pageBreakBefore w:val="0"/>
              <w:topLinePunct w:val="0"/>
              <w:bidi w:val="0"/>
              <w:spacing w:line="300" w:lineRule="exact"/>
              <w:outlineLvl w:val="9"/>
              <w:rPr>
                <w:rFonts w:ascii="仿宋" w:hAnsi="仿宋" w:eastAsia="仿宋" w:cs="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noWrap w:val="0"/>
            <w:vAlign w:val="center"/>
          </w:tcPr>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教学</w:t>
            </w:r>
          </w:p>
          <w:p>
            <w:pPr>
              <w:pageBreakBefore w:val="0"/>
              <w:topLinePunct w:val="0"/>
              <w:bidi w:val="0"/>
              <w:jc w:val="center"/>
              <w:outlineLvl w:val="9"/>
              <w:rPr>
                <w:rFonts w:ascii="仿宋" w:hAnsi="仿宋" w:eastAsia="仿宋" w:cs="仿宋"/>
                <w:color w:val="000000"/>
                <w:szCs w:val="21"/>
              </w:rPr>
            </w:pPr>
            <w:r>
              <w:rPr>
                <w:rFonts w:hint="eastAsia" w:ascii="仿宋" w:hAnsi="仿宋" w:eastAsia="仿宋" w:cs="仿宋"/>
                <w:color w:val="000000"/>
                <w:szCs w:val="21"/>
              </w:rPr>
              <w:t>保障</w:t>
            </w:r>
          </w:p>
        </w:tc>
        <w:tc>
          <w:tcPr>
            <w:tcW w:w="4394" w:type="dxa"/>
            <w:noWrap w:val="0"/>
            <w:vAlign w:val="top"/>
          </w:tcPr>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1.任何单位或个人未经相关部门同意，擅自占用教学场所或其他教学设施，轻微影响正常教学</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2.基本教学保障设施损坏，报修后因人为原因</w:t>
            </w:r>
            <w:r>
              <w:rPr>
                <w:rFonts w:ascii="仿宋" w:hAnsi="仿宋" w:eastAsia="仿宋" w:cs="仿宋"/>
                <w:color w:val="000000"/>
                <w:szCs w:val="21"/>
              </w:rPr>
              <w:t>3至5个工作日内（不含3个工作日，包含5个工作日）未能及时维修，影响教学</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p>
        </w:tc>
        <w:tc>
          <w:tcPr>
            <w:tcW w:w="4395" w:type="dxa"/>
            <w:noWrap w:val="0"/>
            <w:vAlign w:val="top"/>
          </w:tcPr>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1.任何单位或个人未经相关部门批准，擅自占用教学场所或其他教学设施，对正常教学产生一定影响</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2.基本教学保障设施损坏，报修后因人为原因</w:t>
            </w:r>
            <w:r>
              <w:rPr>
                <w:rFonts w:ascii="仿宋" w:hAnsi="仿宋" w:eastAsia="仿宋" w:cs="仿宋"/>
                <w:color w:val="000000"/>
                <w:szCs w:val="21"/>
              </w:rPr>
              <w:t>5至10个工作日内（不含5个工作日，包含10个工作日）未能及时维修，影响教学</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p>
        </w:tc>
        <w:tc>
          <w:tcPr>
            <w:tcW w:w="4217" w:type="dxa"/>
            <w:noWrap w:val="0"/>
            <w:vAlign w:val="top"/>
          </w:tcPr>
          <w:p>
            <w:pPr>
              <w:pageBreakBefore w:val="0"/>
              <w:topLinePunct w:val="0"/>
              <w:bidi w:val="0"/>
              <w:spacing w:line="300" w:lineRule="exact"/>
              <w:outlineLvl w:val="9"/>
              <w:rPr>
                <w:rFonts w:ascii="仿宋" w:hAnsi="仿宋" w:eastAsia="仿宋" w:cs="仿宋"/>
                <w:color w:val="000000"/>
                <w:szCs w:val="21"/>
              </w:rPr>
            </w:pPr>
            <w:r>
              <w:rPr>
                <w:rFonts w:ascii="仿宋" w:hAnsi="仿宋" w:eastAsia="仿宋" w:cs="仿宋"/>
                <w:color w:val="000000"/>
                <w:szCs w:val="21"/>
              </w:rPr>
              <w:t>1.任何单位或个人未经相关部门批准，擅自占用教学场所或其他教学设施，严重影响正常教学工作。</w:t>
            </w:r>
          </w:p>
          <w:p>
            <w:pPr>
              <w:pageBreakBefore w:val="0"/>
              <w:topLinePunct w:val="0"/>
              <w:bidi w:val="0"/>
              <w:spacing w:line="300" w:lineRule="exact"/>
              <w:outlineLvl w:val="9"/>
              <w:rPr>
                <w:rFonts w:ascii="仿宋" w:hAnsi="仿宋" w:eastAsia="仿宋" w:cs="仿宋"/>
                <w:color w:val="000000"/>
                <w:szCs w:val="21"/>
              </w:rPr>
            </w:pPr>
            <w:r>
              <w:rPr>
                <w:rFonts w:hint="eastAsia" w:ascii="仿宋" w:hAnsi="仿宋" w:eastAsia="仿宋" w:cs="仿宋"/>
                <w:color w:val="000000"/>
                <w:szCs w:val="21"/>
              </w:rPr>
              <w:t>2. 基本教学保障设施损坏，报修后因人为原因</w:t>
            </w:r>
            <w:r>
              <w:rPr>
                <w:rFonts w:ascii="仿宋" w:hAnsi="仿宋" w:eastAsia="仿宋" w:cs="仿宋"/>
                <w:color w:val="000000"/>
                <w:szCs w:val="21"/>
              </w:rPr>
              <w:t>10个以上工作日（不含10个工作日）未能及时维修，影响教学</w:t>
            </w:r>
            <w:r>
              <w:rPr>
                <w:rFonts w:hint="eastAsia" w:ascii="仿宋" w:hAnsi="仿宋" w:eastAsia="仿宋" w:cs="仿宋"/>
                <w:color w:val="000000"/>
                <w:szCs w:val="21"/>
              </w:rPr>
              <w:t>。</w:t>
            </w:r>
          </w:p>
          <w:p>
            <w:pPr>
              <w:pageBreakBefore w:val="0"/>
              <w:topLinePunct w:val="0"/>
              <w:bidi w:val="0"/>
              <w:spacing w:line="300" w:lineRule="exact"/>
              <w:outlineLvl w:val="9"/>
              <w:rPr>
                <w:rFonts w:ascii="仿宋" w:hAnsi="仿宋" w:eastAsia="仿宋" w:cs="仿宋"/>
                <w:color w:val="000000"/>
                <w:szCs w:val="21"/>
              </w:rPr>
            </w:pPr>
          </w:p>
        </w:tc>
      </w:tr>
    </w:tbl>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pPr>
    </w:p>
    <w:p>
      <w:pPr>
        <w:pageBreakBefore w:val="0"/>
        <w:topLinePunct w:val="0"/>
        <w:bidi w:val="0"/>
        <w:outlineLvl w:val="9"/>
        <w:rPr>
          <w:rFonts w:hint="eastAsia" w:ascii="仿宋" w:hAnsi="仿宋" w:eastAsia="仿宋" w:cs="仿宋"/>
          <w:color w:val="000000"/>
          <w:sz w:val="24"/>
        </w:rPr>
        <w:sectPr>
          <w:pgSz w:w="16838" w:h="11906" w:orient="landscape"/>
          <w:pgMar w:top="1803" w:right="1440" w:bottom="1803" w:left="1440" w:header="851" w:footer="992" w:gutter="0"/>
          <w:pgNumType w:fmt="decimal"/>
          <w:cols w:space="425" w:num="1"/>
          <w:docGrid w:type="lines" w:linePitch="312" w:charSpace="0"/>
        </w:sectPr>
      </w:pPr>
    </w:p>
    <w:p>
      <w:pPr>
        <w:pageBreakBefore w:val="0"/>
        <w:topLinePunct w:val="0"/>
        <w:bidi w:val="0"/>
        <w:outlineLvl w:val="9"/>
        <w:rPr>
          <w:rFonts w:ascii="仿宋" w:hAnsi="仿宋" w:eastAsia="仿宋" w:cs="仿宋"/>
          <w:color w:val="000000"/>
          <w:sz w:val="24"/>
        </w:rPr>
      </w:pPr>
      <w:r>
        <w:rPr>
          <w:rFonts w:hint="eastAsia" w:ascii="仿宋" w:hAnsi="仿宋" w:eastAsia="仿宋" w:cs="仿宋"/>
          <w:color w:val="000000"/>
          <w:sz w:val="24"/>
        </w:rPr>
        <w:t>附件2</w:t>
      </w:r>
    </w:p>
    <w:p>
      <w:pPr>
        <w:pageBreakBefore w:val="0"/>
        <w:topLinePunct w:val="0"/>
        <w:bidi w:val="0"/>
        <w:snapToGrid w:val="0"/>
        <w:spacing w:line="240" w:lineRule="atLeast"/>
        <w:jc w:val="center"/>
        <w:outlineLvl w:val="9"/>
        <w:rPr>
          <w:rFonts w:ascii="方正舒体" w:eastAsia="方正舒体"/>
          <w:sz w:val="32"/>
          <w:szCs w:val="32"/>
        </w:rPr>
      </w:pPr>
      <w:r>
        <w:rPr>
          <w:rFonts w:hint="eastAsia" w:ascii="方正舒体" w:eastAsia="方正舒体"/>
          <w:sz w:val="32"/>
          <w:szCs w:val="32"/>
        </w:rPr>
        <w:t>上海电子信息职业技术学院</w:t>
      </w:r>
    </w:p>
    <w:p>
      <w:pPr>
        <w:pageBreakBefore w:val="0"/>
        <w:topLinePunct w:val="0"/>
        <w:bidi w:val="0"/>
        <w:spacing w:line="240" w:lineRule="atLeast"/>
        <w:jc w:val="center"/>
        <w:outlineLvl w:val="9"/>
        <w:rPr>
          <w:rFonts w:ascii="黑体" w:hAnsi="宋体" w:eastAsia="黑体"/>
          <w:bCs/>
          <w:sz w:val="28"/>
          <w:szCs w:val="28"/>
        </w:rPr>
      </w:pPr>
      <w:r>
        <w:rPr>
          <w:rFonts w:ascii="黑体" w:eastAsia="黑体"/>
          <w:sz w:val="28"/>
          <w:szCs w:val="28"/>
        </w:rPr>
        <w:t>20</w:t>
      </w:r>
      <w:r>
        <w:rPr>
          <w:rFonts w:hint="eastAsia" w:ascii="黑体" w:eastAsia="黑体"/>
          <w:sz w:val="28"/>
          <w:szCs w:val="28"/>
        </w:rPr>
        <w:t xml:space="preserve"> </w:t>
      </w:r>
      <w:r>
        <w:rPr>
          <w:rFonts w:ascii="黑体" w:eastAsia="黑体"/>
          <w:sz w:val="28"/>
          <w:szCs w:val="28"/>
        </w:rPr>
        <w:t>— 20</w:t>
      </w:r>
      <w:r>
        <w:rPr>
          <w:rFonts w:hint="eastAsia" w:ascii="黑体" w:eastAsia="黑体"/>
          <w:sz w:val="28"/>
          <w:szCs w:val="28"/>
        </w:rPr>
        <w:t xml:space="preserve"> 学年第  学期</w:t>
      </w:r>
      <w:r>
        <w:rPr>
          <w:rFonts w:hint="eastAsia" w:ascii="黑体" w:hAnsi="宋体" w:eastAsia="黑体"/>
          <w:bCs/>
          <w:sz w:val="28"/>
          <w:szCs w:val="28"/>
        </w:rPr>
        <w:t>教学异常情况报告表</w:t>
      </w:r>
    </w:p>
    <w:p>
      <w:pPr>
        <w:pageBreakBefore w:val="0"/>
        <w:topLinePunct w:val="0"/>
        <w:bidi w:val="0"/>
        <w:spacing w:line="360" w:lineRule="exact"/>
        <w:outlineLvl w:val="9"/>
        <w:rPr>
          <w:rFonts w:ascii="仿宋_GB2312" w:hAnsi="宋体" w:eastAsia="仿宋_GB2312"/>
          <w:b/>
          <w:bCs/>
        </w:rPr>
      </w:pPr>
    </w:p>
    <w:tbl>
      <w:tblPr>
        <w:tblStyle w:val="37"/>
        <w:tblW w:w="886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73"/>
        <w:gridCol w:w="2219"/>
        <w:gridCol w:w="767"/>
        <w:gridCol w:w="2111"/>
        <w:gridCol w:w="767"/>
        <w:gridCol w:w="17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6" w:hRule="atLeast"/>
          <w:jc w:val="center"/>
        </w:trPr>
        <w:tc>
          <w:tcPr>
            <w:tcW w:w="1273" w:type="dxa"/>
            <w:tcBorders>
              <w:top w:val="single" w:color="auto" w:sz="12" w:space="0"/>
              <w:left w:val="single" w:color="auto" w:sz="12" w:space="0"/>
              <w:bottom w:val="single" w:color="auto" w:sz="6" w:space="0"/>
              <w:right w:val="single" w:color="auto" w:sz="6" w:space="0"/>
            </w:tcBorders>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事项</w:t>
            </w:r>
          </w:p>
        </w:tc>
        <w:tc>
          <w:tcPr>
            <w:tcW w:w="7593" w:type="dxa"/>
            <w:gridSpan w:val="5"/>
            <w:tcBorders>
              <w:top w:val="single" w:color="auto" w:sz="12" w:space="0"/>
              <w:left w:val="single" w:color="auto" w:sz="6" w:space="0"/>
              <w:bottom w:val="single" w:color="auto" w:sz="6" w:space="0"/>
              <w:right w:val="single" w:color="auto" w:sz="12" w:space="0"/>
            </w:tcBorders>
            <w:noWrap w:val="0"/>
            <w:vAlign w:val="center"/>
          </w:tcPr>
          <w:p>
            <w:pPr>
              <w:pageBreakBefore w:val="0"/>
              <w:topLinePunct w:val="0"/>
              <w:bidi w:val="0"/>
              <w:jc w:val="center"/>
              <w:outlineLvl w:val="9"/>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jc w:val="center"/>
        </w:trPr>
        <w:tc>
          <w:tcPr>
            <w:tcW w:w="1273" w:type="dxa"/>
            <w:tcBorders>
              <w:top w:val="single" w:color="auto" w:sz="6" w:space="0"/>
              <w:left w:val="single" w:color="auto" w:sz="12" w:space="0"/>
              <w:bottom w:val="single" w:color="auto" w:sz="6" w:space="0"/>
              <w:right w:val="single" w:color="auto" w:sz="6" w:space="0"/>
            </w:tcBorders>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当事人</w:t>
            </w:r>
          </w:p>
        </w:tc>
        <w:tc>
          <w:tcPr>
            <w:tcW w:w="2219" w:type="dxa"/>
            <w:tcBorders>
              <w:top w:val="single" w:color="auto" w:sz="6" w:space="0"/>
              <w:left w:val="single" w:color="auto" w:sz="6" w:space="0"/>
              <w:bottom w:val="single" w:color="auto" w:sz="6" w:space="0"/>
              <w:right w:val="single" w:color="auto" w:sz="6" w:space="0"/>
            </w:tcBorders>
            <w:noWrap w:val="0"/>
            <w:vAlign w:val="center"/>
          </w:tcPr>
          <w:p>
            <w:pPr>
              <w:pageBreakBefore w:val="0"/>
              <w:topLinePunct w:val="0"/>
              <w:bidi w:val="0"/>
              <w:jc w:val="center"/>
              <w:outlineLvl w:val="9"/>
              <w:rPr>
                <w:rFonts w:ascii="仿宋" w:hAnsi="仿宋" w:eastAsia="仿宋"/>
                <w:sz w:val="24"/>
              </w:rPr>
            </w:pPr>
          </w:p>
        </w:tc>
        <w:tc>
          <w:tcPr>
            <w:tcW w:w="767" w:type="dxa"/>
            <w:tcBorders>
              <w:top w:val="single" w:color="auto" w:sz="6" w:space="0"/>
              <w:left w:val="single" w:color="auto" w:sz="6" w:space="0"/>
              <w:bottom w:val="single" w:color="auto" w:sz="6" w:space="0"/>
              <w:right w:val="single" w:color="auto" w:sz="6" w:space="0"/>
            </w:tcBorders>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时间</w:t>
            </w:r>
          </w:p>
        </w:tc>
        <w:tc>
          <w:tcPr>
            <w:tcW w:w="2111" w:type="dxa"/>
            <w:tcBorders>
              <w:top w:val="single" w:color="auto" w:sz="6" w:space="0"/>
              <w:left w:val="single" w:color="auto" w:sz="6" w:space="0"/>
              <w:bottom w:val="single" w:color="auto" w:sz="6" w:space="0"/>
              <w:right w:val="single" w:color="auto" w:sz="6" w:space="0"/>
            </w:tcBorders>
            <w:noWrap w:val="0"/>
            <w:vAlign w:val="center"/>
          </w:tcPr>
          <w:p>
            <w:pPr>
              <w:pageBreakBefore w:val="0"/>
              <w:topLinePunct w:val="0"/>
              <w:bidi w:val="0"/>
              <w:jc w:val="center"/>
              <w:outlineLvl w:val="9"/>
              <w:rPr>
                <w:rFonts w:ascii="仿宋" w:hAnsi="仿宋" w:eastAsia="仿宋"/>
                <w:sz w:val="24"/>
              </w:rPr>
            </w:pPr>
          </w:p>
        </w:tc>
        <w:tc>
          <w:tcPr>
            <w:tcW w:w="767" w:type="dxa"/>
            <w:tcBorders>
              <w:top w:val="single" w:color="auto" w:sz="6" w:space="0"/>
              <w:left w:val="single" w:color="auto" w:sz="6" w:space="0"/>
              <w:bottom w:val="single" w:color="auto" w:sz="6" w:space="0"/>
              <w:right w:val="single" w:color="auto" w:sz="6" w:space="0"/>
            </w:tcBorders>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地点</w:t>
            </w:r>
          </w:p>
        </w:tc>
        <w:tc>
          <w:tcPr>
            <w:tcW w:w="1729" w:type="dxa"/>
            <w:tcBorders>
              <w:top w:val="single" w:color="auto" w:sz="6" w:space="0"/>
              <w:left w:val="single" w:color="auto" w:sz="6" w:space="0"/>
              <w:bottom w:val="single" w:color="auto" w:sz="6" w:space="0"/>
              <w:right w:val="single" w:color="auto" w:sz="12" w:space="0"/>
            </w:tcBorders>
            <w:noWrap w:val="0"/>
            <w:vAlign w:val="center"/>
          </w:tcPr>
          <w:p>
            <w:pPr>
              <w:pageBreakBefore w:val="0"/>
              <w:topLinePunct w:val="0"/>
              <w:bidi w:val="0"/>
              <w:jc w:val="center"/>
              <w:outlineLvl w:val="9"/>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7" w:hRule="atLeast"/>
          <w:jc w:val="center"/>
        </w:trPr>
        <w:tc>
          <w:tcPr>
            <w:tcW w:w="1273" w:type="dxa"/>
            <w:tcBorders>
              <w:top w:val="single" w:color="auto" w:sz="6" w:space="0"/>
              <w:left w:val="single" w:color="auto" w:sz="12" w:space="0"/>
              <w:bottom w:val="single" w:color="auto" w:sz="6" w:space="0"/>
              <w:right w:val="single" w:color="auto" w:sz="6" w:space="0"/>
            </w:tcBorders>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教学异常情况记录</w:t>
            </w:r>
          </w:p>
        </w:tc>
        <w:tc>
          <w:tcPr>
            <w:tcW w:w="7593" w:type="dxa"/>
            <w:gridSpan w:val="5"/>
            <w:tcBorders>
              <w:top w:val="single" w:color="auto" w:sz="6" w:space="0"/>
              <w:left w:val="single" w:color="auto" w:sz="6" w:space="0"/>
              <w:bottom w:val="single" w:color="auto" w:sz="6" w:space="0"/>
              <w:right w:val="single" w:color="auto" w:sz="12" w:space="0"/>
            </w:tcBorders>
            <w:noWrap w:val="0"/>
            <w:vAlign w:val="top"/>
          </w:tcPr>
          <w:p>
            <w:pPr>
              <w:pageBreakBefore w:val="0"/>
              <w:topLinePunct w:val="0"/>
              <w:bidi w:val="0"/>
              <w:jc w:val="left"/>
              <w:outlineLvl w:val="9"/>
              <w:rPr>
                <w:rFonts w:ascii="仿宋" w:hAnsi="仿宋" w:eastAsia="仿宋"/>
                <w:sz w:val="18"/>
                <w:szCs w:val="18"/>
              </w:rPr>
            </w:pPr>
            <w:r>
              <w:rPr>
                <w:rFonts w:hint="eastAsia" w:ascii="仿宋" w:hAnsi="仿宋" w:eastAsia="仿宋"/>
                <w:sz w:val="18"/>
                <w:szCs w:val="18"/>
              </w:rPr>
              <w:t>（可另附页）</w:t>
            </w: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widowControl/>
              <w:topLinePunct w:val="0"/>
              <w:bidi w:val="0"/>
              <w:jc w:val="left"/>
              <w:outlineLvl w:val="9"/>
              <w:rPr>
                <w:rFonts w:ascii="仿宋" w:hAnsi="仿宋" w:eastAsia="仿宋"/>
                <w:sz w:val="24"/>
              </w:rPr>
            </w:pPr>
          </w:p>
          <w:p>
            <w:pPr>
              <w:pageBreakBefore w:val="0"/>
              <w:topLinePunct w:val="0"/>
              <w:bidi w:val="0"/>
              <w:outlineLvl w:val="9"/>
              <w:rPr>
                <w:rFonts w:ascii="仿宋" w:hAnsi="仿宋" w:eastAsia="仿宋"/>
                <w:sz w:val="24"/>
              </w:rPr>
            </w:pPr>
          </w:p>
          <w:p>
            <w:pPr>
              <w:pageBreakBefore w:val="0"/>
              <w:topLinePunct w:val="0"/>
              <w:bidi w:val="0"/>
              <w:jc w:val="center"/>
              <w:outlineLvl w:val="9"/>
              <w:rPr>
                <w:rFonts w:ascii="仿宋" w:hAnsi="仿宋" w:eastAsia="仿宋"/>
                <w:sz w:val="24"/>
              </w:rPr>
            </w:pPr>
            <w:r>
              <w:rPr>
                <w:rFonts w:hint="eastAsia" w:ascii="仿宋" w:hAnsi="仿宋" w:eastAsia="仿宋"/>
                <w:sz w:val="24"/>
              </w:rPr>
              <w:t xml:space="preserve">                                报告人：</w:t>
            </w:r>
          </w:p>
          <w:p>
            <w:pPr>
              <w:pageBreakBefore w:val="0"/>
              <w:topLinePunct w:val="0"/>
              <w:bidi w:val="0"/>
              <w:jc w:val="center"/>
              <w:outlineLvl w:val="9"/>
              <w:rPr>
                <w:rFonts w:ascii="仿宋" w:hAnsi="仿宋" w:eastAsia="仿宋"/>
                <w:sz w:val="24"/>
              </w:rPr>
            </w:pPr>
            <w:r>
              <w:rPr>
                <w:rFonts w:hint="eastAsia" w:ascii="仿宋" w:hAnsi="仿宋" w:eastAsia="仿宋"/>
                <w:sz w:val="24"/>
              </w:rPr>
              <w:t xml:space="preserve">                                  年    月    日</w:t>
            </w:r>
          </w:p>
          <w:p>
            <w:pPr>
              <w:pageBreakBefore w:val="0"/>
              <w:topLinePunct w:val="0"/>
              <w:bidi w:val="0"/>
              <w:jc w:val="right"/>
              <w:outlineLvl w:val="9"/>
              <w:rPr>
                <w:rFonts w:ascii="仿宋" w:hAnsi="仿宋" w:eastAsia="仿宋"/>
                <w:sz w:val="24"/>
              </w:rPr>
            </w:pPr>
          </w:p>
        </w:tc>
      </w:tr>
    </w:tbl>
    <w:p>
      <w:pPr>
        <w:pageBreakBefore w:val="0"/>
        <w:topLinePunct w:val="0"/>
        <w:bidi w:val="0"/>
        <w:outlineLvl w:val="9"/>
      </w:pPr>
      <w:r>
        <w:rPr>
          <w:rFonts w:hint="eastAsia"/>
        </w:rPr>
        <w:t>注：报告人交教务处督导老师</w:t>
      </w:r>
    </w:p>
    <w:p>
      <w:pPr>
        <w:pageBreakBefore w:val="0"/>
        <w:topLinePunct w:val="0"/>
        <w:bidi w:val="0"/>
        <w:outlineLvl w:val="9"/>
        <w:rPr>
          <w:rFonts w:ascii="仿宋" w:hAnsi="仿宋" w:eastAsia="仿宋" w:cs="仿宋"/>
          <w:color w:val="000000"/>
          <w:sz w:val="24"/>
        </w:rPr>
      </w:pPr>
      <w:r>
        <w:rPr>
          <w:rFonts w:hint="eastAsia" w:ascii="仿宋" w:hAnsi="仿宋" w:eastAsia="仿宋" w:cs="仿宋"/>
          <w:color w:val="000000"/>
          <w:sz w:val="24"/>
        </w:rPr>
        <w:t>附件3</w:t>
      </w:r>
    </w:p>
    <w:p>
      <w:pPr>
        <w:pageBreakBefore w:val="0"/>
        <w:topLinePunct w:val="0"/>
        <w:bidi w:val="0"/>
        <w:snapToGrid w:val="0"/>
        <w:spacing w:line="240" w:lineRule="atLeast"/>
        <w:jc w:val="center"/>
        <w:outlineLvl w:val="9"/>
        <w:rPr>
          <w:rFonts w:ascii="方正舒体" w:eastAsia="方正舒体"/>
          <w:sz w:val="32"/>
          <w:szCs w:val="32"/>
        </w:rPr>
      </w:pPr>
      <w:r>
        <w:rPr>
          <w:rFonts w:hint="eastAsia" w:ascii="方正舒体" w:eastAsia="方正舒体"/>
          <w:sz w:val="32"/>
          <w:szCs w:val="32"/>
        </w:rPr>
        <w:t>上海电子信息职业技术学院</w:t>
      </w:r>
    </w:p>
    <w:p>
      <w:pPr>
        <w:pageBreakBefore w:val="0"/>
        <w:topLinePunct w:val="0"/>
        <w:bidi w:val="0"/>
        <w:spacing w:line="240" w:lineRule="atLeast"/>
        <w:jc w:val="center"/>
        <w:outlineLvl w:val="9"/>
        <w:rPr>
          <w:rFonts w:ascii="黑体" w:hAnsi="宋体" w:eastAsia="黑体"/>
          <w:bCs/>
          <w:sz w:val="28"/>
          <w:szCs w:val="28"/>
        </w:rPr>
      </w:pPr>
      <w:r>
        <w:rPr>
          <w:rFonts w:ascii="黑体" w:eastAsia="黑体"/>
          <w:sz w:val="28"/>
          <w:szCs w:val="28"/>
        </w:rPr>
        <w:t>20</w:t>
      </w:r>
      <w:r>
        <w:rPr>
          <w:rFonts w:hint="eastAsia" w:ascii="黑体" w:eastAsia="黑体"/>
          <w:sz w:val="28"/>
          <w:szCs w:val="28"/>
        </w:rPr>
        <w:t xml:space="preserve"> </w:t>
      </w:r>
      <w:r>
        <w:rPr>
          <w:rFonts w:ascii="黑体" w:eastAsia="黑体"/>
          <w:sz w:val="28"/>
          <w:szCs w:val="28"/>
        </w:rPr>
        <w:t>— 20</w:t>
      </w:r>
      <w:r>
        <w:rPr>
          <w:rFonts w:hint="eastAsia" w:ascii="黑体" w:eastAsia="黑体"/>
          <w:sz w:val="28"/>
          <w:szCs w:val="28"/>
        </w:rPr>
        <w:t xml:space="preserve"> 学年第  学期</w:t>
      </w:r>
      <w:r>
        <w:rPr>
          <w:rFonts w:hint="eastAsia" w:ascii="黑体" w:hAnsi="宋体" w:eastAsia="黑体"/>
          <w:bCs/>
          <w:sz w:val="28"/>
          <w:szCs w:val="28"/>
        </w:rPr>
        <w:t>教学异常情况登记表</w:t>
      </w:r>
    </w:p>
    <w:p>
      <w:pPr>
        <w:pageBreakBefore w:val="0"/>
        <w:topLinePunct w:val="0"/>
        <w:bidi w:val="0"/>
        <w:spacing w:line="360" w:lineRule="exact"/>
        <w:outlineLvl w:val="9"/>
        <w:rPr>
          <w:rFonts w:ascii="仿宋_GB2312" w:hAnsi="宋体" w:eastAsia="仿宋_GB2312"/>
          <w:b/>
          <w:bCs/>
        </w:rPr>
      </w:pPr>
    </w:p>
    <w:tbl>
      <w:tblPr>
        <w:tblStyle w:val="37"/>
        <w:tblW w:w="886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73"/>
        <w:gridCol w:w="2219"/>
        <w:gridCol w:w="767"/>
        <w:gridCol w:w="2111"/>
        <w:gridCol w:w="767"/>
        <w:gridCol w:w="17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6" w:hRule="atLeast"/>
          <w:jc w:val="center"/>
        </w:trPr>
        <w:tc>
          <w:tcPr>
            <w:tcW w:w="1273" w:type="dxa"/>
            <w:tcBorders>
              <w:top w:val="single" w:color="auto" w:sz="12" w:space="0"/>
              <w:left w:val="single" w:color="auto" w:sz="12" w:space="0"/>
              <w:bottom w:val="single" w:color="auto" w:sz="6" w:space="0"/>
              <w:right w:val="single" w:color="auto" w:sz="6" w:space="0"/>
            </w:tcBorders>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事项</w:t>
            </w:r>
          </w:p>
        </w:tc>
        <w:tc>
          <w:tcPr>
            <w:tcW w:w="7593" w:type="dxa"/>
            <w:gridSpan w:val="5"/>
            <w:tcBorders>
              <w:top w:val="single" w:color="auto" w:sz="12" w:space="0"/>
              <w:left w:val="single" w:color="auto" w:sz="6" w:space="0"/>
              <w:bottom w:val="single" w:color="auto" w:sz="6" w:space="0"/>
              <w:right w:val="single" w:color="auto" w:sz="12" w:space="0"/>
            </w:tcBorders>
            <w:noWrap w:val="0"/>
            <w:vAlign w:val="center"/>
          </w:tcPr>
          <w:p>
            <w:pPr>
              <w:pageBreakBefore w:val="0"/>
              <w:topLinePunct w:val="0"/>
              <w:bidi w:val="0"/>
              <w:jc w:val="center"/>
              <w:outlineLvl w:val="9"/>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6" w:hRule="atLeast"/>
          <w:jc w:val="center"/>
        </w:trPr>
        <w:tc>
          <w:tcPr>
            <w:tcW w:w="1273" w:type="dxa"/>
            <w:tcBorders>
              <w:top w:val="single" w:color="auto" w:sz="6" w:space="0"/>
              <w:left w:val="single" w:color="auto" w:sz="12" w:space="0"/>
              <w:bottom w:val="single" w:color="auto" w:sz="6" w:space="0"/>
              <w:right w:val="single" w:color="auto" w:sz="6" w:space="0"/>
            </w:tcBorders>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当事人</w:t>
            </w:r>
          </w:p>
        </w:tc>
        <w:tc>
          <w:tcPr>
            <w:tcW w:w="2219" w:type="dxa"/>
            <w:tcBorders>
              <w:top w:val="single" w:color="auto" w:sz="6" w:space="0"/>
              <w:left w:val="single" w:color="auto" w:sz="6" w:space="0"/>
              <w:bottom w:val="single" w:color="auto" w:sz="6" w:space="0"/>
              <w:right w:val="single" w:color="auto" w:sz="6" w:space="0"/>
            </w:tcBorders>
            <w:noWrap w:val="0"/>
            <w:vAlign w:val="center"/>
          </w:tcPr>
          <w:p>
            <w:pPr>
              <w:pageBreakBefore w:val="0"/>
              <w:topLinePunct w:val="0"/>
              <w:bidi w:val="0"/>
              <w:jc w:val="center"/>
              <w:outlineLvl w:val="9"/>
              <w:rPr>
                <w:rFonts w:ascii="仿宋" w:hAnsi="仿宋" w:eastAsia="仿宋"/>
                <w:sz w:val="24"/>
              </w:rPr>
            </w:pPr>
          </w:p>
        </w:tc>
        <w:tc>
          <w:tcPr>
            <w:tcW w:w="767" w:type="dxa"/>
            <w:tcBorders>
              <w:top w:val="single" w:color="auto" w:sz="6" w:space="0"/>
              <w:left w:val="single" w:color="auto" w:sz="6" w:space="0"/>
              <w:bottom w:val="single" w:color="auto" w:sz="6" w:space="0"/>
              <w:right w:val="single" w:color="auto" w:sz="6" w:space="0"/>
            </w:tcBorders>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时间</w:t>
            </w:r>
          </w:p>
        </w:tc>
        <w:tc>
          <w:tcPr>
            <w:tcW w:w="2111" w:type="dxa"/>
            <w:tcBorders>
              <w:top w:val="single" w:color="auto" w:sz="6" w:space="0"/>
              <w:left w:val="single" w:color="auto" w:sz="6" w:space="0"/>
              <w:bottom w:val="single" w:color="auto" w:sz="6" w:space="0"/>
              <w:right w:val="single" w:color="auto" w:sz="6" w:space="0"/>
            </w:tcBorders>
            <w:noWrap w:val="0"/>
            <w:vAlign w:val="center"/>
          </w:tcPr>
          <w:p>
            <w:pPr>
              <w:pageBreakBefore w:val="0"/>
              <w:topLinePunct w:val="0"/>
              <w:bidi w:val="0"/>
              <w:jc w:val="center"/>
              <w:outlineLvl w:val="9"/>
              <w:rPr>
                <w:rFonts w:ascii="仿宋" w:hAnsi="仿宋" w:eastAsia="仿宋"/>
                <w:sz w:val="24"/>
              </w:rPr>
            </w:pPr>
          </w:p>
        </w:tc>
        <w:tc>
          <w:tcPr>
            <w:tcW w:w="767" w:type="dxa"/>
            <w:tcBorders>
              <w:top w:val="single" w:color="auto" w:sz="6" w:space="0"/>
              <w:left w:val="single" w:color="auto" w:sz="6" w:space="0"/>
              <w:bottom w:val="single" w:color="auto" w:sz="6" w:space="0"/>
              <w:right w:val="single" w:color="auto" w:sz="6" w:space="0"/>
            </w:tcBorders>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地点</w:t>
            </w:r>
          </w:p>
        </w:tc>
        <w:tc>
          <w:tcPr>
            <w:tcW w:w="1729" w:type="dxa"/>
            <w:tcBorders>
              <w:top w:val="single" w:color="auto" w:sz="6" w:space="0"/>
              <w:left w:val="single" w:color="auto" w:sz="6" w:space="0"/>
              <w:bottom w:val="single" w:color="auto" w:sz="6" w:space="0"/>
              <w:right w:val="single" w:color="auto" w:sz="12" w:space="0"/>
            </w:tcBorders>
            <w:noWrap w:val="0"/>
            <w:vAlign w:val="center"/>
          </w:tcPr>
          <w:p>
            <w:pPr>
              <w:pageBreakBefore w:val="0"/>
              <w:topLinePunct w:val="0"/>
              <w:bidi w:val="0"/>
              <w:jc w:val="center"/>
              <w:outlineLvl w:val="9"/>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8" w:hRule="atLeast"/>
          <w:jc w:val="center"/>
        </w:trPr>
        <w:tc>
          <w:tcPr>
            <w:tcW w:w="1273" w:type="dxa"/>
            <w:tcBorders>
              <w:top w:val="single" w:color="auto" w:sz="6" w:space="0"/>
              <w:left w:val="single" w:color="auto" w:sz="12" w:space="0"/>
              <w:bottom w:val="single" w:color="auto" w:sz="6" w:space="0"/>
              <w:right w:val="single" w:color="auto" w:sz="6" w:space="0"/>
            </w:tcBorders>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教学异常情况记录</w:t>
            </w:r>
          </w:p>
        </w:tc>
        <w:tc>
          <w:tcPr>
            <w:tcW w:w="7593" w:type="dxa"/>
            <w:gridSpan w:val="5"/>
            <w:tcBorders>
              <w:top w:val="single" w:color="auto" w:sz="6" w:space="0"/>
              <w:left w:val="single" w:color="auto" w:sz="6" w:space="0"/>
              <w:bottom w:val="single" w:color="auto" w:sz="6" w:space="0"/>
              <w:right w:val="single" w:color="auto" w:sz="12" w:space="0"/>
            </w:tcBorders>
            <w:noWrap w:val="0"/>
            <w:vAlign w:val="top"/>
          </w:tcPr>
          <w:p>
            <w:pPr>
              <w:pageBreakBefore w:val="0"/>
              <w:topLinePunct w:val="0"/>
              <w:bidi w:val="0"/>
              <w:jc w:val="left"/>
              <w:outlineLvl w:val="9"/>
              <w:rPr>
                <w:rFonts w:ascii="仿宋" w:hAnsi="仿宋" w:eastAsia="仿宋"/>
                <w:sz w:val="18"/>
                <w:szCs w:val="18"/>
              </w:rPr>
            </w:pPr>
            <w:r>
              <w:rPr>
                <w:rFonts w:hint="eastAsia" w:ascii="仿宋" w:hAnsi="仿宋" w:eastAsia="仿宋"/>
                <w:sz w:val="18"/>
                <w:szCs w:val="18"/>
              </w:rPr>
              <w:t>（可另附页）</w:t>
            </w:r>
          </w:p>
          <w:p>
            <w:pPr>
              <w:pageBreakBefore w:val="0"/>
              <w:widowControl/>
              <w:topLinePunct w:val="0"/>
              <w:bidi w:val="0"/>
              <w:jc w:val="left"/>
              <w:outlineLvl w:val="9"/>
              <w:rPr>
                <w:rFonts w:ascii="仿宋" w:hAnsi="仿宋" w:eastAsia="仿宋"/>
                <w:sz w:val="24"/>
              </w:rPr>
            </w:pPr>
          </w:p>
          <w:p>
            <w:pPr>
              <w:pageBreakBefore w:val="0"/>
              <w:topLinePunct w:val="0"/>
              <w:bidi w:val="0"/>
              <w:outlineLvl w:val="9"/>
              <w:rPr>
                <w:rFonts w:ascii="仿宋" w:hAnsi="仿宋" w:eastAsia="仿宋"/>
                <w:sz w:val="24"/>
              </w:rPr>
            </w:pPr>
          </w:p>
          <w:p>
            <w:pPr>
              <w:pageBreakBefore w:val="0"/>
              <w:topLinePunct w:val="0"/>
              <w:bidi w:val="0"/>
              <w:outlineLvl w:val="9"/>
              <w:rPr>
                <w:rFonts w:ascii="仿宋" w:hAnsi="仿宋" w:eastAsia="仿宋"/>
                <w:sz w:val="24"/>
              </w:rPr>
            </w:pPr>
          </w:p>
          <w:p>
            <w:pPr>
              <w:pageBreakBefore w:val="0"/>
              <w:topLinePunct w:val="0"/>
              <w:bidi w:val="0"/>
              <w:outlineLvl w:val="9"/>
              <w:rPr>
                <w:rFonts w:ascii="仿宋" w:hAnsi="仿宋" w:eastAsia="仿宋"/>
                <w:sz w:val="24"/>
              </w:rPr>
            </w:pPr>
          </w:p>
          <w:p>
            <w:pPr>
              <w:pageBreakBefore w:val="0"/>
              <w:topLinePunct w:val="0"/>
              <w:bidi w:val="0"/>
              <w:outlineLvl w:val="9"/>
              <w:rPr>
                <w:rFonts w:ascii="仿宋" w:hAnsi="仿宋" w:eastAsia="仿宋"/>
                <w:sz w:val="24"/>
              </w:rPr>
            </w:pPr>
          </w:p>
          <w:p>
            <w:pPr>
              <w:pageBreakBefore w:val="0"/>
              <w:topLinePunct w:val="0"/>
              <w:bidi w:val="0"/>
              <w:outlineLvl w:val="9"/>
              <w:rPr>
                <w:rFonts w:ascii="仿宋" w:hAnsi="仿宋" w:eastAsia="仿宋"/>
                <w:sz w:val="24"/>
              </w:rPr>
            </w:pPr>
          </w:p>
          <w:p>
            <w:pPr>
              <w:pageBreakBefore w:val="0"/>
              <w:topLinePunct w:val="0"/>
              <w:bidi w:val="0"/>
              <w:outlineLvl w:val="9"/>
              <w:rPr>
                <w:rFonts w:ascii="仿宋" w:hAnsi="仿宋" w:eastAsia="仿宋"/>
                <w:sz w:val="24"/>
              </w:rPr>
            </w:pPr>
          </w:p>
          <w:p>
            <w:pPr>
              <w:pageBreakBefore w:val="0"/>
              <w:topLinePunct w:val="0"/>
              <w:bidi w:val="0"/>
              <w:outlineLvl w:val="9"/>
              <w:rPr>
                <w:rFonts w:ascii="仿宋" w:hAnsi="仿宋" w:eastAsia="仿宋"/>
                <w:sz w:val="24"/>
              </w:rPr>
            </w:pPr>
          </w:p>
          <w:p>
            <w:pPr>
              <w:pageBreakBefore w:val="0"/>
              <w:topLinePunct w:val="0"/>
              <w:bidi w:val="0"/>
              <w:jc w:val="right"/>
              <w:outlineLvl w:val="9"/>
              <w:rPr>
                <w:rFonts w:ascii="仿宋" w:hAnsi="仿宋" w:eastAsia="仿宋"/>
                <w:sz w:val="24"/>
              </w:rPr>
            </w:pPr>
          </w:p>
          <w:p>
            <w:pPr>
              <w:pageBreakBefore w:val="0"/>
              <w:topLinePunct w:val="0"/>
              <w:bidi w:val="0"/>
              <w:jc w:val="right"/>
              <w:outlineLvl w:val="9"/>
              <w:rPr>
                <w:rFonts w:ascii="仿宋" w:hAnsi="仿宋" w:eastAsia="仿宋"/>
                <w:sz w:val="24"/>
              </w:rPr>
            </w:pPr>
            <w:r>
              <w:rPr>
                <w:rFonts w:hint="eastAsia" w:ascii="仿宋" w:hAnsi="仿宋" w:eastAsia="仿宋"/>
                <w:sz w:val="24"/>
              </w:rPr>
              <w:t>教务处盖章：    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33" w:hRule="atLeast"/>
          <w:jc w:val="center"/>
        </w:trPr>
        <w:tc>
          <w:tcPr>
            <w:tcW w:w="1273" w:type="dxa"/>
            <w:tcBorders>
              <w:top w:val="single" w:color="auto" w:sz="6" w:space="0"/>
              <w:left w:val="single" w:color="auto" w:sz="12" w:space="0"/>
              <w:bottom w:val="single" w:color="auto" w:sz="6" w:space="0"/>
              <w:right w:val="single" w:color="auto" w:sz="6" w:space="0"/>
            </w:tcBorders>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教学异常情况说明</w:t>
            </w:r>
          </w:p>
        </w:tc>
        <w:tc>
          <w:tcPr>
            <w:tcW w:w="7593" w:type="dxa"/>
            <w:gridSpan w:val="5"/>
            <w:tcBorders>
              <w:top w:val="single" w:color="auto" w:sz="6" w:space="0"/>
              <w:left w:val="single" w:color="auto" w:sz="6" w:space="0"/>
              <w:bottom w:val="single" w:color="auto" w:sz="6" w:space="0"/>
              <w:right w:val="single" w:color="auto" w:sz="12" w:space="0"/>
            </w:tcBorders>
            <w:noWrap w:val="0"/>
            <w:vAlign w:val="bottom"/>
          </w:tcPr>
          <w:p>
            <w:pPr>
              <w:pageBreakBefore w:val="0"/>
              <w:topLinePunct w:val="0"/>
              <w:bidi w:val="0"/>
              <w:jc w:val="left"/>
              <w:outlineLvl w:val="9"/>
              <w:rPr>
                <w:rFonts w:ascii="仿宋" w:hAnsi="仿宋" w:eastAsia="仿宋"/>
                <w:sz w:val="18"/>
                <w:szCs w:val="18"/>
              </w:rPr>
            </w:pPr>
            <w:r>
              <w:rPr>
                <w:rFonts w:hint="eastAsia" w:ascii="仿宋" w:hAnsi="仿宋" w:eastAsia="仿宋"/>
                <w:sz w:val="18"/>
                <w:szCs w:val="18"/>
              </w:rPr>
              <w:t>（可另附页）</w:t>
            </w:r>
          </w:p>
          <w:p>
            <w:pPr>
              <w:pageBreakBefore w:val="0"/>
              <w:topLinePunct w:val="0"/>
              <w:bidi w:val="0"/>
              <w:jc w:val="left"/>
              <w:outlineLvl w:val="9"/>
              <w:rPr>
                <w:rFonts w:ascii="仿宋" w:hAnsi="仿宋" w:eastAsia="仿宋"/>
                <w:sz w:val="24"/>
              </w:rPr>
            </w:pPr>
          </w:p>
          <w:p>
            <w:pPr>
              <w:pageBreakBefore w:val="0"/>
              <w:topLinePunct w:val="0"/>
              <w:bidi w:val="0"/>
              <w:jc w:val="left"/>
              <w:outlineLvl w:val="9"/>
              <w:rPr>
                <w:rFonts w:ascii="仿宋" w:hAnsi="仿宋" w:eastAsia="仿宋"/>
                <w:sz w:val="24"/>
              </w:rPr>
            </w:pPr>
          </w:p>
          <w:p>
            <w:pPr>
              <w:pageBreakBefore w:val="0"/>
              <w:topLinePunct w:val="0"/>
              <w:bidi w:val="0"/>
              <w:jc w:val="left"/>
              <w:outlineLvl w:val="9"/>
              <w:rPr>
                <w:rFonts w:ascii="仿宋" w:hAnsi="仿宋" w:eastAsia="仿宋"/>
                <w:sz w:val="24"/>
              </w:rPr>
            </w:pPr>
          </w:p>
          <w:p>
            <w:pPr>
              <w:pageBreakBefore w:val="0"/>
              <w:topLinePunct w:val="0"/>
              <w:bidi w:val="0"/>
              <w:jc w:val="left"/>
              <w:outlineLvl w:val="9"/>
              <w:rPr>
                <w:rFonts w:hint="eastAsia" w:ascii="仿宋" w:hAnsi="仿宋" w:eastAsia="仿宋"/>
                <w:sz w:val="24"/>
              </w:rPr>
            </w:pPr>
          </w:p>
          <w:p>
            <w:pPr>
              <w:pageBreakBefore w:val="0"/>
              <w:topLinePunct w:val="0"/>
              <w:bidi w:val="0"/>
              <w:jc w:val="left"/>
              <w:outlineLvl w:val="9"/>
              <w:rPr>
                <w:rFonts w:ascii="仿宋" w:hAnsi="仿宋" w:eastAsia="仿宋"/>
                <w:sz w:val="24"/>
              </w:rPr>
            </w:pPr>
          </w:p>
          <w:p>
            <w:pPr>
              <w:pageBreakBefore w:val="0"/>
              <w:topLinePunct w:val="0"/>
              <w:bidi w:val="0"/>
              <w:jc w:val="left"/>
              <w:outlineLvl w:val="9"/>
              <w:rPr>
                <w:rFonts w:ascii="仿宋" w:hAnsi="仿宋" w:eastAsia="仿宋"/>
                <w:sz w:val="24"/>
              </w:rPr>
            </w:pPr>
          </w:p>
          <w:p>
            <w:pPr>
              <w:pageBreakBefore w:val="0"/>
              <w:topLinePunct w:val="0"/>
              <w:bidi w:val="0"/>
              <w:jc w:val="left"/>
              <w:outlineLvl w:val="9"/>
              <w:rPr>
                <w:rFonts w:ascii="仿宋" w:hAnsi="仿宋" w:eastAsia="仿宋"/>
                <w:sz w:val="24"/>
              </w:rPr>
            </w:pPr>
          </w:p>
          <w:p>
            <w:pPr>
              <w:pageBreakBefore w:val="0"/>
              <w:topLinePunct w:val="0"/>
              <w:bidi w:val="0"/>
              <w:jc w:val="left"/>
              <w:outlineLvl w:val="9"/>
              <w:rPr>
                <w:rFonts w:ascii="仿宋" w:hAnsi="仿宋" w:eastAsia="仿宋"/>
                <w:sz w:val="24"/>
              </w:rPr>
            </w:pPr>
          </w:p>
          <w:p>
            <w:pPr>
              <w:pageBreakBefore w:val="0"/>
              <w:topLinePunct w:val="0"/>
              <w:bidi w:val="0"/>
              <w:jc w:val="right"/>
              <w:outlineLvl w:val="9"/>
              <w:rPr>
                <w:rFonts w:ascii="仿宋" w:hAnsi="仿宋" w:eastAsia="仿宋"/>
                <w:sz w:val="24"/>
              </w:rPr>
            </w:pPr>
            <w:r>
              <w:rPr>
                <w:rFonts w:hint="eastAsia" w:ascii="仿宋" w:hAnsi="仿宋" w:eastAsia="仿宋"/>
                <w:sz w:val="24"/>
              </w:rPr>
              <w:t>当事人签名：     年    月    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1273" w:type="dxa"/>
            <w:tcBorders>
              <w:top w:val="single" w:color="auto" w:sz="6" w:space="0"/>
              <w:left w:val="single" w:color="auto" w:sz="12" w:space="0"/>
              <w:bottom w:val="single" w:color="auto" w:sz="12" w:space="0"/>
              <w:right w:val="single" w:color="auto" w:sz="6" w:space="0"/>
            </w:tcBorders>
            <w:noWrap w:val="0"/>
            <w:vAlign w:val="center"/>
          </w:tcPr>
          <w:p>
            <w:pPr>
              <w:pageBreakBefore w:val="0"/>
              <w:topLinePunct w:val="0"/>
              <w:bidi w:val="0"/>
              <w:adjustRightInd w:val="0"/>
              <w:snapToGrid w:val="0"/>
              <w:jc w:val="center"/>
              <w:outlineLvl w:val="9"/>
              <w:rPr>
                <w:rFonts w:ascii="仿宋" w:hAnsi="仿宋" w:eastAsia="仿宋"/>
                <w:sz w:val="24"/>
              </w:rPr>
            </w:pPr>
          </w:p>
          <w:p>
            <w:pPr>
              <w:pageBreakBefore w:val="0"/>
              <w:topLinePunct w:val="0"/>
              <w:bidi w:val="0"/>
              <w:adjustRightInd w:val="0"/>
              <w:snapToGrid w:val="0"/>
              <w:jc w:val="center"/>
              <w:outlineLvl w:val="9"/>
              <w:rPr>
                <w:rFonts w:ascii="仿宋" w:hAnsi="仿宋" w:eastAsia="仿宋"/>
                <w:sz w:val="24"/>
              </w:rPr>
            </w:pPr>
            <w:r>
              <w:rPr>
                <w:rFonts w:hint="eastAsia" w:ascii="仿宋" w:hAnsi="仿宋" w:eastAsia="仿宋"/>
                <w:sz w:val="24"/>
              </w:rPr>
              <w:t>相关部门调查情况说明</w:t>
            </w:r>
          </w:p>
        </w:tc>
        <w:tc>
          <w:tcPr>
            <w:tcW w:w="7593" w:type="dxa"/>
            <w:gridSpan w:val="5"/>
            <w:tcBorders>
              <w:top w:val="single" w:color="auto" w:sz="6" w:space="0"/>
              <w:left w:val="single" w:color="auto" w:sz="6" w:space="0"/>
              <w:bottom w:val="single" w:color="auto" w:sz="12" w:space="0"/>
              <w:right w:val="single" w:color="auto" w:sz="12" w:space="0"/>
            </w:tcBorders>
            <w:noWrap w:val="0"/>
            <w:vAlign w:val="top"/>
          </w:tcPr>
          <w:p>
            <w:pPr>
              <w:pageBreakBefore w:val="0"/>
              <w:topLinePunct w:val="0"/>
              <w:bidi w:val="0"/>
              <w:jc w:val="left"/>
              <w:outlineLvl w:val="9"/>
              <w:rPr>
                <w:rFonts w:ascii="仿宋" w:hAnsi="仿宋" w:eastAsia="仿宋"/>
                <w:sz w:val="18"/>
                <w:szCs w:val="18"/>
              </w:rPr>
            </w:pPr>
            <w:r>
              <w:rPr>
                <w:rFonts w:hint="eastAsia" w:ascii="仿宋" w:hAnsi="仿宋" w:eastAsia="仿宋"/>
                <w:sz w:val="18"/>
                <w:szCs w:val="18"/>
              </w:rPr>
              <w:t>（可另附页）</w:t>
            </w:r>
          </w:p>
          <w:p>
            <w:pPr>
              <w:pageBreakBefore w:val="0"/>
              <w:topLinePunct w:val="0"/>
              <w:bidi w:val="0"/>
              <w:outlineLvl w:val="9"/>
              <w:rPr>
                <w:rFonts w:ascii="仿宋" w:hAnsi="仿宋" w:eastAsia="仿宋"/>
                <w:sz w:val="24"/>
              </w:rPr>
            </w:pPr>
          </w:p>
          <w:p>
            <w:pPr>
              <w:pageBreakBefore w:val="0"/>
              <w:topLinePunct w:val="0"/>
              <w:bidi w:val="0"/>
              <w:outlineLvl w:val="9"/>
              <w:rPr>
                <w:rFonts w:ascii="仿宋" w:hAnsi="仿宋" w:eastAsia="仿宋"/>
                <w:sz w:val="24"/>
              </w:rPr>
            </w:pPr>
          </w:p>
          <w:p>
            <w:pPr>
              <w:pageBreakBefore w:val="0"/>
              <w:topLinePunct w:val="0"/>
              <w:bidi w:val="0"/>
              <w:outlineLvl w:val="9"/>
              <w:rPr>
                <w:rFonts w:ascii="仿宋" w:hAnsi="仿宋" w:eastAsia="仿宋"/>
                <w:sz w:val="24"/>
              </w:rPr>
            </w:pPr>
          </w:p>
          <w:p>
            <w:pPr>
              <w:pageBreakBefore w:val="0"/>
              <w:topLinePunct w:val="0"/>
              <w:bidi w:val="0"/>
              <w:outlineLvl w:val="9"/>
              <w:rPr>
                <w:rFonts w:ascii="仿宋" w:hAnsi="仿宋" w:eastAsia="仿宋"/>
                <w:sz w:val="24"/>
              </w:rPr>
            </w:pPr>
          </w:p>
          <w:p>
            <w:pPr>
              <w:pageBreakBefore w:val="0"/>
              <w:topLinePunct w:val="0"/>
              <w:bidi w:val="0"/>
              <w:outlineLvl w:val="9"/>
              <w:rPr>
                <w:rFonts w:ascii="仿宋" w:hAnsi="仿宋" w:eastAsia="仿宋"/>
                <w:sz w:val="24"/>
              </w:rPr>
            </w:pPr>
          </w:p>
          <w:p>
            <w:pPr>
              <w:pageBreakBefore w:val="0"/>
              <w:topLinePunct w:val="0"/>
              <w:bidi w:val="0"/>
              <w:outlineLvl w:val="9"/>
              <w:rPr>
                <w:rFonts w:ascii="仿宋" w:hAnsi="仿宋" w:eastAsia="仿宋"/>
                <w:sz w:val="24"/>
              </w:rPr>
            </w:pPr>
          </w:p>
          <w:p>
            <w:pPr>
              <w:pageBreakBefore w:val="0"/>
              <w:topLinePunct w:val="0"/>
              <w:bidi w:val="0"/>
              <w:outlineLvl w:val="9"/>
              <w:rPr>
                <w:rFonts w:ascii="仿宋" w:hAnsi="仿宋" w:eastAsia="仿宋"/>
                <w:sz w:val="24"/>
              </w:rPr>
            </w:pPr>
          </w:p>
          <w:p>
            <w:pPr>
              <w:pageBreakBefore w:val="0"/>
              <w:topLinePunct w:val="0"/>
              <w:bidi w:val="0"/>
              <w:outlineLvl w:val="9"/>
              <w:rPr>
                <w:rFonts w:ascii="仿宋" w:hAnsi="仿宋" w:eastAsia="仿宋"/>
                <w:sz w:val="24"/>
              </w:rPr>
            </w:pPr>
          </w:p>
          <w:p>
            <w:pPr>
              <w:pageBreakBefore w:val="0"/>
              <w:wordWrap w:val="0"/>
              <w:topLinePunct w:val="0"/>
              <w:bidi w:val="0"/>
              <w:ind w:firstLine="240" w:firstLineChars="100"/>
              <w:jc w:val="right"/>
              <w:outlineLvl w:val="9"/>
              <w:rPr>
                <w:rFonts w:ascii="仿宋" w:hAnsi="仿宋" w:eastAsia="仿宋"/>
                <w:sz w:val="24"/>
              </w:rPr>
            </w:pPr>
          </w:p>
          <w:p>
            <w:pPr>
              <w:pageBreakBefore w:val="0"/>
              <w:topLinePunct w:val="0"/>
              <w:bidi w:val="0"/>
              <w:ind w:firstLine="240" w:firstLineChars="100"/>
              <w:jc w:val="right"/>
              <w:outlineLvl w:val="9"/>
              <w:rPr>
                <w:rFonts w:ascii="仿宋" w:hAnsi="仿宋" w:eastAsia="仿宋"/>
                <w:sz w:val="24"/>
              </w:rPr>
            </w:pPr>
            <w:r>
              <w:rPr>
                <w:rFonts w:hint="eastAsia" w:ascii="仿宋" w:hAnsi="仿宋" w:eastAsia="仿宋"/>
                <w:sz w:val="24"/>
              </w:rPr>
              <w:t>部门负责人签字（盖章）：    年    月    日</w:t>
            </w:r>
          </w:p>
        </w:tc>
      </w:tr>
    </w:tbl>
    <w:p>
      <w:pPr>
        <w:pageBreakBefore w:val="0"/>
        <w:topLinePunct w:val="0"/>
        <w:bidi w:val="0"/>
        <w:ind w:left="945" w:hanging="945" w:hangingChars="450"/>
        <w:outlineLvl w:val="9"/>
        <w:rPr>
          <w:rFonts w:ascii="宋体" w:cs="宋体"/>
          <w:color w:val="000000"/>
          <w:kern w:val="0"/>
          <w:szCs w:val="21"/>
        </w:rPr>
      </w:pPr>
    </w:p>
    <w:p>
      <w:pPr>
        <w:pageBreakBefore w:val="0"/>
        <w:topLinePunct w:val="0"/>
        <w:bidi w:val="0"/>
        <w:ind w:firstLine="210" w:firstLineChars="100"/>
        <w:jc w:val="left"/>
        <w:outlineLvl w:val="9"/>
        <w:rPr>
          <w:rFonts w:ascii="仿宋" w:hAnsi="仿宋" w:eastAsia="仿宋" w:cs="宋体"/>
          <w:b/>
          <w:color w:val="000000"/>
          <w:kern w:val="0"/>
          <w:szCs w:val="21"/>
        </w:rPr>
      </w:pPr>
      <w:r>
        <w:rPr>
          <w:rFonts w:hint="eastAsia" w:ascii="仿宋" w:hAnsi="仿宋" w:eastAsia="仿宋" w:cs="宋体"/>
          <w:color w:val="000000"/>
          <w:kern w:val="0"/>
          <w:szCs w:val="21"/>
        </w:rPr>
        <w:t>注：</w:t>
      </w:r>
      <w:r>
        <w:rPr>
          <w:rFonts w:ascii="仿宋" w:hAnsi="仿宋" w:eastAsia="仿宋" w:cs="宋体"/>
          <w:color w:val="000000"/>
          <w:kern w:val="0"/>
          <w:szCs w:val="21"/>
        </w:rPr>
        <w:t>1.</w:t>
      </w:r>
      <w:r>
        <w:rPr>
          <w:rFonts w:hint="eastAsia" w:ascii="仿宋" w:hAnsi="仿宋" w:eastAsia="仿宋" w:cs="宋体"/>
          <w:color w:val="000000"/>
          <w:kern w:val="0"/>
          <w:szCs w:val="21"/>
        </w:rPr>
        <w:t>教务处根据报告人发现异常情况作出基本判断后及时填写本表交当事人相关部门领导，部门在接到此表的5个工作日内填写完成并报送教务处</w:t>
      </w:r>
    </w:p>
    <w:p>
      <w:pPr>
        <w:pageBreakBefore w:val="0"/>
        <w:topLinePunct w:val="0"/>
        <w:bidi w:val="0"/>
        <w:snapToGrid w:val="0"/>
        <w:spacing w:line="240" w:lineRule="atLeast"/>
        <w:jc w:val="center"/>
        <w:outlineLvl w:val="9"/>
        <w:rPr>
          <w:rFonts w:ascii="黑体" w:eastAsia="黑体"/>
          <w:sz w:val="28"/>
          <w:szCs w:val="28"/>
        </w:rPr>
      </w:pPr>
      <w:r>
        <w:rPr>
          <w:rFonts w:hint="eastAsia" w:ascii="黑体" w:eastAsia="黑体"/>
          <w:sz w:val="28"/>
          <w:szCs w:val="28"/>
        </w:rPr>
        <w:t>回执单</w:t>
      </w:r>
    </w:p>
    <w:p>
      <w:pPr>
        <w:pageBreakBefore w:val="0"/>
        <w:topLinePunct w:val="0"/>
        <w:bidi w:val="0"/>
        <w:snapToGrid w:val="0"/>
        <w:spacing w:line="240" w:lineRule="atLeast"/>
        <w:jc w:val="left"/>
        <w:outlineLvl w:val="9"/>
        <w:rPr>
          <w:rFonts w:ascii="方正舒体" w:eastAsia="方正舒体"/>
          <w:sz w:val="32"/>
          <w:szCs w:val="32"/>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809" w:type="dxa"/>
            <w:noWrap w:val="0"/>
            <w:vAlign w:val="top"/>
          </w:tcPr>
          <w:p>
            <w:pPr>
              <w:pageBreakBefore w:val="0"/>
              <w:topLinePunct w:val="0"/>
              <w:bidi w:val="0"/>
              <w:snapToGrid w:val="0"/>
              <w:spacing w:line="240" w:lineRule="atLeast"/>
              <w:jc w:val="center"/>
              <w:outlineLvl w:val="9"/>
              <w:rPr>
                <w:rFonts w:ascii="仿宋" w:hAnsi="仿宋" w:eastAsia="仿宋" w:cs="宋体"/>
                <w:color w:val="000000"/>
                <w:kern w:val="0"/>
                <w:szCs w:val="21"/>
              </w:rPr>
            </w:pPr>
            <w:r>
              <w:rPr>
                <w:rFonts w:hint="eastAsia" w:ascii="仿宋" w:hAnsi="仿宋" w:eastAsia="仿宋" w:cs="宋体"/>
                <w:color w:val="000000"/>
                <w:kern w:val="0"/>
                <w:szCs w:val="21"/>
              </w:rPr>
              <w:t>当事人</w:t>
            </w:r>
          </w:p>
        </w:tc>
        <w:tc>
          <w:tcPr>
            <w:tcW w:w="6713" w:type="dxa"/>
            <w:noWrap w:val="0"/>
            <w:vAlign w:val="top"/>
          </w:tcPr>
          <w:p>
            <w:pPr>
              <w:pageBreakBefore w:val="0"/>
              <w:topLinePunct w:val="0"/>
              <w:bidi w:val="0"/>
              <w:snapToGrid w:val="0"/>
              <w:spacing w:line="240" w:lineRule="atLeast"/>
              <w:jc w:val="left"/>
              <w:outlineLvl w:val="9"/>
              <w:rPr>
                <w:rFonts w:ascii="方正舒体" w:eastAsia="方正舒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809" w:type="dxa"/>
            <w:noWrap w:val="0"/>
            <w:vAlign w:val="top"/>
          </w:tcPr>
          <w:p>
            <w:pPr>
              <w:pageBreakBefore w:val="0"/>
              <w:topLinePunct w:val="0"/>
              <w:bidi w:val="0"/>
              <w:snapToGrid w:val="0"/>
              <w:spacing w:line="240" w:lineRule="atLeast"/>
              <w:jc w:val="center"/>
              <w:outlineLvl w:val="9"/>
              <w:rPr>
                <w:rFonts w:ascii="仿宋" w:hAnsi="仿宋" w:eastAsia="仿宋" w:cs="宋体"/>
                <w:color w:val="000000"/>
                <w:kern w:val="0"/>
                <w:szCs w:val="21"/>
              </w:rPr>
            </w:pPr>
            <w:r>
              <w:rPr>
                <w:rFonts w:hint="eastAsia" w:ascii="仿宋" w:hAnsi="仿宋" w:eastAsia="仿宋" w:cs="宋体"/>
                <w:color w:val="000000"/>
                <w:kern w:val="0"/>
                <w:szCs w:val="21"/>
              </w:rPr>
              <w:t>收表时间</w:t>
            </w:r>
          </w:p>
        </w:tc>
        <w:tc>
          <w:tcPr>
            <w:tcW w:w="6713" w:type="dxa"/>
            <w:noWrap w:val="0"/>
            <w:vAlign w:val="top"/>
          </w:tcPr>
          <w:p>
            <w:pPr>
              <w:pageBreakBefore w:val="0"/>
              <w:topLinePunct w:val="0"/>
              <w:bidi w:val="0"/>
              <w:snapToGrid w:val="0"/>
              <w:spacing w:line="240" w:lineRule="atLeast"/>
              <w:jc w:val="left"/>
              <w:outlineLvl w:val="9"/>
              <w:rPr>
                <w:rFonts w:ascii="方正舒体" w:eastAsia="方正舒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809" w:type="dxa"/>
            <w:noWrap w:val="0"/>
            <w:vAlign w:val="top"/>
          </w:tcPr>
          <w:p>
            <w:pPr>
              <w:pageBreakBefore w:val="0"/>
              <w:topLinePunct w:val="0"/>
              <w:bidi w:val="0"/>
              <w:snapToGrid w:val="0"/>
              <w:spacing w:line="240" w:lineRule="atLeast"/>
              <w:jc w:val="center"/>
              <w:outlineLvl w:val="9"/>
              <w:rPr>
                <w:rFonts w:ascii="仿宋" w:hAnsi="仿宋" w:eastAsia="仿宋" w:cs="宋体"/>
                <w:color w:val="000000"/>
                <w:kern w:val="0"/>
                <w:szCs w:val="21"/>
              </w:rPr>
            </w:pPr>
            <w:r>
              <w:rPr>
                <w:rFonts w:hint="eastAsia" w:ascii="仿宋" w:hAnsi="仿宋" w:eastAsia="仿宋" w:cs="宋体"/>
                <w:color w:val="000000"/>
                <w:kern w:val="0"/>
                <w:szCs w:val="21"/>
              </w:rPr>
              <w:t>收表部门签字</w:t>
            </w:r>
          </w:p>
        </w:tc>
        <w:tc>
          <w:tcPr>
            <w:tcW w:w="6713" w:type="dxa"/>
            <w:noWrap w:val="0"/>
            <w:vAlign w:val="top"/>
          </w:tcPr>
          <w:p>
            <w:pPr>
              <w:pageBreakBefore w:val="0"/>
              <w:topLinePunct w:val="0"/>
              <w:bidi w:val="0"/>
              <w:snapToGrid w:val="0"/>
              <w:spacing w:line="240" w:lineRule="atLeast"/>
              <w:jc w:val="left"/>
              <w:outlineLvl w:val="9"/>
              <w:rPr>
                <w:rFonts w:ascii="方正舒体" w:eastAsia="方正舒体"/>
                <w:sz w:val="32"/>
                <w:szCs w:val="32"/>
              </w:rPr>
            </w:pPr>
          </w:p>
        </w:tc>
      </w:tr>
    </w:tbl>
    <w:p>
      <w:pPr>
        <w:pageBreakBefore w:val="0"/>
        <w:topLinePunct w:val="0"/>
        <w:bidi w:val="0"/>
        <w:snapToGrid w:val="0"/>
        <w:spacing w:line="240" w:lineRule="atLeast"/>
        <w:jc w:val="left"/>
        <w:outlineLvl w:val="9"/>
        <w:rPr>
          <w:rFonts w:ascii="方正舒体" w:eastAsia="方正舒体"/>
          <w:sz w:val="32"/>
          <w:szCs w:val="32"/>
        </w:rPr>
      </w:pPr>
    </w:p>
    <w:p>
      <w:pPr>
        <w:pageBreakBefore w:val="0"/>
        <w:topLinePunct w:val="0"/>
        <w:bidi w:val="0"/>
        <w:snapToGrid w:val="0"/>
        <w:spacing w:line="240" w:lineRule="atLeast"/>
        <w:jc w:val="left"/>
        <w:outlineLvl w:val="9"/>
        <w:rPr>
          <w:rFonts w:ascii="方正舒体" w:eastAsia="方正舒体"/>
          <w:sz w:val="32"/>
          <w:szCs w:val="32"/>
        </w:rPr>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widowControl/>
        <w:topLinePunct w:val="0"/>
        <w:bidi w:val="0"/>
        <w:outlineLvl w:val="9"/>
      </w:pPr>
    </w:p>
    <w:p>
      <w:pPr>
        <w:pageBreakBefore w:val="0"/>
        <w:topLinePunct w:val="0"/>
        <w:bidi w:val="0"/>
        <w:snapToGrid w:val="0"/>
        <w:spacing w:line="240" w:lineRule="atLeast"/>
        <w:jc w:val="left"/>
        <w:outlineLvl w:val="9"/>
        <w:rPr>
          <w:rFonts w:ascii="方正舒体" w:eastAsia="方正舒体"/>
          <w:sz w:val="32"/>
          <w:szCs w:val="32"/>
        </w:rPr>
      </w:pPr>
    </w:p>
    <w:p>
      <w:pPr>
        <w:pageBreakBefore w:val="0"/>
        <w:topLinePunct w:val="0"/>
        <w:bidi w:val="0"/>
        <w:snapToGrid w:val="0"/>
        <w:spacing w:line="240" w:lineRule="atLeast"/>
        <w:jc w:val="left"/>
        <w:outlineLvl w:val="9"/>
        <w:rPr>
          <w:rFonts w:ascii="方正舒体" w:eastAsia="方正舒体"/>
          <w:sz w:val="32"/>
          <w:szCs w:val="32"/>
        </w:rPr>
      </w:pPr>
    </w:p>
    <w:p>
      <w:pPr>
        <w:pageBreakBefore w:val="0"/>
        <w:topLinePunct w:val="0"/>
        <w:bidi w:val="0"/>
        <w:snapToGrid w:val="0"/>
        <w:spacing w:line="240" w:lineRule="atLeast"/>
        <w:jc w:val="left"/>
        <w:outlineLvl w:val="9"/>
        <w:rPr>
          <w:rFonts w:ascii="方正舒体" w:eastAsia="方正舒体"/>
          <w:sz w:val="32"/>
          <w:szCs w:val="32"/>
        </w:rPr>
      </w:pPr>
    </w:p>
    <w:p>
      <w:pPr>
        <w:pageBreakBefore w:val="0"/>
        <w:topLinePunct w:val="0"/>
        <w:bidi w:val="0"/>
        <w:outlineLvl w:val="9"/>
        <w:rPr>
          <w:rFonts w:ascii="仿宋" w:hAnsi="仿宋" w:eastAsia="仿宋" w:cs="仿宋"/>
          <w:color w:val="000000"/>
          <w:sz w:val="24"/>
        </w:rPr>
      </w:pPr>
      <w:r>
        <w:rPr>
          <w:rFonts w:hint="eastAsia" w:ascii="仿宋" w:hAnsi="仿宋" w:eastAsia="仿宋" w:cs="仿宋"/>
          <w:color w:val="000000"/>
          <w:sz w:val="24"/>
        </w:rPr>
        <w:t>附件4</w:t>
      </w:r>
    </w:p>
    <w:p>
      <w:pPr>
        <w:pageBreakBefore w:val="0"/>
        <w:topLinePunct w:val="0"/>
        <w:bidi w:val="0"/>
        <w:snapToGrid w:val="0"/>
        <w:spacing w:line="240" w:lineRule="atLeast"/>
        <w:jc w:val="center"/>
        <w:outlineLvl w:val="9"/>
        <w:rPr>
          <w:rFonts w:ascii="方正舒体" w:eastAsia="方正舒体"/>
          <w:sz w:val="32"/>
          <w:szCs w:val="32"/>
        </w:rPr>
      </w:pPr>
      <w:r>
        <w:rPr>
          <w:rFonts w:hint="eastAsia" w:ascii="方正舒体" w:eastAsia="方正舒体"/>
          <w:sz w:val="32"/>
          <w:szCs w:val="32"/>
        </w:rPr>
        <w:t>上海电子信息职业技术学院</w:t>
      </w:r>
    </w:p>
    <w:p>
      <w:pPr>
        <w:pageBreakBefore w:val="0"/>
        <w:topLinePunct w:val="0"/>
        <w:bidi w:val="0"/>
        <w:spacing w:line="240" w:lineRule="atLeast"/>
        <w:jc w:val="center"/>
        <w:outlineLvl w:val="9"/>
        <w:rPr>
          <w:rFonts w:ascii="黑体" w:eastAsia="黑体"/>
          <w:bCs/>
          <w:sz w:val="28"/>
          <w:szCs w:val="28"/>
        </w:rPr>
      </w:pPr>
      <w:r>
        <w:rPr>
          <w:rFonts w:ascii="黑体" w:eastAsia="黑体"/>
          <w:sz w:val="28"/>
          <w:szCs w:val="28"/>
        </w:rPr>
        <w:t>20</w:t>
      </w:r>
      <w:r>
        <w:rPr>
          <w:rFonts w:hint="eastAsia" w:ascii="黑体" w:eastAsia="黑体"/>
          <w:sz w:val="28"/>
          <w:szCs w:val="28"/>
        </w:rPr>
        <w:t xml:space="preserve">  </w:t>
      </w:r>
      <w:r>
        <w:rPr>
          <w:rFonts w:ascii="黑体" w:eastAsia="黑体"/>
          <w:sz w:val="28"/>
          <w:szCs w:val="28"/>
        </w:rPr>
        <w:t>— 20</w:t>
      </w:r>
      <w:r>
        <w:rPr>
          <w:rFonts w:hint="eastAsia" w:ascii="黑体" w:eastAsia="黑体"/>
          <w:sz w:val="28"/>
          <w:szCs w:val="28"/>
        </w:rPr>
        <w:t xml:space="preserve">  学年第  学期</w:t>
      </w:r>
      <w:r>
        <w:rPr>
          <w:rFonts w:hint="eastAsia" w:ascii="黑体" w:eastAsia="黑体"/>
          <w:bCs/>
          <w:sz w:val="28"/>
          <w:szCs w:val="28"/>
        </w:rPr>
        <w:t>教学异常情况处理意见表</w:t>
      </w:r>
    </w:p>
    <w:p>
      <w:pPr>
        <w:pageBreakBefore w:val="0"/>
        <w:topLinePunct w:val="0"/>
        <w:bidi w:val="0"/>
        <w:spacing w:line="240" w:lineRule="atLeast"/>
        <w:jc w:val="center"/>
        <w:outlineLvl w:val="9"/>
        <w:rPr>
          <w:rFonts w:ascii="黑体" w:eastAsia="黑体"/>
          <w:b/>
          <w:bCs/>
          <w:sz w:val="10"/>
          <w:szCs w:val="10"/>
        </w:rPr>
      </w:pPr>
    </w:p>
    <w:tbl>
      <w:tblPr>
        <w:tblStyle w:val="37"/>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566"/>
        <w:gridCol w:w="1584"/>
        <w:gridCol w:w="1631"/>
        <w:gridCol w:w="1768"/>
        <w:gridCol w:w="815"/>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97" w:type="dxa"/>
            <w:gridSpan w:val="2"/>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责任人姓名</w:t>
            </w:r>
          </w:p>
        </w:tc>
        <w:tc>
          <w:tcPr>
            <w:tcW w:w="1584" w:type="dxa"/>
            <w:noWrap w:val="0"/>
            <w:vAlign w:val="center"/>
          </w:tcPr>
          <w:p>
            <w:pPr>
              <w:pageBreakBefore w:val="0"/>
              <w:topLinePunct w:val="0"/>
              <w:bidi w:val="0"/>
              <w:jc w:val="center"/>
              <w:outlineLvl w:val="9"/>
              <w:rPr>
                <w:rFonts w:ascii="仿宋" w:hAnsi="仿宋" w:eastAsia="仿宋"/>
                <w:sz w:val="24"/>
              </w:rPr>
            </w:pPr>
          </w:p>
        </w:tc>
        <w:tc>
          <w:tcPr>
            <w:tcW w:w="1631" w:type="dxa"/>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所在单位</w:t>
            </w:r>
          </w:p>
        </w:tc>
        <w:tc>
          <w:tcPr>
            <w:tcW w:w="1768" w:type="dxa"/>
            <w:noWrap w:val="0"/>
            <w:vAlign w:val="center"/>
          </w:tcPr>
          <w:p>
            <w:pPr>
              <w:pageBreakBefore w:val="0"/>
              <w:topLinePunct w:val="0"/>
              <w:bidi w:val="0"/>
              <w:jc w:val="center"/>
              <w:outlineLvl w:val="9"/>
              <w:rPr>
                <w:rFonts w:ascii="仿宋" w:hAnsi="仿宋" w:eastAsia="仿宋"/>
                <w:sz w:val="24"/>
              </w:rPr>
            </w:pPr>
          </w:p>
        </w:tc>
        <w:tc>
          <w:tcPr>
            <w:tcW w:w="815" w:type="dxa"/>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职称</w:t>
            </w:r>
          </w:p>
        </w:tc>
        <w:tc>
          <w:tcPr>
            <w:tcW w:w="1322" w:type="dxa"/>
            <w:noWrap w:val="0"/>
            <w:vAlign w:val="center"/>
          </w:tcPr>
          <w:p>
            <w:pPr>
              <w:pageBreakBefore w:val="0"/>
              <w:topLinePunct w:val="0"/>
              <w:bidi w:val="0"/>
              <w:jc w:val="center"/>
              <w:outlineLvl w:val="9"/>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1697" w:type="dxa"/>
            <w:gridSpan w:val="2"/>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事故发生时间</w:t>
            </w:r>
          </w:p>
        </w:tc>
        <w:tc>
          <w:tcPr>
            <w:tcW w:w="1584" w:type="dxa"/>
            <w:noWrap w:val="0"/>
            <w:vAlign w:val="center"/>
          </w:tcPr>
          <w:p>
            <w:pPr>
              <w:pageBreakBefore w:val="0"/>
              <w:topLinePunct w:val="0"/>
              <w:bidi w:val="0"/>
              <w:jc w:val="center"/>
              <w:outlineLvl w:val="9"/>
              <w:rPr>
                <w:rFonts w:ascii="仿宋" w:hAnsi="仿宋" w:eastAsia="仿宋"/>
                <w:sz w:val="24"/>
              </w:rPr>
            </w:pPr>
          </w:p>
        </w:tc>
        <w:tc>
          <w:tcPr>
            <w:tcW w:w="1631" w:type="dxa"/>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事故发生地点</w:t>
            </w:r>
          </w:p>
        </w:tc>
        <w:tc>
          <w:tcPr>
            <w:tcW w:w="3905" w:type="dxa"/>
            <w:gridSpan w:val="3"/>
            <w:noWrap w:val="0"/>
            <w:vAlign w:val="center"/>
          </w:tcPr>
          <w:p>
            <w:pPr>
              <w:pageBreakBefore w:val="0"/>
              <w:topLinePunct w:val="0"/>
              <w:bidi w:val="0"/>
              <w:jc w:val="center"/>
              <w:outlineLvl w:val="9"/>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0" w:hRule="atLeast"/>
          <w:jc w:val="center"/>
        </w:trPr>
        <w:tc>
          <w:tcPr>
            <w:tcW w:w="1131" w:type="dxa"/>
            <w:noWrap w:val="0"/>
            <w:vAlign w:val="center"/>
          </w:tcPr>
          <w:p>
            <w:pPr>
              <w:pageBreakBefore w:val="0"/>
              <w:topLinePunct w:val="0"/>
              <w:bidi w:val="0"/>
              <w:outlineLvl w:val="9"/>
              <w:rPr>
                <w:rFonts w:eastAsia="仿宋"/>
              </w:rPr>
            </w:pPr>
            <w:r>
              <w:rPr>
                <w:rFonts w:hint="eastAsia" w:ascii="仿宋" w:hAnsi="仿宋" w:eastAsia="仿宋"/>
                <w:sz w:val="24"/>
              </w:rPr>
              <w:t>相关部门处理意见</w:t>
            </w:r>
          </w:p>
          <w:p>
            <w:pPr>
              <w:pageBreakBefore w:val="0"/>
              <w:topLinePunct w:val="0"/>
              <w:bidi w:val="0"/>
              <w:jc w:val="center"/>
              <w:outlineLvl w:val="9"/>
              <w:rPr>
                <w:rFonts w:ascii="仿宋" w:hAnsi="仿宋" w:eastAsia="仿宋"/>
                <w:sz w:val="24"/>
              </w:rPr>
            </w:pPr>
          </w:p>
        </w:tc>
        <w:tc>
          <w:tcPr>
            <w:tcW w:w="7686" w:type="dxa"/>
            <w:gridSpan w:val="6"/>
            <w:noWrap w:val="0"/>
            <w:vAlign w:val="bottom"/>
          </w:tcPr>
          <w:p>
            <w:pPr>
              <w:pageBreakBefore w:val="0"/>
              <w:wordWrap w:val="0"/>
              <w:topLinePunct w:val="0"/>
              <w:bidi w:val="0"/>
              <w:jc w:val="right"/>
              <w:outlineLvl w:val="9"/>
              <w:rPr>
                <w:rFonts w:ascii="仿宋" w:hAnsi="仿宋" w:eastAsia="仿宋"/>
                <w:sz w:val="24"/>
              </w:rPr>
            </w:pPr>
          </w:p>
          <w:p>
            <w:pPr>
              <w:pageBreakBefore w:val="0"/>
              <w:topLinePunct w:val="0"/>
              <w:bidi w:val="0"/>
              <w:jc w:val="right"/>
              <w:outlineLvl w:val="9"/>
              <w:rPr>
                <w:rFonts w:ascii="仿宋" w:hAnsi="仿宋" w:eastAsia="仿宋"/>
                <w:sz w:val="24"/>
              </w:rPr>
            </w:pPr>
          </w:p>
          <w:p>
            <w:pPr>
              <w:pageBreakBefore w:val="0"/>
              <w:topLinePunct w:val="0"/>
              <w:bidi w:val="0"/>
              <w:jc w:val="right"/>
              <w:outlineLvl w:val="9"/>
              <w:rPr>
                <w:rFonts w:ascii="仿宋" w:hAnsi="仿宋" w:eastAsia="仿宋"/>
                <w:sz w:val="24"/>
              </w:rPr>
            </w:pPr>
          </w:p>
          <w:p>
            <w:pPr>
              <w:pageBreakBefore w:val="0"/>
              <w:topLinePunct w:val="0"/>
              <w:bidi w:val="0"/>
              <w:jc w:val="right"/>
              <w:outlineLvl w:val="9"/>
              <w:rPr>
                <w:rFonts w:ascii="仿宋" w:hAnsi="仿宋" w:eastAsia="仿宋"/>
                <w:sz w:val="24"/>
              </w:rPr>
            </w:pPr>
          </w:p>
          <w:p>
            <w:pPr>
              <w:pageBreakBefore w:val="0"/>
              <w:topLinePunct w:val="0"/>
              <w:bidi w:val="0"/>
              <w:jc w:val="right"/>
              <w:outlineLvl w:val="9"/>
              <w:rPr>
                <w:rFonts w:ascii="仿宋" w:hAnsi="仿宋" w:eastAsia="仿宋"/>
                <w:sz w:val="24"/>
              </w:rPr>
            </w:pPr>
          </w:p>
          <w:p>
            <w:pPr>
              <w:pageBreakBefore w:val="0"/>
              <w:topLinePunct w:val="0"/>
              <w:bidi w:val="0"/>
              <w:jc w:val="right"/>
              <w:outlineLvl w:val="9"/>
              <w:rPr>
                <w:rFonts w:ascii="仿宋" w:hAnsi="仿宋" w:eastAsia="仿宋"/>
                <w:sz w:val="24"/>
              </w:rPr>
            </w:pPr>
          </w:p>
          <w:p>
            <w:pPr>
              <w:pageBreakBefore w:val="0"/>
              <w:topLinePunct w:val="0"/>
              <w:bidi w:val="0"/>
              <w:jc w:val="right"/>
              <w:outlineLvl w:val="9"/>
              <w:rPr>
                <w:rFonts w:hint="eastAsia" w:ascii="仿宋" w:hAnsi="仿宋" w:eastAsia="仿宋"/>
                <w:sz w:val="24"/>
              </w:rPr>
            </w:pPr>
          </w:p>
          <w:p>
            <w:pPr>
              <w:pageBreakBefore w:val="0"/>
              <w:topLinePunct w:val="0"/>
              <w:bidi w:val="0"/>
              <w:jc w:val="right"/>
              <w:outlineLvl w:val="9"/>
              <w:rPr>
                <w:rFonts w:ascii="仿宋" w:hAnsi="仿宋" w:eastAsia="仿宋"/>
                <w:sz w:val="24"/>
              </w:rPr>
            </w:pPr>
          </w:p>
          <w:p>
            <w:pPr>
              <w:pageBreakBefore w:val="0"/>
              <w:topLinePunct w:val="0"/>
              <w:bidi w:val="0"/>
              <w:jc w:val="right"/>
              <w:outlineLvl w:val="9"/>
              <w:rPr>
                <w:rFonts w:hint="eastAsia" w:ascii="仿宋" w:hAnsi="仿宋" w:eastAsia="仿宋"/>
                <w:sz w:val="24"/>
              </w:rPr>
            </w:pPr>
          </w:p>
          <w:p>
            <w:pPr>
              <w:pageBreakBefore w:val="0"/>
              <w:wordWrap w:val="0"/>
              <w:topLinePunct w:val="0"/>
              <w:bidi w:val="0"/>
              <w:jc w:val="right"/>
              <w:outlineLvl w:val="9"/>
              <w:rPr>
                <w:rFonts w:ascii="仿宋" w:hAnsi="仿宋" w:eastAsia="仿宋"/>
                <w:sz w:val="24"/>
              </w:rPr>
            </w:pPr>
          </w:p>
          <w:p>
            <w:pPr>
              <w:pageBreakBefore w:val="0"/>
              <w:wordWrap w:val="0"/>
              <w:topLinePunct w:val="0"/>
              <w:bidi w:val="0"/>
              <w:jc w:val="right"/>
              <w:outlineLvl w:val="9"/>
              <w:rPr>
                <w:rFonts w:ascii="仿宋" w:hAnsi="仿宋" w:eastAsia="仿宋"/>
                <w:sz w:val="24"/>
              </w:rPr>
            </w:pPr>
            <w:r>
              <w:rPr>
                <w:rFonts w:hint="eastAsia" w:ascii="仿宋" w:hAnsi="仿宋" w:eastAsia="仿宋"/>
                <w:sz w:val="24"/>
              </w:rPr>
              <w:t>部门负责人签名：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6" w:hRule="atLeast"/>
          <w:jc w:val="center"/>
        </w:trPr>
        <w:tc>
          <w:tcPr>
            <w:tcW w:w="1131" w:type="dxa"/>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教务处</w:t>
            </w:r>
          </w:p>
          <w:p>
            <w:pPr>
              <w:pageBreakBefore w:val="0"/>
              <w:topLinePunct w:val="0"/>
              <w:bidi w:val="0"/>
              <w:jc w:val="center"/>
              <w:outlineLvl w:val="9"/>
              <w:rPr>
                <w:rFonts w:ascii="仿宋" w:hAnsi="仿宋" w:eastAsia="仿宋"/>
                <w:sz w:val="24"/>
              </w:rPr>
            </w:pPr>
            <w:r>
              <w:rPr>
                <w:rFonts w:hint="eastAsia" w:ascii="仿宋" w:hAnsi="仿宋" w:eastAsia="仿宋"/>
                <w:sz w:val="24"/>
              </w:rPr>
              <w:t>意见</w:t>
            </w:r>
          </w:p>
        </w:tc>
        <w:tc>
          <w:tcPr>
            <w:tcW w:w="7686" w:type="dxa"/>
            <w:gridSpan w:val="6"/>
            <w:noWrap w:val="0"/>
            <w:vAlign w:val="bottom"/>
          </w:tcPr>
          <w:p>
            <w:pPr>
              <w:pageBreakBefore w:val="0"/>
              <w:wordWrap w:val="0"/>
              <w:topLinePunct w:val="0"/>
              <w:bidi w:val="0"/>
              <w:jc w:val="right"/>
              <w:outlineLvl w:val="9"/>
              <w:rPr>
                <w:rFonts w:ascii="仿宋" w:hAnsi="仿宋" w:eastAsia="仿宋"/>
                <w:sz w:val="24"/>
              </w:rPr>
            </w:pPr>
          </w:p>
          <w:p>
            <w:pPr>
              <w:pageBreakBefore w:val="0"/>
              <w:topLinePunct w:val="0"/>
              <w:bidi w:val="0"/>
              <w:jc w:val="right"/>
              <w:outlineLvl w:val="9"/>
              <w:rPr>
                <w:rFonts w:ascii="仿宋" w:hAnsi="仿宋" w:eastAsia="仿宋"/>
                <w:sz w:val="24"/>
              </w:rPr>
            </w:pPr>
          </w:p>
          <w:p>
            <w:pPr>
              <w:pageBreakBefore w:val="0"/>
              <w:topLinePunct w:val="0"/>
              <w:bidi w:val="0"/>
              <w:jc w:val="right"/>
              <w:outlineLvl w:val="9"/>
              <w:rPr>
                <w:rFonts w:ascii="仿宋" w:hAnsi="仿宋" w:eastAsia="仿宋"/>
                <w:sz w:val="24"/>
              </w:rPr>
            </w:pPr>
          </w:p>
          <w:p>
            <w:pPr>
              <w:pageBreakBefore w:val="0"/>
              <w:topLinePunct w:val="0"/>
              <w:bidi w:val="0"/>
              <w:jc w:val="right"/>
              <w:outlineLvl w:val="9"/>
              <w:rPr>
                <w:rFonts w:ascii="仿宋" w:hAnsi="仿宋" w:eastAsia="仿宋"/>
                <w:sz w:val="24"/>
              </w:rPr>
            </w:pPr>
            <w:r>
              <w:rPr>
                <w:rFonts w:hint="eastAsia" w:ascii="仿宋" w:hAnsi="仿宋" w:eastAsia="仿宋"/>
                <w:sz w:val="24"/>
              </w:rPr>
              <w:t>教务处负责人签名：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1" w:hRule="atLeast"/>
          <w:jc w:val="center"/>
        </w:trPr>
        <w:tc>
          <w:tcPr>
            <w:tcW w:w="1131" w:type="dxa"/>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校分管领导</w:t>
            </w:r>
          </w:p>
          <w:p>
            <w:pPr>
              <w:pageBreakBefore w:val="0"/>
              <w:topLinePunct w:val="0"/>
              <w:bidi w:val="0"/>
              <w:jc w:val="center"/>
              <w:outlineLvl w:val="9"/>
              <w:rPr>
                <w:rFonts w:ascii="仿宋" w:hAnsi="仿宋" w:eastAsia="仿宋"/>
                <w:sz w:val="24"/>
              </w:rPr>
            </w:pPr>
            <w:r>
              <w:rPr>
                <w:rFonts w:hint="eastAsia" w:ascii="仿宋" w:hAnsi="仿宋" w:eastAsia="仿宋"/>
                <w:sz w:val="24"/>
              </w:rPr>
              <w:t>审批意见</w:t>
            </w:r>
          </w:p>
        </w:tc>
        <w:tc>
          <w:tcPr>
            <w:tcW w:w="7686" w:type="dxa"/>
            <w:gridSpan w:val="6"/>
            <w:noWrap w:val="0"/>
            <w:vAlign w:val="bottom"/>
          </w:tcPr>
          <w:p>
            <w:pPr>
              <w:pageBreakBefore w:val="0"/>
              <w:wordWrap w:val="0"/>
              <w:topLinePunct w:val="0"/>
              <w:bidi w:val="0"/>
              <w:jc w:val="right"/>
              <w:outlineLvl w:val="9"/>
              <w:rPr>
                <w:rFonts w:ascii="仿宋" w:hAnsi="仿宋" w:eastAsia="仿宋"/>
                <w:sz w:val="24"/>
              </w:rPr>
            </w:pPr>
          </w:p>
          <w:p>
            <w:pPr>
              <w:pageBreakBefore w:val="0"/>
              <w:topLinePunct w:val="0"/>
              <w:bidi w:val="0"/>
              <w:jc w:val="right"/>
              <w:outlineLvl w:val="9"/>
              <w:rPr>
                <w:rFonts w:ascii="仿宋" w:hAnsi="仿宋" w:eastAsia="仿宋"/>
                <w:sz w:val="24"/>
              </w:rPr>
            </w:pPr>
          </w:p>
          <w:p>
            <w:pPr>
              <w:pageBreakBefore w:val="0"/>
              <w:topLinePunct w:val="0"/>
              <w:bidi w:val="0"/>
              <w:jc w:val="right"/>
              <w:outlineLvl w:val="9"/>
              <w:rPr>
                <w:rFonts w:hint="eastAsia" w:ascii="仿宋" w:hAnsi="仿宋" w:eastAsia="仿宋"/>
                <w:sz w:val="24"/>
              </w:rPr>
            </w:pPr>
          </w:p>
          <w:p>
            <w:pPr>
              <w:pageBreakBefore w:val="0"/>
              <w:topLinePunct w:val="0"/>
              <w:bidi w:val="0"/>
              <w:jc w:val="right"/>
              <w:outlineLvl w:val="9"/>
              <w:rPr>
                <w:rFonts w:ascii="仿宋" w:hAnsi="仿宋" w:eastAsia="仿宋"/>
                <w:sz w:val="24"/>
              </w:rPr>
            </w:pPr>
          </w:p>
          <w:p>
            <w:pPr>
              <w:pageBreakBefore w:val="0"/>
              <w:topLinePunct w:val="0"/>
              <w:bidi w:val="0"/>
              <w:jc w:val="right"/>
              <w:outlineLvl w:val="9"/>
              <w:rPr>
                <w:rFonts w:ascii="仿宋" w:hAnsi="仿宋" w:eastAsia="仿宋"/>
                <w:sz w:val="24"/>
              </w:rPr>
            </w:pPr>
          </w:p>
          <w:p>
            <w:pPr>
              <w:pageBreakBefore w:val="0"/>
              <w:topLinePunct w:val="0"/>
              <w:bidi w:val="0"/>
              <w:jc w:val="right"/>
              <w:outlineLvl w:val="9"/>
              <w:rPr>
                <w:rFonts w:ascii="仿宋" w:hAnsi="仿宋" w:eastAsia="仿宋"/>
                <w:sz w:val="24"/>
              </w:rPr>
            </w:pPr>
          </w:p>
          <w:p>
            <w:pPr>
              <w:pageBreakBefore w:val="0"/>
              <w:topLinePunct w:val="0"/>
              <w:bidi w:val="0"/>
              <w:jc w:val="right"/>
              <w:outlineLvl w:val="9"/>
              <w:rPr>
                <w:rFonts w:ascii="仿宋" w:hAnsi="仿宋" w:eastAsia="仿宋"/>
                <w:sz w:val="24"/>
              </w:rPr>
            </w:pPr>
          </w:p>
          <w:p>
            <w:pPr>
              <w:pageBreakBefore w:val="0"/>
              <w:topLinePunct w:val="0"/>
              <w:bidi w:val="0"/>
              <w:jc w:val="right"/>
              <w:outlineLvl w:val="9"/>
              <w:rPr>
                <w:rFonts w:ascii="仿宋" w:hAnsi="仿宋" w:eastAsia="仿宋"/>
                <w:sz w:val="24"/>
              </w:rPr>
            </w:pPr>
          </w:p>
          <w:p>
            <w:pPr>
              <w:pageBreakBefore w:val="0"/>
              <w:topLinePunct w:val="0"/>
              <w:bidi w:val="0"/>
              <w:jc w:val="right"/>
              <w:outlineLvl w:val="9"/>
              <w:rPr>
                <w:rFonts w:ascii="仿宋" w:hAnsi="仿宋" w:eastAsia="仿宋"/>
                <w:sz w:val="24"/>
              </w:rPr>
            </w:pPr>
            <w:r>
              <w:rPr>
                <w:rFonts w:hint="eastAsia" w:ascii="仿宋" w:hAnsi="仿宋" w:eastAsia="仿宋"/>
                <w:sz w:val="24"/>
              </w:rPr>
              <w:t>校分管领导签名：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1131" w:type="dxa"/>
            <w:noWrap w:val="0"/>
            <w:vAlign w:val="center"/>
          </w:tcPr>
          <w:p>
            <w:pPr>
              <w:pageBreakBefore w:val="0"/>
              <w:topLinePunct w:val="0"/>
              <w:bidi w:val="0"/>
              <w:jc w:val="center"/>
              <w:outlineLvl w:val="9"/>
              <w:rPr>
                <w:rFonts w:ascii="仿宋" w:hAnsi="仿宋" w:eastAsia="仿宋"/>
                <w:sz w:val="24"/>
              </w:rPr>
            </w:pPr>
            <w:r>
              <w:rPr>
                <w:rFonts w:hint="eastAsia" w:ascii="仿宋" w:hAnsi="仿宋" w:eastAsia="仿宋"/>
                <w:sz w:val="24"/>
              </w:rPr>
              <w:t>备注</w:t>
            </w:r>
          </w:p>
        </w:tc>
        <w:tc>
          <w:tcPr>
            <w:tcW w:w="7686" w:type="dxa"/>
            <w:gridSpan w:val="6"/>
            <w:noWrap w:val="0"/>
            <w:vAlign w:val="bottom"/>
          </w:tcPr>
          <w:p>
            <w:pPr>
              <w:pageBreakBefore w:val="0"/>
              <w:topLinePunct w:val="0"/>
              <w:bidi w:val="0"/>
              <w:jc w:val="right"/>
              <w:outlineLvl w:val="9"/>
              <w:rPr>
                <w:rFonts w:ascii="仿宋" w:hAnsi="仿宋" w:eastAsia="仿宋"/>
                <w:sz w:val="24"/>
              </w:rPr>
            </w:pPr>
          </w:p>
          <w:p>
            <w:pPr>
              <w:pageBreakBefore w:val="0"/>
              <w:topLinePunct w:val="0"/>
              <w:bidi w:val="0"/>
              <w:jc w:val="right"/>
              <w:outlineLvl w:val="9"/>
              <w:rPr>
                <w:rFonts w:ascii="仿宋" w:hAnsi="仿宋" w:eastAsia="仿宋"/>
                <w:sz w:val="24"/>
              </w:rPr>
            </w:pPr>
          </w:p>
        </w:tc>
      </w:tr>
    </w:tbl>
    <w:p>
      <w:pPr>
        <w:pStyle w:val="16"/>
        <w:pageBreakBefore w:val="0"/>
        <w:topLinePunct w:val="0"/>
        <w:bidi w:val="0"/>
        <w:ind w:firstLine="0" w:firstLineChars="0"/>
        <w:outlineLvl w:val="9"/>
        <w:rPr>
          <w:rFonts w:ascii="仿宋" w:hAnsi="仿宋" w:eastAsia="仿宋"/>
          <w:sz w:val="18"/>
          <w:szCs w:val="18"/>
        </w:rPr>
      </w:pPr>
      <w:r>
        <w:rPr>
          <w:rFonts w:hint="eastAsia" w:ascii="仿宋" w:hAnsi="仿宋" w:eastAsia="仿宋"/>
          <w:sz w:val="18"/>
          <w:szCs w:val="18"/>
        </w:rPr>
        <w:t>注：此表一式三份，责任人所在单位、教务处、人事处各执一份。</w:t>
      </w:r>
    </w:p>
    <w:p>
      <w:pPr>
        <w:pageBreakBefore w:val="0"/>
        <w:topLinePunct w:val="0"/>
        <w:bidi w:val="0"/>
        <w:spacing w:after="12" w:line="259" w:lineRule="auto"/>
        <w:ind w:left="0" w:right="104" w:firstLine="0"/>
        <w:jc w:val="center"/>
        <w:outlineLvl w:val="9"/>
      </w:pPr>
      <w:r>
        <w:rPr>
          <w:rFonts w:ascii="Times New Roman" w:hAnsi="Times New Roman" w:eastAsia="Times New Roman" w:cs="Times New Roman"/>
          <w:sz w:val="24"/>
        </w:rPr>
        <w:t xml:space="preserve">  </w:t>
      </w:r>
    </w:p>
    <w:p>
      <w:pPr>
        <w:pageBreakBefore w:val="0"/>
        <w:topLinePunct w:val="0"/>
        <w:bidi w:val="0"/>
        <w:spacing w:after="424" w:line="259" w:lineRule="auto"/>
        <w:ind w:left="0" w:right="104" w:firstLine="0"/>
        <w:jc w:val="center"/>
        <w:outlineLvl w:val="9"/>
      </w:pPr>
      <w:r>
        <w:rPr>
          <w:rFonts w:ascii="Times New Roman" w:hAnsi="Times New Roman" w:eastAsia="Times New Roman" w:cs="Times New Roman"/>
          <w:sz w:val="24"/>
        </w:rPr>
        <w:t xml:space="preserve"> </w:t>
      </w:r>
    </w:p>
    <w:p>
      <w:pPr>
        <w:pageBreakBefore w:val="0"/>
        <w:topLinePunct w:val="0"/>
        <w:bidi w:val="0"/>
        <w:jc w:val="distribute"/>
        <w:outlineLvl w:val="9"/>
        <w:rPr>
          <w:rFonts w:hint="eastAsia" w:ascii="华文中宋" w:hAnsi="华文中宋" w:eastAsia="华文中宋" w:cs="Times New Roman"/>
          <w:b/>
          <w:color w:val="FF0000"/>
          <w:spacing w:val="10"/>
          <w:sz w:val="56"/>
          <w:szCs w:val="56"/>
          <w:lang w:val="en-US" w:eastAsia="zh-CN"/>
        </w:rPr>
      </w:pPr>
      <w:r>
        <w:rPr>
          <w:rFonts w:hint="eastAsia" w:ascii="华文中宋" w:hAnsi="华文中宋" w:eastAsia="华文中宋" w:cs="Times New Roman"/>
          <w:b/>
          <w:color w:val="FF0000"/>
          <w:spacing w:val="10"/>
          <w:sz w:val="56"/>
          <w:szCs w:val="56"/>
          <w:lang w:val="en-US" w:eastAsia="zh-CN"/>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spacing w:before="156" w:beforeLines="50"/>
        <w:jc w:val="center"/>
        <w:outlineLvl w:val="9"/>
        <w:rPr>
          <w:rFonts w:hint="eastAsia" w:ascii="仿宋_GB2312" w:hAnsi="宋体" w:eastAsia="仿宋_GB2312"/>
          <w:color w:val="FF0000"/>
          <w:szCs w:val="21"/>
        </w:rPr>
      </w:pPr>
      <w:r>
        <w:rPr>
          <w:rFonts w:eastAsia="仿宋_GB2312"/>
          <w:color w:val="000000"/>
          <w:kern w:val="0"/>
          <w:sz w:val="32"/>
          <w:szCs w:val="28"/>
        </w:rPr>
        <w:t>沪电信职院</w:t>
      </w:r>
      <w:r>
        <w:rPr>
          <w:rFonts w:hint="eastAsia" w:ascii="仿宋_GB2312" w:hAnsi="Times New Roman" w:eastAsia="仿宋_GB2312" w:cs="Times New Roman"/>
          <w:color w:val="000000"/>
          <w:kern w:val="0"/>
          <w:sz w:val="32"/>
          <w:szCs w:val="28"/>
          <w:highlight w:val="none"/>
        </w:rPr>
        <w:t>〔2022〕</w:t>
      </w:r>
      <w:r>
        <w:rPr>
          <w:rFonts w:hint="eastAsia" w:ascii="仿宋_GB2312" w:eastAsia="仿宋_GB2312"/>
          <w:color w:val="000000"/>
          <w:kern w:val="0"/>
          <w:sz w:val="32"/>
          <w:szCs w:val="28"/>
          <w:highlight w:val="none"/>
        </w:rPr>
        <w:t>2</w:t>
      </w:r>
      <w:r>
        <w:rPr>
          <w:rFonts w:hint="eastAsia" w:ascii="仿宋_GB2312" w:eastAsia="仿宋_GB2312"/>
          <w:color w:val="000000"/>
          <w:kern w:val="0"/>
          <w:sz w:val="32"/>
          <w:szCs w:val="28"/>
          <w:highlight w:val="none"/>
          <w:lang w:val="en-US" w:eastAsia="zh-CN"/>
        </w:rPr>
        <w:t>4</w:t>
      </w:r>
      <w:r>
        <w:rPr>
          <w:rFonts w:eastAsia="仿宋_GB2312"/>
          <w:color w:val="000000"/>
          <w:kern w:val="0"/>
          <w:sz w:val="32"/>
          <w:szCs w:val="28"/>
        </w:rPr>
        <w:t>号</w:t>
      </w:r>
      <w:r>
        <w:rPr>
          <w:rFonts w:hint="eastAsia" w:eastAsia="仿宋_GB2312"/>
          <w:color w:val="000000"/>
          <w:kern w:val="0"/>
          <w:sz w:val="32"/>
          <w:szCs w:val="28"/>
        </w:rPr>
        <w:t xml:space="preserve"> </w:t>
      </w:r>
    </w:p>
    <w:p>
      <w:pPr>
        <w:pageBreakBefore w:val="0"/>
        <w:topLinePunct w:val="0"/>
        <w:bidi w:val="0"/>
        <w:spacing w:after="0" w:line="259" w:lineRule="auto"/>
        <w:ind w:left="0" w:right="0" w:firstLine="0"/>
        <w:outlineLvl w:val="9"/>
      </w:pPr>
      <w:r>
        <w:rPr>
          <w:rFonts w:ascii="Calibri" w:hAnsi="Calibri" w:eastAsia="Calibri" w:cs="Calibri"/>
          <w:sz w:val="22"/>
        </w:rPr>
        <w:pict>
          <v:group id="Group 3506" o:spid="_x0000_s1331" o:spt="203" style="position:absolute;left:0pt;margin-left:0pt;margin-top:0pt;height:0.05pt;width:432.5pt;z-index:251666432;mso-width-relative:page;mso-height-relative:page;" coordsize="5492750,635" o:gfxdata="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mwmuT0gAAAAIBAAAPAAAAAAAAAAEAIAAAACIAAABkcnMvZG93bnJldi54bWxQSwECFAAUAAAA&#10;CACHTuJATyLh4mYCAADIBQAADgAAAAAAAAABACAAAAAhAQAAZHJzL2Uyb0RvYy54bWxQSwUGAAAA&#10;AAYABgBZAQAA+QUAAAAA&#10;">
            <o:lock v:ext="edit" aspectratio="f"/>
            <v:shape id="Shape 55" o:spid="_x0000_s1332" style="position:absolute;left:0;top:0;height:635;width:5492750;" filled="f" stroked="t" coordsize="5492750,635" o:gfxdata="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UJV25AAAA2wAA&#10;AA8AAAAAAAAAAQAgAAAAIgAAAGRycy9kb3ducmV2LnhtbFBLAQIUABQAAAAIAIdO4kAzLwWeOwAA&#10;ADkAAAAQAAAAAAAAAAEAIAAAAAgBAABkcnMvc2hhcGV4bWwueG1sUEsFBgAAAAAGAAYAWwEAALID&#10;AAAAAA==&#10;" path="m0,0l5492750,635e">
              <v:fill on="f" focussize="0,0"/>
              <v:stroke weight="2.25pt" color="#FF0000" joinstyle="round"/>
              <v:imagedata o:title=""/>
              <o:lock v:ext="edit" aspectratio="f"/>
            </v:shape>
            <w10:anchorlock/>
          </v:group>
        </w:pict>
      </w:r>
      <w:r>
        <w:rPr>
          <w:rFonts w:ascii="Calibri" w:hAnsi="Calibri" w:eastAsia="Calibri" w:cs="Calibri"/>
          <w:sz w:val="22"/>
        </w:rPr>
        <w:pict>
          <v:shape id="_x0000_i1029" o:spt="75" type="#_x0000_t75" style="height:0.05pt;width:432.5pt;" filled="f" stroked="f" coordsize="21600,21600">
            <v:path/>
            <v:fill on="f" focussize="0,0"/>
            <v:stroke on="f"/>
            <v:imagedata o:titl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312" w:beforeLines="100" w:after="0" w:line="240" w:lineRule="auto"/>
        <w:ind w:left="0" w:right="0" w:firstLine="0"/>
        <w:jc w:val="center"/>
        <w:textAlignment w:val="auto"/>
        <w:outlineLvl w:val="0"/>
        <w:rPr>
          <w:rFonts w:hint="eastAsia" w:ascii="黑体" w:hAnsi="黑体" w:eastAsia="黑体" w:cs="黑体"/>
          <w:b/>
          <w:sz w:val="36"/>
          <w:szCs w:val="36"/>
        </w:rPr>
      </w:pPr>
      <w:bookmarkStart w:id="382" w:name="_Toc5531"/>
      <w:r>
        <w:rPr>
          <w:rFonts w:hint="eastAsia" w:ascii="黑体" w:hAnsi="黑体" w:eastAsia="黑体" w:cs="黑体"/>
          <w:b/>
          <w:sz w:val="36"/>
          <w:szCs w:val="36"/>
        </w:rPr>
        <w:t>关于印发《教师指导学生参加职业技能竞赛获奖的奖励办法》的通知</w:t>
      </w:r>
      <w:bookmarkEnd w:id="382"/>
      <w:r>
        <w:rPr>
          <w:rFonts w:hint="eastAsia" w:ascii="黑体" w:hAnsi="黑体" w:eastAsia="黑体" w:cs="黑体"/>
          <w:b/>
          <w:sz w:val="36"/>
          <w:szCs w:val="36"/>
        </w:rPr>
        <w:t xml:space="preserve"> </w:t>
      </w:r>
    </w:p>
    <w:p>
      <w:pPr>
        <w:pageBreakBefore w:val="0"/>
        <w:widowControl w:val="0"/>
        <w:topLinePunct w:val="0"/>
        <w:bidi w:val="0"/>
        <w:spacing w:after="0" w:line="312" w:lineRule="auto"/>
        <w:ind w:left="0" w:right="0" w:firstLine="0"/>
        <w:jc w:val="both"/>
        <w:outlineLvl w:val="9"/>
        <w:rPr>
          <w:rFonts w:hint="eastAsia" w:ascii="仿宋_GB2312" w:hAnsi="Rockwell" w:eastAsia="仿宋_GB2312" w:cs="Times New Roman"/>
          <w:sz w:val="28"/>
          <w:szCs w:val="28"/>
        </w:rPr>
      </w:pPr>
      <w:r>
        <w:rPr>
          <w:rFonts w:hint="eastAsia" w:ascii="仿宋_GB2312" w:hAnsi="Rockwell" w:eastAsia="仿宋_GB2312" w:cs="Times New Roman"/>
          <w:sz w:val="28"/>
          <w:szCs w:val="28"/>
        </w:rPr>
        <w:t xml:space="preserve">各教学单位、职能部门：  </w:t>
      </w:r>
    </w:p>
    <w:p>
      <w:pPr>
        <w:pageBreakBefore w:val="0"/>
        <w:widowControl w:val="0"/>
        <w:topLinePunct w:val="0"/>
        <w:bidi w:val="0"/>
        <w:spacing w:after="0" w:line="312" w:lineRule="auto"/>
        <w:ind w:left="0" w:right="0" w:firstLine="560" w:firstLineChars="200"/>
        <w:jc w:val="both"/>
        <w:outlineLvl w:val="9"/>
        <w:rPr>
          <w:rFonts w:hint="eastAsia" w:ascii="仿宋_GB2312" w:hAnsi="Rockwell" w:eastAsia="仿宋_GB2312" w:cs="Times New Roman"/>
          <w:sz w:val="28"/>
          <w:szCs w:val="28"/>
        </w:rPr>
      </w:pPr>
      <w:r>
        <w:rPr>
          <w:rFonts w:hint="eastAsia" w:ascii="仿宋_GB2312" w:hAnsi="Rockwell" w:eastAsia="仿宋_GB2312" w:cs="Times New Roman"/>
          <w:sz w:val="28"/>
          <w:szCs w:val="28"/>
        </w:rPr>
        <w:t>为进一步深化教育教学改革，推进人才培养模式创新，鼓励广大教师积极参与、组织辅导各级各类专业技能竞赛活动，提升教学质量和办学水平，特制订《教师指导学生参加职业技能竞赛获奖的奖励办法》，现予以公布，请遵照执行。</w:t>
      </w:r>
    </w:p>
    <w:p>
      <w:pPr>
        <w:pageBreakBefore w:val="0"/>
        <w:widowControl w:val="0"/>
        <w:topLinePunct w:val="0"/>
        <w:bidi w:val="0"/>
        <w:spacing w:after="0" w:line="312" w:lineRule="auto"/>
        <w:ind w:left="0" w:right="0" w:firstLine="0"/>
        <w:jc w:val="both"/>
        <w:outlineLvl w:val="9"/>
        <w:rPr>
          <w:rFonts w:hint="eastAsia" w:ascii="仿宋_GB2312" w:hAnsi="Rockwell" w:eastAsia="仿宋_GB2312" w:cs="Times New Roman"/>
          <w:sz w:val="28"/>
          <w:szCs w:val="28"/>
        </w:rPr>
      </w:pPr>
    </w:p>
    <w:p>
      <w:pPr>
        <w:pageBreakBefore w:val="0"/>
        <w:widowControl w:val="0"/>
        <w:topLinePunct w:val="0"/>
        <w:bidi w:val="0"/>
        <w:spacing w:after="0" w:line="312" w:lineRule="auto"/>
        <w:ind w:left="0" w:right="0" w:firstLine="560" w:firstLineChars="200"/>
        <w:jc w:val="both"/>
        <w:outlineLvl w:val="9"/>
        <w:rPr>
          <w:rFonts w:hint="eastAsia" w:ascii="仿宋_GB2312" w:hAnsi="Rockwell" w:eastAsia="仿宋_GB2312" w:cs="Times New Roman"/>
          <w:sz w:val="28"/>
          <w:szCs w:val="28"/>
        </w:rPr>
      </w:pPr>
      <w:r>
        <w:rPr>
          <w:rFonts w:hint="eastAsia" w:ascii="仿宋_GB2312" w:hAnsi="Rockwell" w:eastAsia="仿宋_GB2312" w:cs="Times New Roman"/>
          <w:sz w:val="28"/>
          <w:szCs w:val="28"/>
        </w:rPr>
        <w:t xml:space="preserve">附件：教师指导学生参加职业技能竞赛获奖的奖励办法 </w:t>
      </w:r>
    </w:p>
    <w:p>
      <w:pPr>
        <w:pageBreakBefore w:val="0"/>
        <w:widowControl w:val="0"/>
        <w:topLinePunct w:val="0"/>
        <w:bidi w:val="0"/>
        <w:spacing w:after="0" w:line="312" w:lineRule="auto"/>
        <w:ind w:left="0" w:right="0" w:firstLine="0"/>
        <w:jc w:val="both"/>
        <w:outlineLvl w:val="9"/>
        <w:rPr>
          <w:rFonts w:hint="eastAsia" w:ascii="仿宋_GB2312" w:hAnsi="Rockwell" w:eastAsia="仿宋_GB2312" w:cs="Times New Roman"/>
          <w:sz w:val="28"/>
          <w:szCs w:val="28"/>
        </w:rPr>
      </w:pPr>
      <w:r>
        <w:rPr>
          <w:rFonts w:hint="eastAsia" w:ascii="仿宋_GB2312" w:hAnsi="Rockwell" w:eastAsia="仿宋_GB2312" w:cs="Times New Roman"/>
          <w:sz w:val="28"/>
          <w:szCs w:val="28"/>
        </w:rPr>
        <w:t xml:space="preserve"> </w:t>
      </w:r>
    </w:p>
    <w:p>
      <w:pPr>
        <w:pageBreakBefore w:val="0"/>
        <w:topLinePunct w:val="0"/>
        <w:bidi w:val="0"/>
        <w:spacing w:after="278"/>
        <w:ind w:right="626"/>
        <w:outlineLvl w:val="9"/>
        <w:rPr>
          <w:rFonts w:hint="eastAsia" w:ascii="仿宋" w:hAnsi="仿宋" w:eastAsia="仿宋" w:cs="仿宋"/>
          <w:sz w:val="28"/>
          <w:szCs w:val="28"/>
        </w:rPr>
      </w:pPr>
    </w:p>
    <w:p>
      <w:pPr>
        <w:pageBreakBefore w:val="0"/>
        <w:topLinePunct w:val="0"/>
        <w:bidi w:val="0"/>
        <w:spacing w:after="278"/>
        <w:ind w:left="0" w:leftChars="0" w:right="626" w:firstLine="0" w:firstLineChars="0"/>
        <w:jc w:val="right"/>
        <w:outlineLvl w:val="9"/>
        <w:rPr>
          <w:rFonts w:hint="eastAsia" w:ascii="仿宋_GB2312" w:hAnsi="Rockwell" w:eastAsia="仿宋_GB2312" w:cs="Times New Roman"/>
          <w:b w:val="0"/>
          <w:bCs w:val="0"/>
          <w:kern w:val="2"/>
          <w:sz w:val="28"/>
          <w:szCs w:val="28"/>
          <w:lang w:val="en-US" w:eastAsia="zh-CN" w:bidi="ar-SA"/>
        </w:rPr>
      </w:pPr>
      <w:r>
        <w:rPr>
          <w:rFonts w:hint="eastAsia" w:ascii="仿宋_GB2312" w:hAnsi="Rockwell" w:eastAsia="仿宋_GB2312" w:cs="Times New Roman"/>
          <w:b w:val="0"/>
          <w:bCs w:val="0"/>
          <w:kern w:val="2"/>
          <w:sz w:val="28"/>
          <w:szCs w:val="28"/>
          <w:lang w:val="en-US" w:eastAsia="zh-CN" w:bidi="ar-SA"/>
        </w:rPr>
        <w:t xml:space="preserve">上海电子信息职业技术学院 </w:t>
      </w:r>
    </w:p>
    <w:p>
      <w:pPr>
        <w:pageBreakBefore w:val="0"/>
        <w:topLinePunct w:val="0"/>
        <w:bidi w:val="0"/>
        <w:spacing w:after="0" w:line="259" w:lineRule="auto"/>
        <w:ind w:left="0" w:right="962" w:firstLine="0"/>
        <w:jc w:val="right"/>
        <w:outlineLvl w:val="9"/>
        <w:rPr>
          <w:rFonts w:hint="eastAsia" w:ascii="仿宋_GB2312" w:hAnsi="Rockwell" w:eastAsia="仿宋_GB2312" w:cs="Times New Roman"/>
          <w:b w:val="0"/>
          <w:bCs w:val="0"/>
          <w:kern w:val="2"/>
          <w:sz w:val="28"/>
          <w:szCs w:val="28"/>
          <w:lang w:val="zh-CN" w:eastAsia="zh-CN" w:bidi="ar-SA"/>
        </w:rPr>
      </w:pPr>
      <w:r>
        <w:rPr>
          <w:rFonts w:hint="eastAsia" w:ascii="仿宋_GB2312" w:hAnsi="Rockwell" w:eastAsia="仿宋_GB2312" w:cs="Times New Roman"/>
          <w:b w:val="0"/>
          <w:bCs w:val="0"/>
          <w:kern w:val="2"/>
          <w:sz w:val="28"/>
          <w:szCs w:val="28"/>
          <w:lang w:val="zh-CN" w:eastAsia="zh-CN" w:bidi="ar-SA"/>
        </w:rPr>
        <w:t>202</w:t>
      </w:r>
      <w:r>
        <w:rPr>
          <w:rFonts w:hint="eastAsia" w:ascii="仿宋_GB2312" w:hAnsi="Rockwell" w:eastAsia="仿宋_GB2312" w:cs="Times New Roman"/>
          <w:b w:val="0"/>
          <w:bCs w:val="0"/>
          <w:kern w:val="2"/>
          <w:sz w:val="28"/>
          <w:szCs w:val="28"/>
          <w:lang w:val="en-US" w:eastAsia="zh-CN" w:bidi="ar-SA"/>
        </w:rPr>
        <w:t>2</w:t>
      </w:r>
      <w:r>
        <w:rPr>
          <w:rFonts w:hint="eastAsia" w:ascii="仿宋_GB2312" w:hAnsi="Rockwell" w:eastAsia="仿宋_GB2312" w:cs="Times New Roman"/>
          <w:b w:val="0"/>
          <w:bCs w:val="0"/>
          <w:kern w:val="2"/>
          <w:sz w:val="28"/>
          <w:szCs w:val="28"/>
          <w:lang w:val="zh-CN" w:eastAsia="zh-CN" w:bidi="ar-SA"/>
        </w:rPr>
        <w:t xml:space="preserve"> 年 </w:t>
      </w:r>
      <w:r>
        <w:rPr>
          <w:rFonts w:hint="eastAsia" w:ascii="仿宋_GB2312" w:hAnsi="Rockwell" w:eastAsia="仿宋_GB2312" w:cs="Times New Roman"/>
          <w:b w:val="0"/>
          <w:bCs w:val="0"/>
          <w:kern w:val="2"/>
          <w:sz w:val="28"/>
          <w:szCs w:val="28"/>
          <w:lang w:val="en-US" w:eastAsia="zh-CN" w:bidi="ar-SA"/>
        </w:rPr>
        <w:t>3</w:t>
      </w:r>
      <w:r>
        <w:rPr>
          <w:rFonts w:hint="eastAsia" w:ascii="仿宋_GB2312" w:hAnsi="Rockwell" w:eastAsia="仿宋_GB2312" w:cs="Times New Roman"/>
          <w:b w:val="0"/>
          <w:bCs w:val="0"/>
          <w:kern w:val="2"/>
          <w:sz w:val="28"/>
          <w:szCs w:val="28"/>
          <w:lang w:val="zh-CN" w:eastAsia="zh-CN" w:bidi="ar-SA"/>
        </w:rPr>
        <w:t xml:space="preserve">月 </w:t>
      </w:r>
      <w:r>
        <w:rPr>
          <w:rFonts w:hint="eastAsia" w:ascii="仿宋_GB2312" w:hAnsi="Rockwell" w:eastAsia="仿宋_GB2312" w:cs="Times New Roman"/>
          <w:b w:val="0"/>
          <w:bCs w:val="0"/>
          <w:kern w:val="2"/>
          <w:sz w:val="28"/>
          <w:szCs w:val="28"/>
          <w:lang w:val="en-US" w:eastAsia="zh-CN" w:bidi="ar-SA"/>
        </w:rPr>
        <w:t>11</w:t>
      </w:r>
      <w:r>
        <w:rPr>
          <w:rFonts w:hint="eastAsia" w:ascii="仿宋_GB2312" w:hAnsi="Rockwell" w:eastAsia="仿宋_GB2312" w:cs="Times New Roman"/>
          <w:b w:val="0"/>
          <w:bCs w:val="0"/>
          <w:kern w:val="2"/>
          <w:sz w:val="28"/>
          <w:szCs w:val="28"/>
          <w:lang w:val="zh-CN" w:eastAsia="zh-CN" w:bidi="ar-SA"/>
        </w:rPr>
        <w:t xml:space="preserve"> 日 </w:t>
      </w:r>
    </w:p>
    <w:p>
      <w:pPr>
        <w:pageBreakBefore w:val="0"/>
        <w:topLinePunct w:val="0"/>
        <w:bidi w:val="0"/>
        <w:ind w:left="-5" w:right="0"/>
        <w:outlineLvl w:val="9"/>
        <w:rPr>
          <w:rFonts w:hint="eastAsia" w:ascii="仿宋" w:hAnsi="仿宋" w:eastAsia="仿宋" w:cs="仿宋"/>
          <w:b/>
          <w:bCs/>
          <w:kern w:val="0"/>
          <w:sz w:val="28"/>
          <w:szCs w:val="28"/>
          <w:lang w:val="zh-CN" w:eastAsia="zh-CN" w:bidi="zh-CN"/>
        </w:rPr>
      </w:pPr>
    </w:p>
    <w:p>
      <w:pPr>
        <w:pageBreakBefore w:val="0"/>
        <w:topLinePunct w:val="0"/>
        <w:bidi w:val="0"/>
        <w:ind w:left="-5" w:right="0"/>
        <w:outlineLvl w:val="9"/>
        <w:rPr>
          <w:rFonts w:hint="eastAsia" w:ascii="仿宋" w:hAnsi="仿宋" w:eastAsia="仿宋" w:cs="仿宋"/>
          <w:b/>
          <w:bCs/>
          <w:kern w:val="0"/>
          <w:sz w:val="28"/>
          <w:szCs w:val="28"/>
          <w:lang w:val="zh-CN" w:eastAsia="zh-CN" w:bidi="zh-CN"/>
        </w:rPr>
      </w:pPr>
      <w:r>
        <w:rPr>
          <w:rFonts w:hint="eastAsia" w:ascii="仿宋" w:hAnsi="仿宋" w:eastAsia="仿宋" w:cs="仿宋"/>
          <w:b/>
          <w:bCs/>
          <w:kern w:val="0"/>
          <w:sz w:val="28"/>
          <w:szCs w:val="28"/>
          <w:lang w:val="zh-CN" w:eastAsia="zh-CN" w:bidi="zh-CN"/>
        </w:rPr>
        <w:t xml:space="preserve">附件： </w:t>
      </w:r>
    </w:p>
    <w:p>
      <w:pPr>
        <w:pageBreakBefore w:val="0"/>
        <w:widowControl w:val="0"/>
        <w:topLinePunct w:val="0"/>
        <w:bidi w:val="0"/>
        <w:spacing w:before="312" w:beforeLines="100" w:after="0" w:line="240" w:lineRule="auto"/>
        <w:ind w:left="0" w:right="0" w:firstLine="0"/>
        <w:jc w:val="center"/>
        <w:outlineLvl w:val="9"/>
        <w:rPr>
          <w:rFonts w:hint="eastAsia" w:ascii="黑体" w:hAnsi="黑体" w:eastAsia="黑体" w:cs="黑体"/>
          <w:b/>
          <w:sz w:val="36"/>
          <w:szCs w:val="36"/>
        </w:rPr>
      </w:pPr>
      <w:r>
        <w:rPr>
          <w:rFonts w:hint="eastAsia" w:ascii="黑体" w:hAnsi="黑体" w:eastAsia="黑体" w:cs="黑体"/>
          <w:b/>
          <w:sz w:val="36"/>
          <w:szCs w:val="36"/>
        </w:rPr>
        <w:t xml:space="preserve">教师指导学生参加职业技能竞赛获奖的奖励办法 </w:t>
      </w:r>
    </w:p>
    <w:p>
      <w:pPr>
        <w:pageBreakBefore w:val="0"/>
        <w:numPr>
          <w:ilvl w:val="0"/>
          <w:numId w:val="0"/>
        </w:numPr>
        <w:topLinePunct w:val="0"/>
        <w:bidi w:val="0"/>
        <w:ind w:leftChars="0" w:right="0" w:rightChars="0"/>
        <w:outlineLvl w:val="9"/>
        <w:rPr>
          <w:rFonts w:hint="eastAsia" w:ascii="仿宋" w:hAnsi="仿宋" w:eastAsia="仿宋" w:cs="仿宋"/>
          <w:b/>
          <w:bCs/>
          <w:lang w:eastAsia="zh-CN"/>
        </w:rPr>
      </w:pPr>
    </w:p>
    <w:p>
      <w:pPr>
        <w:pageBreakBefore w:val="0"/>
        <w:numPr>
          <w:ilvl w:val="0"/>
          <w:numId w:val="0"/>
        </w:numPr>
        <w:topLinePunct w:val="0"/>
        <w:bidi w:val="0"/>
        <w:ind w:leftChars="0" w:right="0" w:rightChars="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一、指导思想 </w:t>
      </w:r>
    </w:p>
    <w:p>
      <w:pPr>
        <w:pageBreakBefore w:val="0"/>
        <w:topLinePunct w:val="0"/>
        <w:bidi w:val="0"/>
        <w:ind w:left="-15" w:right="0" w:firstLine="639"/>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进一步深化教育教学改革，推进人才培养模式创新，鼓励广大教师积极参与、组织指导各级各类专业技能竞赛活动，提升教学质量和办学水平。 </w:t>
      </w:r>
    </w:p>
    <w:p>
      <w:pPr>
        <w:pageBreakBefore w:val="0"/>
        <w:numPr>
          <w:ilvl w:val="0"/>
          <w:numId w:val="0"/>
        </w:numPr>
        <w:topLinePunct w:val="0"/>
        <w:bidi w:val="0"/>
        <w:ind w:leftChars="0" w:right="0" w:rightChars="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二、奖励对象 </w:t>
      </w:r>
    </w:p>
    <w:p>
      <w:pPr>
        <w:pageBreakBefore w:val="0"/>
        <w:topLinePunct w:val="0"/>
        <w:bidi w:val="0"/>
        <w:ind w:left="-15" w:right="0" w:firstLine="639"/>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教育类、人社类参与指导学生参加市级一类以上职业技能竞赛获奖的指导教师。 </w:t>
      </w:r>
    </w:p>
    <w:p>
      <w:pPr>
        <w:pageBreakBefore w:val="0"/>
        <w:numPr>
          <w:ilvl w:val="0"/>
          <w:numId w:val="0"/>
        </w:numPr>
        <w:topLinePunct w:val="0"/>
        <w:bidi w:val="0"/>
        <w:ind w:leftChars="0" w:right="0" w:rightChars="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三、奖励方式 </w:t>
      </w:r>
    </w:p>
    <w:p>
      <w:pPr>
        <w:pageBreakBefore w:val="0"/>
        <w:topLinePunct w:val="0"/>
        <w:bidi w:val="0"/>
        <w:ind w:left="649" w:right="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教师奖励包括物质奖励和精神奖励两方面。 </w:t>
      </w:r>
    </w:p>
    <w:p>
      <w:pPr>
        <w:pageBreakBefore w:val="0"/>
        <w:numPr>
          <w:ilvl w:val="0"/>
          <w:numId w:val="0"/>
        </w:numPr>
        <w:topLinePunct w:val="0"/>
        <w:bidi w:val="0"/>
        <w:ind w:leftChars="0" w:right="0" w:rightChars="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四、认定办法 </w:t>
      </w:r>
    </w:p>
    <w:p>
      <w:pPr>
        <w:keepNext w:val="0"/>
        <w:keepLines w:val="0"/>
        <w:pageBreakBefore w:val="0"/>
        <w:widowControl w:val="0"/>
        <w:kinsoku/>
        <w:wordWrap/>
        <w:overflowPunct/>
        <w:topLinePunct w:val="0"/>
        <w:autoSpaceDE w:val="0"/>
        <w:autoSpaceDN w:val="0"/>
        <w:bidi w:val="0"/>
        <w:adjustRightInd/>
        <w:snapToGrid/>
        <w:ind w:left="0" w:leftChars="0" w:right="0" w:firstLine="840" w:firstLineChars="300"/>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同一系列不同竞赛等级的相同竞赛项目，以最高奖项计，不重复计奖；同一竞赛项目，既有团体奖又有个人奖的，以最高奖项计，不重复计奖；团体项目的奖金由各项目负责人统一协调分配，并提供发放标准和依据；同一竞赛项目、相同指导教师、组织多队参加的，可累计奖金；同一竞赛项目中单项奖不可累计，视作一个赛项；不能超过同一竞赛获奖等级高一级奖项的奖励标准，如果同一竞赛获奖等级已封顶，则不能超过上一竞赛级别（参照）的同一获奖等级奖项的奖励标准。</w:t>
      </w:r>
    </w:p>
    <w:p>
      <w:pPr>
        <w:pageBreakBefore w:val="0"/>
        <w:topLinePunct w:val="0"/>
        <w:bidi w:val="0"/>
        <w:ind w:left="-15" w:right="0" w:firstLine="639"/>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2.级别定义标准：由教育行政部门、同级人力资源和社会保障部门牵头组织的为一类竞赛（除冠名的专项性比赛和指派性比赛外）；由行业主管部门、教指委或学（协）会牵头组织的为二类竞赛；无法归入上述两类竞赛的列为三类竞赛。 </w:t>
      </w:r>
    </w:p>
    <w:p>
      <w:pPr>
        <w:pageBreakBefore w:val="0"/>
        <w:topLinePunct w:val="0"/>
        <w:bidi w:val="0"/>
        <w:ind w:left="-15" w:right="0" w:firstLine="639"/>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3.参加世界技能大赛选拔赛并入围上海市集训队，参照上海市一类级别奖励标准奖励；入围国家集训队的，参照全国性一类级别奖励标准奖励。 </w:t>
      </w:r>
    </w:p>
    <w:p>
      <w:pPr>
        <w:pageBreakBefore w:val="0"/>
        <w:topLinePunct w:val="0"/>
        <w:bidi w:val="0"/>
        <w:ind w:left="649" w:right="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4.教务处为竞赛级别认定部门。如果教师对认定级别有</w:t>
      </w:r>
    </w:p>
    <w:p>
      <w:pPr>
        <w:pageBreakBefore w:val="0"/>
        <w:topLinePunct w:val="0"/>
        <w:bidi w:val="0"/>
        <w:ind w:left="-5" w:right="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异议，可申请由学校教学工作委员会复核。 </w:t>
      </w:r>
    </w:p>
    <w:p>
      <w:pPr>
        <w:pageBreakBefore w:val="0"/>
        <w:topLinePunct w:val="0"/>
        <w:bidi w:val="0"/>
        <w:ind w:left="-5" w:right="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五、奖励工作流程 </w:t>
      </w:r>
    </w:p>
    <w:p>
      <w:pPr>
        <w:pageBreakBefore w:val="0"/>
        <w:topLinePunct w:val="0"/>
        <w:bidi w:val="0"/>
        <w:ind w:left="649" w:right="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1．竞赛项目备案、审批 </w:t>
      </w:r>
    </w:p>
    <w:p>
      <w:pPr>
        <w:pageBreakBefore w:val="0"/>
        <w:topLinePunct w:val="0"/>
        <w:bidi w:val="0"/>
        <w:ind w:left="-15" w:right="0" w:firstLine="639"/>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二级学院申请参加的各级各类专业技能竞赛需在参赛活动前需通过业务大厅中“学生参加校外职业技能大赛申请”流程，按要求进行备案，教务处审核。 </w:t>
      </w:r>
    </w:p>
    <w:p>
      <w:pPr>
        <w:pageBreakBefore w:val="0"/>
        <w:topLinePunct w:val="0"/>
        <w:bidi w:val="0"/>
        <w:ind w:left="649" w:right="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2．获奖材料的审核 </w:t>
      </w:r>
    </w:p>
    <w:p>
      <w:pPr>
        <w:pageBreakBefore w:val="0"/>
        <w:topLinePunct w:val="0"/>
        <w:bidi w:val="0"/>
        <w:ind w:left="649" w:right="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二级学院在竞赛中获奖,应及时在业务大厅申请流程中</w:t>
      </w:r>
    </w:p>
    <w:p>
      <w:pPr>
        <w:pageBreakBefore w:val="0"/>
        <w:topLinePunct w:val="0"/>
        <w:bidi w:val="0"/>
        <w:ind w:left="-5" w:right="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上传获奖证书的原件（或竞赛获奖的名单公示材料）扫描件，教务处审核。 </w:t>
      </w:r>
    </w:p>
    <w:p>
      <w:pPr>
        <w:pageBreakBefore w:val="0"/>
        <w:topLinePunct w:val="0"/>
        <w:bidi w:val="0"/>
        <w:ind w:left="649" w:right="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3．获奖项目奖励的发放 </w:t>
      </w:r>
    </w:p>
    <w:p>
      <w:pPr>
        <w:pageBreakBefore w:val="0"/>
        <w:topLinePunct w:val="0"/>
        <w:bidi w:val="0"/>
        <w:ind w:left="-15" w:right="0" w:firstLine="639"/>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获奖证书或获奖文件收集时段：上一年的 9 月 1 日至本年的 8 月 31 日。教务处对获奖材料通过审核的指导教师统一发放奖励费用。未在按收集时段上传获奖证书或获奖文件的，可推延至下一学年予以奖励。推延后仍不提交的，做自动放弃处理，不再受理。 </w:t>
      </w:r>
    </w:p>
    <w:p>
      <w:pPr>
        <w:pageBreakBefore w:val="0"/>
        <w:numPr>
          <w:ilvl w:val="0"/>
          <w:numId w:val="0"/>
        </w:numPr>
        <w:topLinePunct w:val="0"/>
        <w:bidi w:val="0"/>
        <w:spacing w:after="0" w:line="259" w:lineRule="auto"/>
        <w:ind w:left="630" w:leftChars="0" w:right="0" w:rightChars="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六、奖励标准 </w:t>
      </w:r>
    </w:p>
    <w:p>
      <w:pPr>
        <w:pageBreakBefore w:val="0"/>
        <w:widowControl w:val="0"/>
        <w:numPr>
          <w:ilvl w:val="0"/>
          <w:numId w:val="0"/>
        </w:numPr>
        <w:topLinePunct w:val="0"/>
        <w:bidi w:val="0"/>
        <w:spacing w:after="0" w:line="259" w:lineRule="auto"/>
        <w:ind w:right="0" w:rightChars="0"/>
        <w:jc w:val="both"/>
        <w:outlineLvl w:val="9"/>
        <w:rPr>
          <w:rFonts w:hint="eastAsia" w:ascii="仿宋" w:hAnsi="仿宋" w:eastAsia="仿宋" w:cs="仿宋"/>
          <w:b/>
        </w:rPr>
      </w:pPr>
    </w:p>
    <w:tbl>
      <w:tblPr>
        <w:tblStyle w:val="137"/>
        <w:tblW w:w="8439" w:type="dxa"/>
        <w:tblInd w:w="284" w:type="dxa"/>
        <w:tblLayout w:type="autofit"/>
        <w:tblCellMar>
          <w:top w:w="0" w:type="dxa"/>
          <w:left w:w="235" w:type="dxa"/>
          <w:bottom w:w="0" w:type="dxa"/>
          <w:right w:w="148" w:type="dxa"/>
        </w:tblCellMar>
      </w:tblPr>
      <w:tblGrid>
        <w:gridCol w:w="2371"/>
        <w:gridCol w:w="2024"/>
        <w:gridCol w:w="2019"/>
        <w:gridCol w:w="2025"/>
      </w:tblGrid>
      <w:tr>
        <w:tblPrEx>
          <w:tblCellMar>
            <w:top w:w="0" w:type="dxa"/>
            <w:left w:w="235" w:type="dxa"/>
            <w:bottom w:w="0" w:type="dxa"/>
            <w:right w:w="148" w:type="dxa"/>
          </w:tblCellMar>
        </w:tblPrEx>
        <w:trPr>
          <w:trHeight w:val="724" w:hRule="atLeast"/>
        </w:trPr>
        <w:tc>
          <w:tcPr>
            <w:tcW w:w="2371"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spacing w:after="0" w:line="259" w:lineRule="auto"/>
              <w:ind w:left="139" w:right="0" w:firstLine="0"/>
              <w:outlineLvl w:val="9"/>
              <w:rPr>
                <w:rFonts w:hint="eastAsia" w:ascii="仿宋" w:hAnsi="仿宋" w:eastAsia="仿宋" w:cs="仿宋"/>
              </w:rPr>
            </w:pPr>
            <w:r>
              <w:rPr>
                <w:rFonts w:hint="eastAsia" w:ascii="仿宋" w:hAnsi="仿宋" w:eastAsia="仿宋" w:cs="仿宋"/>
                <w:b/>
                <w:sz w:val="28"/>
              </w:rPr>
              <w:t xml:space="preserve">竞赛级别 </w:t>
            </w:r>
          </w:p>
        </w:tc>
        <w:tc>
          <w:tcPr>
            <w:tcW w:w="2024" w:type="dxa"/>
            <w:tcBorders>
              <w:top w:val="single" w:color="auto" w:sz="4" w:space="0"/>
              <w:left w:val="single" w:color="auto" w:sz="4" w:space="0"/>
              <w:bottom w:val="single" w:color="auto" w:sz="4" w:space="0"/>
              <w:right w:val="single" w:color="auto" w:sz="4" w:space="0"/>
            </w:tcBorders>
            <w:noWrap w:val="0"/>
            <w:vAlign w:val="top"/>
          </w:tcPr>
          <w:p>
            <w:pPr>
              <w:pageBreakBefore w:val="0"/>
              <w:topLinePunct w:val="0"/>
              <w:bidi w:val="0"/>
              <w:spacing w:after="160" w:line="259" w:lineRule="auto"/>
              <w:ind w:left="0" w:right="0" w:firstLine="0"/>
              <w:outlineLvl w:val="9"/>
              <w:rPr>
                <w:rFonts w:hint="eastAsia" w:ascii="仿宋" w:hAnsi="仿宋" w:eastAsia="仿宋" w:cs="仿宋"/>
              </w:rPr>
            </w:pPr>
          </w:p>
        </w:tc>
        <w:tc>
          <w:tcPr>
            <w:tcW w:w="4044"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spacing w:after="0" w:line="259" w:lineRule="auto"/>
              <w:ind w:left="0" w:right="98" w:firstLine="0"/>
              <w:jc w:val="center"/>
              <w:outlineLvl w:val="9"/>
              <w:rPr>
                <w:rFonts w:hint="eastAsia" w:ascii="仿宋" w:hAnsi="仿宋" w:eastAsia="仿宋" w:cs="仿宋"/>
              </w:rPr>
            </w:pPr>
            <w:r>
              <w:rPr>
                <w:rFonts w:hint="eastAsia" w:ascii="仿宋" w:hAnsi="仿宋" w:eastAsia="仿宋" w:cs="仿宋"/>
                <w:b/>
                <w:sz w:val="28"/>
              </w:rPr>
              <w:t xml:space="preserve">奖励总额（元） </w:t>
            </w:r>
          </w:p>
        </w:tc>
      </w:tr>
      <w:tr>
        <w:tblPrEx>
          <w:tblCellMar>
            <w:top w:w="0" w:type="dxa"/>
            <w:left w:w="235" w:type="dxa"/>
            <w:bottom w:w="0" w:type="dxa"/>
            <w:right w:w="148" w:type="dxa"/>
          </w:tblCellMar>
        </w:tblPrEx>
        <w:trPr>
          <w:trHeight w:val="686"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top"/>
          </w:tcPr>
          <w:p>
            <w:pPr>
              <w:pageBreakBefore w:val="0"/>
              <w:topLinePunct w:val="0"/>
              <w:bidi w:val="0"/>
              <w:spacing w:after="160" w:line="259" w:lineRule="auto"/>
              <w:ind w:left="0" w:right="0" w:firstLine="0"/>
              <w:outlineLvl w:val="9"/>
              <w:rPr>
                <w:rFonts w:hint="eastAsia" w:ascii="仿宋" w:hAnsi="仿宋" w:eastAsia="仿宋" w:cs="仿宋"/>
              </w:rPr>
            </w:pPr>
          </w:p>
        </w:tc>
        <w:tc>
          <w:tcPr>
            <w:tcW w:w="202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spacing w:after="0" w:line="259" w:lineRule="auto"/>
              <w:ind w:left="139" w:right="0" w:firstLine="0"/>
              <w:outlineLvl w:val="9"/>
              <w:rPr>
                <w:rFonts w:hint="eastAsia" w:ascii="仿宋" w:hAnsi="仿宋" w:eastAsia="仿宋" w:cs="仿宋"/>
              </w:rPr>
            </w:pPr>
            <w:r>
              <w:rPr>
                <w:rFonts w:hint="eastAsia" w:ascii="仿宋" w:hAnsi="仿宋" w:eastAsia="仿宋" w:cs="仿宋"/>
                <w:b/>
                <w:sz w:val="28"/>
              </w:rPr>
              <w:t xml:space="preserve">一等奖 </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spacing w:after="0" w:line="259" w:lineRule="auto"/>
              <w:ind w:left="140" w:right="0" w:firstLine="0"/>
              <w:outlineLvl w:val="9"/>
              <w:rPr>
                <w:rFonts w:hint="eastAsia" w:ascii="仿宋" w:hAnsi="仿宋" w:eastAsia="仿宋" w:cs="仿宋"/>
              </w:rPr>
            </w:pPr>
            <w:r>
              <w:rPr>
                <w:rFonts w:hint="eastAsia" w:ascii="仿宋" w:hAnsi="仿宋" w:eastAsia="仿宋" w:cs="仿宋"/>
                <w:b/>
                <w:sz w:val="28"/>
              </w:rPr>
              <w:t xml:space="preserve">二等奖 </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spacing w:after="0" w:line="259" w:lineRule="auto"/>
              <w:ind w:left="144" w:right="0" w:firstLine="0"/>
              <w:outlineLvl w:val="9"/>
              <w:rPr>
                <w:rFonts w:hint="eastAsia" w:ascii="仿宋" w:hAnsi="仿宋" w:eastAsia="仿宋" w:cs="仿宋"/>
              </w:rPr>
            </w:pPr>
            <w:r>
              <w:rPr>
                <w:rFonts w:hint="eastAsia" w:ascii="仿宋" w:hAnsi="仿宋" w:eastAsia="仿宋" w:cs="仿宋"/>
                <w:b/>
                <w:sz w:val="28"/>
              </w:rPr>
              <w:t xml:space="preserve">三等奖 </w:t>
            </w:r>
          </w:p>
        </w:tc>
      </w:tr>
      <w:tr>
        <w:tblPrEx>
          <w:tblCellMar>
            <w:top w:w="0" w:type="dxa"/>
            <w:left w:w="235" w:type="dxa"/>
            <w:bottom w:w="0" w:type="dxa"/>
            <w:right w:w="148" w:type="dxa"/>
          </w:tblCellMar>
        </w:tblPrEx>
        <w:trPr>
          <w:trHeight w:val="630" w:hRule="atLeast"/>
        </w:trPr>
        <w:tc>
          <w:tcPr>
            <w:tcW w:w="237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spacing w:after="0" w:line="259" w:lineRule="auto"/>
              <w:ind w:left="0" w:right="0" w:firstLine="0"/>
              <w:jc w:val="both"/>
              <w:outlineLvl w:val="9"/>
              <w:rPr>
                <w:rFonts w:hint="eastAsia" w:ascii="仿宋" w:hAnsi="仿宋" w:eastAsia="仿宋" w:cs="仿宋"/>
                <w:highlight w:val="none"/>
              </w:rPr>
            </w:pPr>
            <w:r>
              <w:rPr>
                <w:rFonts w:hint="eastAsia" w:ascii="仿宋" w:hAnsi="仿宋" w:eastAsia="仿宋" w:cs="仿宋"/>
                <w:sz w:val="28"/>
                <w:highlight w:val="none"/>
              </w:rPr>
              <w:t xml:space="preserve">全国性一类 </w:t>
            </w:r>
          </w:p>
        </w:tc>
        <w:tc>
          <w:tcPr>
            <w:tcW w:w="202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spacing w:after="0" w:line="259" w:lineRule="auto"/>
              <w:ind w:left="0" w:right="97" w:firstLine="0"/>
              <w:jc w:val="center"/>
              <w:outlineLvl w:val="9"/>
              <w:rPr>
                <w:rFonts w:hint="eastAsia" w:ascii="仿宋" w:hAnsi="仿宋" w:eastAsia="仿宋" w:cs="仿宋"/>
                <w:highlight w:val="none"/>
              </w:rPr>
            </w:pPr>
            <w:r>
              <w:rPr>
                <w:rFonts w:hint="eastAsia" w:ascii="仿宋" w:hAnsi="仿宋" w:eastAsia="仿宋" w:cs="仿宋"/>
                <w:sz w:val="28"/>
                <w:highlight w:val="none"/>
                <w:lang w:val="en-US" w:eastAsia="zh-CN"/>
              </w:rPr>
              <w:t>80000</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spacing w:after="0" w:line="259" w:lineRule="auto"/>
              <w:ind w:left="0" w:right="92" w:firstLine="0"/>
              <w:jc w:val="center"/>
              <w:outlineLvl w:val="9"/>
              <w:rPr>
                <w:rFonts w:hint="eastAsia" w:ascii="仿宋" w:hAnsi="仿宋" w:eastAsia="仿宋" w:cs="仿宋"/>
                <w:highlight w:val="none"/>
              </w:rPr>
            </w:pPr>
            <w:r>
              <w:rPr>
                <w:rFonts w:hint="eastAsia" w:ascii="仿宋" w:hAnsi="仿宋" w:eastAsia="仿宋" w:cs="仿宋"/>
                <w:sz w:val="28"/>
                <w:highlight w:val="none"/>
                <w:lang w:val="en-US" w:eastAsia="zh-CN"/>
              </w:rPr>
              <w:t>40000</w:t>
            </w:r>
            <w:r>
              <w:rPr>
                <w:rFonts w:hint="eastAsia" w:ascii="仿宋" w:hAnsi="仿宋" w:eastAsia="仿宋" w:cs="仿宋"/>
                <w:sz w:val="28"/>
                <w:highlight w:val="none"/>
              </w:rPr>
              <w:t xml:space="preserve"> </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spacing w:after="0" w:line="259" w:lineRule="auto"/>
              <w:ind w:left="0" w:right="88" w:firstLine="0"/>
              <w:jc w:val="center"/>
              <w:outlineLvl w:val="9"/>
              <w:rPr>
                <w:rFonts w:hint="eastAsia" w:ascii="仿宋" w:hAnsi="仿宋" w:eastAsia="仿宋" w:cs="仿宋"/>
                <w:sz w:val="28"/>
                <w:highlight w:val="none"/>
              </w:rPr>
            </w:pPr>
            <w:r>
              <w:rPr>
                <w:rFonts w:hint="eastAsia" w:ascii="仿宋" w:hAnsi="仿宋" w:eastAsia="仿宋" w:cs="仿宋"/>
                <w:sz w:val="28"/>
                <w:highlight w:val="none"/>
                <w:lang w:val="en-US" w:eastAsia="zh-CN"/>
              </w:rPr>
              <w:t>30000</w:t>
            </w:r>
          </w:p>
        </w:tc>
      </w:tr>
      <w:tr>
        <w:tblPrEx>
          <w:tblCellMar>
            <w:top w:w="0" w:type="dxa"/>
            <w:left w:w="235" w:type="dxa"/>
            <w:bottom w:w="0" w:type="dxa"/>
            <w:right w:w="148" w:type="dxa"/>
          </w:tblCellMar>
        </w:tblPrEx>
        <w:trPr>
          <w:trHeight w:val="640" w:hRule="atLeast"/>
        </w:trPr>
        <w:tc>
          <w:tcPr>
            <w:tcW w:w="2371"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spacing w:after="0" w:line="259" w:lineRule="auto"/>
              <w:ind w:left="0" w:right="0" w:firstLine="0"/>
              <w:jc w:val="both"/>
              <w:outlineLvl w:val="9"/>
              <w:rPr>
                <w:rFonts w:hint="eastAsia" w:ascii="仿宋" w:hAnsi="仿宋" w:eastAsia="仿宋" w:cs="仿宋"/>
                <w:highlight w:val="none"/>
              </w:rPr>
            </w:pPr>
            <w:r>
              <w:rPr>
                <w:rFonts w:hint="eastAsia" w:ascii="仿宋" w:hAnsi="仿宋" w:eastAsia="仿宋" w:cs="仿宋"/>
                <w:sz w:val="28"/>
                <w:highlight w:val="none"/>
              </w:rPr>
              <w:t xml:space="preserve">上海市一类 </w:t>
            </w:r>
          </w:p>
        </w:tc>
        <w:tc>
          <w:tcPr>
            <w:tcW w:w="2024"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spacing w:after="0" w:line="259" w:lineRule="auto"/>
              <w:ind w:left="0" w:right="97" w:firstLine="0"/>
              <w:jc w:val="center"/>
              <w:outlineLvl w:val="9"/>
              <w:rPr>
                <w:rFonts w:hint="eastAsia" w:ascii="仿宋" w:hAnsi="仿宋" w:eastAsia="仿宋" w:cs="仿宋"/>
                <w:highlight w:val="none"/>
              </w:rPr>
            </w:pPr>
            <w:r>
              <w:rPr>
                <w:rFonts w:hint="eastAsia" w:ascii="仿宋" w:hAnsi="仿宋" w:eastAsia="仿宋" w:cs="仿宋"/>
                <w:sz w:val="28"/>
                <w:highlight w:val="none"/>
                <w:lang w:eastAsia="zh-CN"/>
              </w:rPr>
              <w:t>8</w:t>
            </w:r>
            <w:r>
              <w:rPr>
                <w:rFonts w:hint="eastAsia" w:ascii="仿宋" w:hAnsi="仿宋" w:eastAsia="仿宋" w:cs="仿宋"/>
                <w:sz w:val="28"/>
                <w:highlight w:val="none"/>
              </w:rPr>
              <w:t xml:space="preserve">000 </w:t>
            </w:r>
          </w:p>
        </w:tc>
        <w:tc>
          <w:tcPr>
            <w:tcW w:w="2019"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spacing w:after="0" w:line="259" w:lineRule="auto"/>
              <w:ind w:left="0" w:right="92" w:firstLine="0"/>
              <w:jc w:val="center"/>
              <w:outlineLvl w:val="9"/>
              <w:rPr>
                <w:rFonts w:hint="eastAsia" w:ascii="仿宋" w:hAnsi="仿宋" w:eastAsia="仿宋" w:cs="仿宋"/>
                <w:highlight w:val="none"/>
              </w:rPr>
            </w:pPr>
            <w:r>
              <w:rPr>
                <w:rFonts w:hint="eastAsia" w:ascii="仿宋" w:hAnsi="仿宋" w:eastAsia="仿宋" w:cs="仿宋"/>
                <w:sz w:val="28"/>
                <w:highlight w:val="none"/>
                <w:lang w:eastAsia="zh-CN"/>
              </w:rPr>
              <w:t>5</w:t>
            </w:r>
            <w:r>
              <w:rPr>
                <w:rFonts w:hint="eastAsia" w:ascii="仿宋" w:hAnsi="仿宋" w:eastAsia="仿宋" w:cs="仿宋"/>
                <w:sz w:val="28"/>
                <w:highlight w:val="none"/>
              </w:rPr>
              <w:t xml:space="preserve">000 </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pageBreakBefore w:val="0"/>
              <w:topLinePunct w:val="0"/>
              <w:bidi w:val="0"/>
              <w:spacing w:after="0" w:line="259" w:lineRule="auto"/>
              <w:ind w:left="0" w:right="88" w:firstLine="0"/>
              <w:jc w:val="center"/>
              <w:outlineLvl w:val="9"/>
              <w:rPr>
                <w:rFonts w:hint="eastAsia" w:ascii="仿宋" w:hAnsi="仿宋" w:eastAsia="仿宋" w:cs="仿宋"/>
                <w:highlight w:val="none"/>
              </w:rPr>
            </w:pPr>
            <w:r>
              <w:rPr>
                <w:rFonts w:hint="eastAsia" w:ascii="仿宋" w:hAnsi="仿宋" w:eastAsia="仿宋" w:cs="仿宋"/>
                <w:sz w:val="28"/>
                <w:highlight w:val="none"/>
                <w:lang w:eastAsia="zh-CN"/>
              </w:rPr>
              <w:t>2</w:t>
            </w:r>
            <w:r>
              <w:rPr>
                <w:rFonts w:hint="eastAsia" w:ascii="仿宋" w:hAnsi="仿宋" w:eastAsia="仿宋" w:cs="仿宋"/>
                <w:sz w:val="28"/>
                <w:highlight w:val="none"/>
              </w:rPr>
              <w:t xml:space="preserve">000 </w:t>
            </w:r>
          </w:p>
        </w:tc>
      </w:tr>
    </w:tbl>
    <w:p>
      <w:pPr>
        <w:pageBreakBefore w:val="0"/>
        <w:topLinePunct w:val="0"/>
        <w:bidi w:val="0"/>
        <w:ind w:left="-5" w:right="0"/>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eastAsia="zh-CN"/>
        </w:rPr>
        <w:t>七、</w:t>
      </w:r>
      <w:r>
        <w:rPr>
          <w:rFonts w:hint="eastAsia" w:ascii="仿宋_GB2312" w:hAnsi="仿宋_GB2312" w:eastAsia="仿宋_GB2312" w:cs="仿宋_GB2312"/>
          <w:sz w:val="28"/>
          <w:szCs w:val="28"/>
          <w:highlight w:val="none"/>
        </w:rPr>
        <w:t xml:space="preserve">附则 </w:t>
      </w:r>
    </w:p>
    <w:p>
      <w:pPr>
        <w:keepNext w:val="0"/>
        <w:keepLines w:val="0"/>
        <w:pageBreakBefore w:val="0"/>
        <w:widowControl w:val="0"/>
        <w:kinsoku/>
        <w:wordWrap/>
        <w:overflowPunct/>
        <w:topLinePunct w:val="0"/>
        <w:autoSpaceDE/>
        <w:autoSpaceDN/>
        <w:bidi w:val="0"/>
        <w:adjustRightInd/>
        <w:snapToGrid/>
        <w:ind w:left="-5" w:right="0"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1.本办法只适用于学生参加职业技能竞赛获奖指导教师的奖励费用。 </w:t>
      </w:r>
    </w:p>
    <w:p>
      <w:pPr>
        <w:keepNext w:val="0"/>
        <w:keepLines w:val="0"/>
        <w:pageBreakBefore w:val="0"/>
        <w:widowControl w:val="0"/>
        <w:kinsoku/>
        <w:wordWrap/>
        <w:overflowPunct/>
        <w:topLinePunct w:val="0"/>
        <w:autoSpaceDE/>
        <w:autoSpaceDN/>
        <w:bidi w:val="0"/>
        <w:adjustRightInd/>
        <w:snapToGrid/>
        <w:ind w:left="-5" w:right="0"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2.本办法经校长办公会议通过后，自公布之日起执行。原关于印发《教师指导学生参加职业技能竞赛获奖的奖励办法》的通知（沪电信职院〔2020〕129 号）</w:t>
      </w:r>
      <w:r>
        <w:rPr>
          <w:rFonts w:hint="eastAsia" w:ascii="仿宋_GB2312" w:hAnsi="仿宋_GB2312" w:eastAsia="仿宋_GB2312" w:cs="仿宋_GB2312"/>
          <w:sz w:val="28"/>
          <w:szCs w:val="28"/>
          <w:highlight w:val="none"/>
          <w:lang w:eastAsia="zh-CN"/>
        </w:rPr>
        <w:t>、《学生参加全国一类职业技能竞赛经费管理法》</w:t>
      </w:r>
      <w:r>
        <w:rPr>
          <w:rFonts w:hint="eastAsia" w:ascii="仿宋_GB2312" w:hAnsi="仿宋_GB2312" w:eastAsia="仿宋_GB2312" w:cs="仿宋_GB2312"/>
          <w:sz w:val="28"/>
          <w:szCs w:val="28"/>
          <w:highlight w:val="none"/>
        </w:rPr>
        <w:t>（沪电信职院〔2020〕1</w:t>
      </w:r>
      <w:r>
        <w:rPr>
          <w:rFonts w:hint="eastAsia" w:ascii="仿宋_GB2312" w:hAnsi="仿宋_GB2312" w:eastAsia="仿宋_GB2312" w:cs="仿宋_GB2312"/>
          <w:sz w:val="28"/>
          <w:szCs w:val="28"/>
          <w:highlight w:val="none"/>
          <w:lang w:val="en-US" w:eastAsia="zh-CN"/>
        </w:rPr>
        <w:t>30</w:t>
      </w:r>
      <w:r>
        <w:rPr>
          <w:rFonts w:hint="eastAsia" w:ascii="仿宋_GB2312" w:hAnsi="仿宋_GB2312" w:eastAsia="仿宋_GB2312" w:cs="仿宋_GB2312"/>
          <w:sz w:val="28"/>
          <w:szCs w:val="28"/>
          <w:highlight w:val="none"/>
        </w:rPr>
        <w:t xml:space="preserve"> 号）</w:t>
      </w:r>
      <w:r>
        <w:rPr>
          <w:rFonts w:hint="eastAsia" w:ascii="仿宋_GB2312" w:hAnsi="仿宋_GB2312" w:eastAsia="仿宋_GB2312" w:cs="仿宋_GB2312"/>
          <w:sz w:val="28"/>
          <w:szCs w:val="28"/>
          <w:highlight w:val="none"/>
          <w:lang w:val="en-US" w:eastAsia="zh-CN"/>
        </w:rPr>
        <w:t>文终止</w:t>
      </w:r>
      <w:r>
        <w:rPr>
          <w:rFonts w:hint="eastAsia" w:ascii="仿宋_GB2312" w:hAnsi="仿宋_GB2312" w:eastAsia="仿宋_GB2312" w:cs="仿宋_GB2312"/>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ind w:left="-5" w:right="0" w:firstLine="560" w:firstLineChars="200"/>
        <w:textAlignment w:val="auto"/>
        <w:outlineLvl w:val="9"/>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 xml:space="preserve">3.本办法由教务处负责修订和解释。 </w:t>
      </w:r>
    </w:p>
    <w:p>
      <w:pPr>
        <w:keepNext w:val="0"/>
        <w:keepLines w:val="0"/>
        <w:pageBreakBefore w:val="0"/>
        <w:widowControl w:val="0"/>
        <w:kinsoku/>
        <w:wordWrap/>
        <w:overflowPunct/>
        <w:topLinePunct w:val="0"/>
        <w:autoSpaceDE/>
        <w:autoSpaceDN/>
        <w:bidi w:val="0"/>
        <w:adjustRightInd/>
        <w:snapToGrid/>
        <w:spacing w:after="28" w:line="259" w:lineRule="auto"/>
        <w:ind w:left="639" w:right="0" w:firstLine="422" w:firstLineChars="200"/>
        <w:textAlignment w:val="auto"/>
        <w:outlineLvl w:val="9"/>
        <w:rPr>
          <w:rFonts w:hint="eastAsia" w:ascii="仿宋" w:hAnsi="仿宋" w:eastAsia="仿宋" w:cs="仿宋"/>
        </w:rPr>
      </w:pPr>
      <w:r>
        <w:rPr>
          <w:rFonts w:hint="eastAsia" w:ascii="仿宋" w:hAnsi="仿宋" w:eastAsia="仿宋" w:cs="仿宋"/>
          <w:b/>
        </w:rPr>
        <w:t xml:space="preserve"> </w:t>
      </w:r>
    </w:p>
    <w:p>
      <w:pPr>
        <w:pageBreakBefore w:val="0"/>
        <w:topLinePunct w:val="0"/>
        <w:bidi w:val="0"/>
        <w:spacing w:after="27" w:line="259" w:lineRule="auto"/>
        <w:ind w:left="0" w:right="0" w:firstLine="0"/>
        <w:outlineLvl w:val="9"/>
        <w:rPr>
          <w:rFonts w:hint="eastAsia" w:ascii="仿宋" w:hAnsi="仿宋" w:eastAsia="仿宋" w:cs="仿宋"/>
        </w:rPr>
      </w:pPr>
      <w:r>
        <w:rPr>
          <w:rFonts w:hint="eastAsia" w:ascii="仿宋" w:hAnsi="仿宋" w:eastAsia="仿宋" w:cs="仿宋"/>
          <w:b/>
        </w:rPr>
        <w:t xml:space="preserve"> </w:t>
      </w:r>
    </w:p>
    <w:p>
      <w:pPr>
        <w:pageBreakBefore w:val="0"/>
        <w:topLinePunct w:val="0"/>
        <w:bidi w:val="0"/>
        <w:spacing w:after="28" w:line="259" w:lineRule="auto"/>
        <w:ind w:left="0" w:right="0" w:firstLine="0"/>
        <w:outlineLvl w:val="9"/>
        <w:rPr>
          <w:rFonts w:hint="eastAsia" w:ascii="仿宋" w:hAnsi="仿宋" w:eastAsia="仿宋" w:cs="仿宋"/>
        </w:rPr>
      </w:pPr>
      <w:r>
        <w:rPr>
          <w:rFonts w:hint="eastAsia" w:ascii="仿宋" w:hAnsi="仿宋" w:eastAsia="仿宋" w:cs="仿宋"/>
          <w:b/>
        </w:rPr>
        <w:t xml:space="preserve"> </w:t>
      </w:r>
    </w:p>
    <w:p>
      <w:pPr>
        <w:pageBreakBefore w:val="0"/>
        <w:topLinePunct w:val="0"/>
        <w:bidi w:val="0"/>
        <w:spacing w:after="0" w:line="259" w:lineRule="auto"/>
        <w:ind w:left="0" w:right="0" w:firstLine="0"/>
        <w:outlineLvl w:val="9"/>
        <w:rPr>
          <w:rFonts w:hint="eastAsia" w:ascii="仿宋" w:hAnsi="仿宋" w:eastAsia="仿宋" w:cs="仿宋"/>
        </w:rPr>
      </w:pPr>
      <w:r>
        <w:rPr>
          <w:rFonts w:hint="eastAsia" w:ascii="仿宋" w:hAnsi="仿宋" w:eastAsia="仿宋" w:cs="仿宋"/>
          <w:b/>
        </w:rPr>
        <w:t xml:space="preserve"> </w:t>
      </w:r>
    </w:p>
    <w:p>
      <w:pPr>
        <w:pageBreakBefore w:val="0"/>
        <w:topLinePunct w:val="0"/>
        <w:bidi w:val="0"/>
        <w:spacing w:after="0" w:line="259" w:lineRule="auto"/>
        <w:ind w:left="181" w:right="0" w:firstLine="0"/>
        <w:jc w:val="left"/>
        <w:outlineLvl w:val="9"/>
      </w:pPr>
      <w:r>
        <w:rPr>
          <w:rFonts w:ascii="Calibri" w:hAnsi="Calibri" w:eastAsia="Calibri" w:cs="Calibri"/>
          <w:sz w:val="22"/>
        </w:rPr>
        <w:pict>
          <v:group id="Group 3372" o:spid="_x0000_s1333" o:spt="203" style="position:absolute;left:0pt;margin-left:-405.6pt;margin-top:2.5pt;height:491.1pt;width:382.15pt;z-index:251665408;mso-width-relative:page;mso-height-relative:page;" coordsize="4416883,5253852">
            <o:lock v:ext="edit" aspectratio="f"/>
            <v:rect id="Rectangle 379" o:spid="_x0000_s1334" o:spt="1" style="position:absolute;left:0;top:0;height:291633;width:2436318;" filled="f" stroked="f" coordsize="21600,21600" o:gfxdata="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1fxr4A&#10;AADcAAAADwAAAAAAAAABACAAAAAiAAAAZHJzL2Rvd25yZXYueG1sUEsBAhQAFAAAAAgAh07iQDMv&#10;BZ47AAAAOQAAABAAAAAAAAAAAQAgAAAADQEAAGRycy9zaGFwZXhtbC54bWxQSwUGAAAAAAYABgBb&#10;AQAAtwMAAAAA&#10;">
              <v:path/>
              <v:fill on="f" focussize="0,0"/>
              <v:stroke on="f"/>
              <v:imagedata o:title=""/>
              <o:lock v:ext="edit" aspectratio="f"/>
              <v:textbox inset="0mm,0mm,0mm,0mm">
                <w:txbxContent>
                  <w:p>
                    <w:pPr>
                      <w:spacing w:after="160" w:line="259" w:lineRule="auto"/>
                      <w:ind w:left="0" w:right="0" w:firstLine="0"/>
                    </w:pPr>
                    <w:r>
                      <w:rPr>
                        <w:b/>
                      </w:rPr>
                      <w:t>附：奖励工作流程图</w:t>
                    </w:r>
                  </w:p>
                </w:txbxContent>
              </v:textbox>
            </v:rect>
            <v:rect id="Rectangle 380" o:spid="_x0000_s1335" o:spt="1" style="position:absolute;left:1829766;top:0;height:291633;width:80939;" filled="f" stroked="f" coordsize="21600,21600" o:gfxdata="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KGfLsAAADc&#10;AAAADwAAAAAAAAABACAAAAAiAAAAZHJzL2Rvd25yZXYueG1sUEsBAhQAFAAAAAgAh07iQDMvBZ47&#10;AAAAOQAAABAAAAAAAAAAAQAgAAAACgEAAGRycy9zaGFwZXhtbC54bWxQSwUGAAAAAAYABgBbAQAA&#10;tAMAAAAA&#10;">
              <v:path/>
              <v:fill on="f" focussize="0,0"/>
              <v:stroke on="f"/>
              <v:imagedata o:title=""/>
              <o:lock v:ext="edit" aspectratio="f"/>
              <v:textbox inset="0mm,0mm,0mm,0mm">
                <w:txbxContent>
                  <w:p>
                    <w:pPr>
                      <w:spacing w:after="160" w:line="259" w:lineRule="auto"/>
                      <w:ind w:left="0" w:right="0" w:firstLine="0"/>
                    </w:pPr>
                    <w:r>
                      <w:rPr>
                        <w:b/>
                      </w:rPr>
                      <w:t xml:space="preserve"> </w:t>
                    </w:r>
                  </w:p>
                </w:txbxContent>
              </v:textbox>
            </v:rect>
            <v:shape id="Picture 382" o:spid="_x0000_s1336" o:spt="75" type="#_x0000_t75" style="position:absolute;left:892505;top:299810;height:4919345;width:3484246;" filled="f" o:preferrelative="t" stroked="f" coordsize="21600,21600" o:gfxdata="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IcobsAAADc&#10;AAAADwAAAAAAAAABACAAAAAiAAAAZHJzL2Rvd25yZXYueG1sUEsBAhQAFAAAAAgAh07iQDMvBZ47&#10;AAAAOQAAABAAAAAAAAAAAQAgAAAACgEAAGRycy9zaGFwZXhtbC54bWxQSwUGAAAAAAYABgBbAQAA&#10;tAMAAAAA&#10;">
              <v:path/>
              <v:fill on="f" focussize="0,0"/>
              <v:stroke on="f"/>
              <v:imagedata r:id="rId21" o:title=""/>
              <o:lock v:ext="edit" aspectratio="f"/>
            </v:shape>
            <v:rect id="Rectangle 383" o:spid="_x0000_s1337" o:spt="1" style="position:absolute;left:4378783;top:5085146;height:224380;width:50673;" filled="f" stroked="f" coordsize="21600,21600" o:gfxdata="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gGAu/&#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after="160" w:line="259" w:lineRule="auto"/>
                      <w:ind w:left="0" w:right="0" w:firstLine="0"/>
                    </w:pPr>
                    <w:r>
                      <w:rPr>
                        <w:rFonts w:ascii="Times New Roman" w:hAnsi="Times New Roman" w:eastAsia="Times New Roman" w:cs="Times New Roman"/>
                        <w:sz w:val="24"/>
                      </w:rPr>
                      <w:t xml:space="preserve"> </w:t>
                    </w:r>
                  </w:p>
                </w:txbxContent>
              </v:textbox>
            </v:rect>
            <w10:anchorlock/>
          </v:group>
        </w:pict>
      </w:r>
      <w:r>
        <w:rPr>
          <w:rFonts w:ascii="Times New Roman" w:hAnsi="Times New Roman" w:eastAsia="Times New Roman" w:cs="Times New Roman"/>
          <w:sz w:val="24"/>
        </w:rPr>
        <w:t xml:space="preserve">                 </w:t>
      </w:r>
    </w:p>
    <w:p>
      <w:pPr>
        <w:pageBreakBefore w:val="0"/>
        <w:topLinePunct w:val="0"/>
        <w:bidi w:val="0"/>
        <w:spacing w:after="12" w:line="259" w:lineRule="auto"/>
        <w:ind w:left="56" w:right="0" w:firstLine="0"/>
        <w:jc w:val="center"/>
        <w:outlineLvl w:val="9"/>
      </w:pPr>
      <w:r>
        <w:rPr>
          <w:rFonts w:ascii="Times New Roman" w:hAnsi="Times New Roman" w:eastAsia="Times New Roman" w:cs="Times New Roman"/>
          <w:sz w:val="24"/>
        </w:rPr>
        <w:t xml:space="preserve"> </w:t>
      </w:r>
    </w:p>
    <w:p>
      <w:pPr>
        <w:pageBreakBefore w:val="0"/>
        <w:topLinePunct w:val="0"/>
        <w:bidi w:val="0"/>
        <w:spacing w:after="12" w:line="259" w:lineRule="auto"/>
        <w:ind w:left="56" w:right="0" w:firstLine="0"/>
        <w:jc w:val="center"/>
        <w:outlineLvl w:val="9"/>
      </w:pPr>
      <w:r>
        <w:rPr>
          <w:rFonts w:ascii="Times New Roman" w:hAnsi="Times New Roman" w:eastAsia="Times New Roman" w:cs="Times New Roman"/>
          <w:sz w:val="24"/>
        </w:rPr>
        <w:t xml:space="preserve"> </w:t>
      </w:r>
    </w:p>
    <w:p>
      <w:pPr>
        <w:pageBreakBefore w:val="0"/>
        <w:topLinePunct w:val="0"/>
        <w:bidi w:val="0"/>
        <w:spacing w:after="12" w:line="259" w:lineRule="auto"/>
        <w:ind w:left="56" w:right="0" w:firstLine="0"/>
        <w:jc w:val="center"/>
        <w:outlineLvl w:val="9"/>
      </w:pPr>
      <w:r>
        <w:rPr>
          <w:rFonts w:ascii="Times New Roman" w:hAnsi="Times New Roman" w:eastAsia="Times New Roman" w:cs="Times New Roman"/>
          <w:sz w:val="24"/>
        </w:rPr>
        <w:t xml:space="preserve"> </w:t>
      </w:r>
    </w:p>
    <w:p>
      <w:pPr>
        <w:pageBreakBefore w:val="0"/>
        <w:topLinePunct w:val="0"/>
        <w:bidi w:val="0"/>
        <w:spacing w:after="12" w:line="259" w:lineRule="auto"/>
        <w:ind w:left="56" w:right="0" w:firstLine="0"/>
        <w:jc w:val="center"/>
        <w:outlineLvl w:val="9"/>
      </w:pPr>
      <w:r>
        <w:rPr>
          <w:rFonts w:ascii="Times New Roman" w:hAnsi="Times New Roman" w:eastAsia="Times New Roman" w:cs="Times New Roman"/>
          <w:sz w:val="24"/>
        </w:rPr>
        <w:t xml:space="preserve"> </w:t>
      </w:r>
    </w:p>
    <w:p>
      <w:pPr>
        <w:pageBreakBefore w:val="0"/>
        <w:topLinePunct w:val="0"/>
        <w:bidi w:val="0"/>
        <w:outlineLvl w:val="9"/>
        <w:rPr>
          <w:rFonts w:hint="eastAsia" w:ascii="Times New Roman" w:hAnsi="Times New Roman" w:eastAsia="宋体" w:cs="Times New Roman"/>
          <w:sz w:val="21"/>
          <w:lang w:eastAsia="zh-CN"/>
        </w:rPr>
      </w:pPr>
    </w:p>
    <w:p>
      <w:pPr>
        <w:pageBreakBefore w:val="0"/>
        <w:topLinePunct w:val="0"/>
        <w:bidi w:val="0"/>
        <w:jc w:val="center"/>
        <w:outlineLvl w:val="9"/>
        <w:rPr>
          <w:color w:val="000000"/>
          <w:sz w:val="24"/>
        </w:rPr>
      </w:pPr>
    </w:p>
    <w:p>
      <w:pPr>
        <w:pageBreakBefore w:val="0"/>
        <w:topLinePunct w:val="0"/>
        <w:bidi w:val="0"/>
        <w:jc w:val="center"/>
        <w:outlineLvl w:val="9"/>
        <w:rPr>
          <w:color w:val="000000"/>
          <w:sz w:val="24"/>
        </w:rPr>
      </w:pPr>
    </w:p>
    <w:p>
      <w:pPr>
        <w:pageBreakBefore w:val="0"/>
        <w:topLinePunct w:val="0"/>
        <w:bidi w:val="0"/>
        <w:jc w:val="center"/>
        <w:outlineLvl w:val="9"/>
        <w:rPr>
          <w:color w:val="000000"/>
          <w:sz w:val="24"/>
        </w:rPr>
      </w:pPr>
    </w:p>
    <w:p>
      <w:pPr>
        <w:pageBreakBefore w:val="0"/>
        <w:topLinePunct w:val="0"/>
        <w:bidi w:val="0"/>
        <w:jc w:val="center"/>
        <w:outlineLvl w:val="9"/>
        <w:rPr>
          <w:color w:val="000000"/>
          <w:sz w:val="24"/>
        </w:rPr>
      </w:pPr>
    </w:p>
    <w:p>
      <w:pPr>
        <w:pageBreakBefore w:val="0"/>
        <w:topLinePunct w:val="0"/>
        <w:bidi w:val="0"/>
        <w:jc w:val="center"/>
        <w:outlineLvl w:val="9"/>
        <w:rPr>
          <w:color w:val="000000"/>
          <w:sz w:val="2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lang w:val="en-US" w:eastAsia="zh-CN"/>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lang w:val="en-US" w:eastAsia="zh-CN"/>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lang w:val="en-US" w:eastAsia="zh-CN"/>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lang w:val="en-US" w:eastAsia="zh-CN"/>
        </w:rPr>
      </w:pPr>
      <w:r>
        <w:rPr>
          <w:rFonts w:hint="eastAsia" w:ascii="华文中宋" w:hAnsi="华文中宋" w:eastAsia="华文中宋" w:cs="Times New Roman"/>
          <w:b/>
          <w:color w:val="FF0000"/>
          <w:spacing w:val="10"/>
          <w:sz w:val="56"/>
          <w:szCs w:val="56"/>
          <w:lang w:val="en-US" w:eastAsia="zh-CN"/>
        </w:rPr>
        <w:t>上海电子信息职业技术学院文件</w:t>
      </w:r>
    </w:p>
    <w:p>
      <w:pPr>
        <w:pageBreakBefore w:val="0"/>
        <w:topLinePunct w:val="0"/>
        <w:bidi w:val="0"/>
        <w:outlineLvl w:val="9"/>
        <w:rPr>
          <w:color w:val="000000"/>
          <w:sz w:val="24"/>
        </w:rPr>
      </w:pPr>
    </w:p>
    <w:p>
      <w:pPr>
        <w:pageBreakBefore w:val="0"/>
        <w:topLinePunct w:val="0"/>
        <w:bidi w:val="0"/>
        <w:spacing w:beforeLines="50"/>
        <w:jc w:val="center"/>
        <w:outlineLvl w:val="9"/>
        <w:rPr>
          <w:rFonts w:eastAsia="仿宋_GB2312"/>
          <w:sz w:val="32"/>
          <w:szCs w:val="32"/>
        </w:rPr>
      </w:pPr>
      <w:r>
        <w:rPr>
          <w:rFonts w:eastAsia="仿宋_GB2312"/>
          <w:color w:val="000000"/>
          <w:kern w:val="0"/>
          <w:sz w:val="32"/>
          <w:szCs w:val="28"/>
        </w:rPr>
        <w:t>沪电信职院</w:t>
      </w:r>
      <w:r>
        <w:rPr>
          <w:rFonts w:hint="eastAsia" w:ascii="仿宋_GB2312" w:eastAsia="仿宋_GB2312"/>
          <w:color w:val="000000"/>
          <w:kern w:val="0"/>
          <w:sz w:val="32"/>
          <w:szCs w:val="28"/>
        </w:rPr>
        <w:t>〔</w:t>
      </w:r>
      <w:r>
        <w:rPr>
          <w:rFonts w:ascii="仿宋_GB2312" w:eastAsia="仿宋_GB2312"/>
          <w:color w:val="000000"/>
          <w:kern w:val="0"/>
          <w:sz w:val="32"/>
          <w:szCs w:val="28"/>
        </w:rPr>
        <w:t>20</w:t>
      </w:r>
      <w:r>
        <w:rPr>
          <w:rFonts w:hint="eastAsia" w:ascii="仿宋_GB2312" w:eastAsia="仿宋_GB2312"/>
          <w:color w:val="000000"/>
          <w:kern w:val="0"/>
          <w:sz w:val="32"/>
          <w:szCs w:val="28"/>
          <w:lang w:val="en-US" w:eastAsia="zh-CN"/>
        </w:rPr>
        <w:t>22</w:t>
      </w:r>
      <w:r>
        <w:rPr>
          <w:rFonts w:hint="eastAsia" w:ascii="仿宋_GB2312" w:eastAsia="仿宋_GB2312"/>
          <w:color w:val="000000"/>
          <w:kern w:val="0"/>
          <w:sz w:val="32"/>
          <w:szCs w:val="28"/>
        </w:rPr>
        <w:t>〕</w:t>
      </w:r>
      <w:r>
        <w:rPr>
          <w:rFonts w:hint="eastAsia" w:ascii="仿宋_GB2312" w:eastAsia="仿宋_GB2312"/>
          <w:color w:val="000000"/>
          <w:kern w:val="0"/>
          <w:sz w:val="32"/>
          <w:szCs w:val="28"/>
          <w:lang w:val="en-US" w:eastAsia="zh-CN"/>
        </w:rPr>
        <w:t>25</w:t>
      </w:r>
      <w:r>
        <w:rPr>
          <w:rFonts w:ascii="仿宋_GB2312" w:eastAsia="仿宋_GB2312"/>
          <w:color w:val="000000"/>
          <w:kern w:val="0"/>
          <w:sz w:val="32"/>
          <w:szCs w:val="28"/>
        </w:rPr>
        <w:t>号</w:t>
      </w:r>
      <w:r>
        <w:rPr>
          <w:rFonts w:hint="eastAsia" w:ascii="仿宋_GB2312" w:eastAsia="仿宋_GB2312"/>
          <w:color w:val="000000"/>
          <w:kern w:val="0"/>
          <w:sz w:val="32"/>
          <w:szCs w:val="28"/>
        </w:rPr>
        <w:t xml:space="preserve">   </w:t>
      </w:r>
    </w:p>
    <w:p>
      <w:pPr>
        <w:pageBreakBefore w:val="0"/>
        <w:topLinePunct w:val="0"/>
        <w:bidi w:val="0"/>
        <w:outlineLvl w:val="9"/>
        <w:rPr>
          <w:color w:val="FF0000"/>
          <w:sz w:val="24"/>
        </w:rPr>
      </w:pPr>
      <w:r>
        <w:rPr>
          <w:rFonts w:eastAsia="黑体"/>
          <w:color w:val="FF0000"/>
          <w:sz w:val="28"/>
          <w:szCs w:val="28"/>
          <w:u w:val="thick"/>
        </w:rPr>
        <w:t xml:space="preserve">                                                            </w:t>
      </w:r>
    </w:p>
    <w:p>
      <w:pPr>
        <w:keepNext w:val="0"/>
        <w:keepLines w:val="0"/>
        <w:pageBreakBefore w:val="0"/>
        <w:widowControl w:val="0"/>
        <w:kinsoku/>
        <w:wordWrap/>
        <w:overflowPunct/>
        <w:topLinePunct w:val="0"/>
        <w:autoSpaceDE/>
        <w:autoSpaceDN/>
        <w:bidi w:val="0"/>
        <w:adjustRightInd/>
        <w:snapToGrid/>
        <w:spacing w:before="312" w:beforeLines="100" w:after="0" w:line="240" w:lineRule="auto"/>
        <w:ind w:left="0" w:right="0" w:firstLine="0"/>
        <w:jc w:val="center"/>
        <w:textAlignment w:val="auto"/>
        <w:outlineLvl w:val="0"/>
        <w:rPr>
          <w:rFonts w:hint="eastAsia" w:ascii="黑体" w:hAnsi="黑体" w:eastAsia="黑体" w:cs="黑体"/>
          <w:b/>
          <w:color w:val="000000"/>
          <w:sz w:val="36"/>
          <w:szCs w:val="36"/>
        </w:rPr>
      </w:pPr>
      <w:bookmarkStart w:id="383" w:name="_Toc32607"/>
      <w:r>
        <w:rPr>
          <w:rFonts w:hint="eastAsia" w:ascii="黑体" w:hAnsi="黑体" w:eastAsia="黑体" w:cs="黑体"/>
          <w:b/>
          <w:color w:val="000000"/>
          <w:sz w:val="36"/>
          <w:szCs w:val="36"/>
        </w:rPr>
        <w:fldChar w:fldCharType="begin"/>
      </w:r>
      <w:r>
        <w:rPr>
          <w:rFonts w:hint="eastAsia" w:ascii="黑体" w:hAnsi="黑体" w:eastAsia="黑体" w:cs="黑体"/>
          <w:b/>
          <w:color w:val="000000"/>
          <w:sz w:val="36"/>
          <w:szCs w:val="36"/>
        </w:rPr>
        <w:instrText xml:space="preserve"> Fillin“请键入公文标题” </w:instrText>
      </w:r>
      <w:r>
        <w:rPr>
          <w:rFonts w:hint="eastAsia" w:ascii="黑体" w:hAnsi="黑体" w:eastAsia="黑体" w:cs="黑体"/>
          <w:b/>
          <w:color w:val="000000"/>
          <w:sz w:val="36"/>
          <w:szCs w:val="36"/>
        </w:rPr>
        <w:fldChar w:fldCharType="separate"/>
      </w:r>
      <w:r>
        <w:rPr>
          <w:rFonts w:hint="eastAsia" w:ascii="黑体" w:hAnsi="黑体" w:eastAsia="黑体" w:cs="黑体"/>
          <w:b/>
          <w:color w:val="000000"/>
          <w:sz w:val="36"/>
          <w:szCs w:val="36"/>
        </w:rPr>
        <w:t>关于印发《上海电子信息职业技术学院“质量工程”与“教学改革工程”专项奖励实施细则》的通知</w:t>
      </w:r>
      <w:r>
        <w:rPr>
          <w:rFonts w:hint="eastAsia" w:ascii="黑体" w:hAnsi="黑体" w:eastAsia="黑体" w:cs="黑体"/>
          <w:b/>
          <w:color w:val="000000"/>
          <w:sz w:val="36"/>
          <w:szCs w:val="36"/>
        </w:rPr>
        <w:fldChar w:fldCharType="end"/>
      </w:r>
      <w:bookmarkEnd w:id="383"/>
    </w:p>
    <w:p>
      <w:pPr>
        <w:pageBreakBefore w:val="0"/>
        <w:topLinePunct w:val="0"/>
        <w:bidi w:val="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fldChar w:fldCharType="begin"/>
      </w:r>
      <w:r>
        <w:rPr>
          <w:rFonts w:hint="eastAsia" w:ascii="仿宋_GB2312" w:hAnsi="仿宋_GB2312" w:eastAsia="仿宋_GB2312" w:cs="仿宋_GB2312"/>
          <w:kern w:val="2"/>
          <w:sz w:val="28"/>
          <w:szCs w:val="28"/>
          <w:highlight w:val="none"/>
          <w:lang w:val="en-US" w:eastAsia="zh-CN" w:bidi="ar-SA"/>
        </w:rPr>
        <w:instrText xml:space="preserve"> Fillin“请键入主送机关” </w:instrText>
      </w:r>
      <w:r>
        <w:rPr>
          <w:rFonts w:hint="eastAsia" w:ascii="仿宋_GB2312" w:hAnsi="仿宋_GB2312" w:eastAsia="仿宋_GB2312" w:cs="仿宋_GB2312"/>
          <w:kern w:val="2"/>
          <w:sz w:val="28"/>
          <w:szCs w:val="28"/>
          <w:highlight w:val="none"/>
          <w:lang w:val="en-US" w:eastAsia="zh-CN" w:bidi="ar-SA"/>
        </w:rPr>
        <w:fldChar w:fldCharType="separate"/>
      </w:r>
      <w:r>
        <w:rPr>
          <w:rFonts w:hint="eastAsia" w:ascii="仿宋_GB2312" w:hAnsi="仿宋_GB2312" w:eastAsia="仿宋_GB2312" w:cs="仿宋_GB2312"/>
          <w:kern w:val="2"/>
          <w:sz w:val="28"/>
          <w:szCs w:val="28"/>
          <w:highlight w:val="none"/>
          <w:lang w:val="en-US" w:eastAsia="zh-CN" w:bidi="ar-SA"/>
        </w:rPr>
        <w:t>各教学单位、职能部门</w:t>
      </w:r>
      <w:r>
        <w:rPr>
          <w:rFonts w:hint="eastAsia" w:ascii="仿宋_GB2312" w:hAnsi="仿宋_GB2312" w:eastAsia="仿宋_GB2312" w:cs="仿宋_GB2312"/>
          <w:kern w:val="2"/>
          <w:sz w:val="28"/>
          <w:szCs w:val="28"/>
          <w:highlight w:val="none"/>
          <w:lang w:val="en-US" w:eastAsia="zh-CN" w:bidi="ar-SA"/>
        </w:rPr>
        <w:fldChar w:fldCharType="end"/>
      </w: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进一步推进学校“质量工程”与“教学改革工程”项目建设，奖励在教学实践、改革中取得优秀成绩的团队和个人，发挥专项奖励的激励作用，调动广大教职员工投身“质量工程”与“教学改革工程”项目建设积极性，推动教学工作，全面提高教育质量，现修订《上海电子信息职业技术学院“质量工程”与“教学改革工程”专项奖励实施细则》。现予以印发，请遵照执行。</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附件：上海电子信息职业技术学院“质量工程”与“教学改革工程”专项奖励实施细则</w:t>
      </w:r>
    </w:p>
    <w:p>
      <w:pPr>
        <w:pageBreakBefore w:val="0"/>
        <w:topLinePunct w:val="0"/>
        <w:bidi w:val="0"/>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w:t>
      </w:r>
    </w:p>
    <w:p>
      <w:pPr>
        <w:pageBreakBefore w:val="0"/>
        <w:topLinePunct w:val="0"/>
        <w:bidi w:val="0"/>
        <w:ind w:firstLine="3360" w:firstLineChars="120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上海电子信息职业技术学院</w:t>
      </w:r>
    </w:p>
    <w:p>
      <w:pPr>
        <w:pageBreakBefore w:val="0"/>
        <w:topLinePunct w:val="0"/>
        <w:bidi w:val="0"/>
        <w:jc w:val="righ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2022年3月11日</w:t>
      </w:r>
    </w:p>
    <w:p>
      <w:pPr>
        <w:pageBreakBefore w:val="0"/>
        <w:widowControl/>
        <w:topLinePunct w:val="0"/>
        <w:bidi w:val="0"/>
        <w:spacing w:line="360" w:lineRule="auto"/>
        <w:jc w:val="left"/>
        <w:outlineLvl w:val="9"/>
        <w:rPr>
          <w:rFonts w:eastAsia="黑体"/>
          <w:kern w:val="0"/>
          <w:sz w:val="32"/>
          <w:szCs w:val="32"/>
        </w:rPr>
      </w:pPr>
    </w:p>
    <w:p>
      <w:pPr>
        <w:pageBreakBefore w:val="0"/>
        <w:widowControl/>
        <w:topLinePunct w:val="0"/>
        <w:bidi w:val="0"/>
        <w:spacing w:line="360" w:lineRule="auto"/>
        <w:jc w:val="left"/>
        <w:outlineLvl w:val="9"/>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附件</w:t>
      </w:r>
    </w:p>
    <w:p>
      <w:pPr>
        <w:pageBreakBefore w:val="0"/>
        <w:topLinePunct w:val="0"/>
        <w:bidi w:val="0"/>
        <w:jc w:val="center"/>
        <w:outlineLvl w:val="9"/>
        <w:rPr>
          <w:rFonts w:hint="eastAsia" w:ascii="黑体" w:hAnsi="黑体" w:eastAsia="黑体" w:cs="黑体"/>
          <w:b/>
          <w:kern w:val="0"/>
          <w:sz w:val="36"/>
          <w:szCs w:val="36"/>
        </w:rPr>
      </w:pPr>
      <w:r>
        <w:rPr>
          <w:rFonts w:hint="eastAsia" w:ascii="黑体" w:hAnsi="黑体" w:eastAsia="黑体" w:cs="黑体"/>
          <w:b/>
          <w:kern w:val="0"/>
          <w:sz w:val="36"/>
          <w:szCs w:val="36"/>
        </w:rPr>
        <w:t>上海电子信息职业技术学院“质量工程”与“教学改革工程”专项奖励实施细则</w:t>
      </w:r>
    </w:p>
    <w:p>
      <w:pPr>
        <w:keepNext w:val="0"/>
        <w:keepLines w:val="0"/>
        <w:pageBreakBefore w:val="0"/>
        <w:widowControl/>
        <w:kinsoku/>
        <w:wordWrap/>
        <w:overflowPunct/>
        <w:topLinePunct w:val="0"/>
        <w:autoSpaceDE/>
        <w:autoSpaceDN/>
        <w:bidi w:val="0"/>
        <w:adjustRightInd/>
        <w:snapToGrid/>
        <w:spacing w:before="156" w:beforeLines="50"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一、总 则</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第一条 为加强学校“质量工程”与“教学改革工程”建设，推动教学工作，提高教育质量，学校对承担 “质量工程”与“教学改革工程”项目建设且取得优秀成绩的的团队或个人予以适当专项奖励。</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第二条  学校“质量工程”与“教学改革工程”专项奖励，以下简称专项奖励。</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第三条  专项奖励经费来源年度人员经费预算，计入年度绩效，不纳入项目经费。</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第四条  专项奖励经费，其年度预算由教务处制订，人事处审核、财务处核准、院长签发、以资金卡形式下达。</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第五条  教务处根据历年奖励情况，结合学校年度重点工作，综合考虑制订专项奖励年度预算（预估），实际奖励超出预算的部分，可申请追加预算或纳入下一年度实施。</w:t>
      </w:r>
    </w:p>
    <w:p>
      <w:pPr>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二、定义</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第六条  “质量工程”建设主要指教学成果奖申报、精品在线开放课程建设和教师教学创新团队建设。</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第七条  “教学改革工程”项目主要指专业教学资源库建设、教育教学改革试点项目、承办市级以上技能大赛、市级以上职业院校教学（能力）大赛、三教改革项目等。</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三、专项奖励标准（奖励按照评审结果时间为准）</w:t>
      </w:r>
    </w:p>
    <w:p>
      <w:pPr>
        <w:keepNext w:val="0"/>
        <w:keepLines w:val="0"/>
        <w:pageBreakBefore w:val="0"/>
        <w:numPr>
          <w:ilvl w:val="0"/>
          <w:numId w:val="45"/>
        </w:numPr>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 教学成果奖的评定和奖励标准：</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1.每四年一次，教学成果奖的奖励包括物质奖励和荣誉奖励两方面。</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2.国家级教学成果奖奖励标准：特等奖500000元，一等奖300000元，二等奖100000元。</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3.上海市级教学成果奖奖励标准：特等奖50000元，一等奖30000元，二等奖20000元。</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4.校级教学成果奖奖励标准：特等奖10000元，一等奖5000元，二等奖2000元。</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5.学校发文件广泛宣传获奖成果。教学成果奖奖金归获奖者所有，任何组织和个人不得截留。</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6.对获得校级一等奖及以上的成果，优先推荐申报市级和国家级教学成果奖。</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7.申报教学成果应严肃认真，实事求是。对于弄虚作假或剽窃他人教学成果者，一经查实，立即取消评审资格；对已获奖者，将通报撤销奖励，收回证书、奖金，并给予当事人相应的行政处分。</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第九条  精品在线开放课程奖励标准为：</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1.国家级精品在线开放课程，奖励100000元/门。</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2.市级精品在线开放课程，奖励20000元/门。</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3.校级精品在线开放课程，10000元/门。</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第十条 经验收符合要求的教师教学创新团队奖励标准为：</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1.国家级教师教学创新团队，200000元/团队。</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2.市级教师教学创新团队，奖励12000元/团队。</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3.校级教师教学创新团队，6000元/团队。</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第十一条  专业教学资源库建设奖励标准：</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1.学校作为第一责任单位主持建设的专业教学资源库入围国家级职业教育专业教学资源库备选库，团队奖励50000元。</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2.学校作为第一责任单位立项的国家级职业教育专业教学资源库项目，建成并通过验收，奖励经费标准为团队实际承建项目建设资金的5%。</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3.学校作为第一责任单位主持建设的专业教学资源库被评为上海市级职业教育专业教学资源库，团队奖励30000元。</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第十二条  承担教育教学改革试点项目奖励标准：</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1.承担国家级教育教学改革试点项目，奖励经费标准为：（1）现代学徒制试点，团队奖励100000元；（2）“三全育人”综合改革试点、定向培养士官试点，团队奖励50000元。</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2.承担上海市级教育教学改革试点项目，奖励经费标准为：（1）现代学徒制试点、团队奖励20000元；（2）“三全育人”综合改革试点、定向培养士官试点，团队奖励10000元。</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3.教师获得国家级奖励（“万人计划”教学名师、全国高校黄大年式团队），奖励300000元。</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第十三条  教师参加教学能力大赛、教学比赛获奖，奖励标准：</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1.教师参加全国职业院校教学能力比赛获奖：一等奖奖励团队100000元，二等奖奖励团队50000元，三等奖奖励团队20000元。</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2.教师参加上海市职业院校教学能力比赛获奖，奖励经费标准为：一等奖奖励团队15000元，二等奖奖励团队8000元，三等奖奖励团队3000元。</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教师参加高校青年教师教学竞赛，奖励标准为：（1）全国总工会组织的高校青年教师教学竞赛，一等奖奖励团队100000元，二等奖奖励团队40000元，三等奖奖励团队20000元。（2）上海市总工会组织的高校青年教师教学竞赛，一等奖奖励团队20000元，二等奖奖励团队10000元，三等奖奖励团队5000元。</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第十四条 校企合作开发的教材，奖励标准为：</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1.主编的教材被列为教育部“十四五”规划教材，奖励团队50000元。</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2.主编的教材被列为全国教材建设奖，奖励团队特等奖500000元，一等奖300000元，二等奖100000元。</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3.主编的教材被列为上海职业教育与继续教育类精品教材，奖励团队20000元。</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4.被认定为学校优秀工作页、活页式教材，后期教材又正式出版，根据项目数、教材质量奖励5000元/本。</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第十五条  提质培优项目重大获奖项目，奖励标准为：</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1.全国“三全育人”典型学校（200个），奖励团队100000元；</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2.全国思政课教师研修基地（100个），奖励团队200000元；</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3.全国思想政治课教学创新团队（1000个），奖励团队50000元；</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4.全国思想政治课示范课堂（10000个），奖励团队10000元；</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5.入选职业教育特点的课程思政教育案例（10000个），奖励团队10000元；</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6.国家示范性继续教育基地（200个），奖励团队100000元；</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7.国家优质继续教育网络课程（2000门），奖励团队25000元；</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8.国家社区教育示范基地和老年大学示范校（500个），奖励团队70000元；</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9.国家级具有辐射引领作用的高水平专业化产教融合实训基地（300个），奖励团队80000元；</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10.国家职业教育“课堂革命”典型案例（1000个），奖励团队50000元；</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11.国家示范性虚拟仿真实训基地（300所），奖励团队80000元；</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12.职业学校到国（境）外办学，培育“鲁班工坊”，奖励团队100000元。</w:t>
      </w:r>
    </w:p>
    <w:p>
      <w:pPr>
        <w:keepNext w:val="0"/>
        <w:keepLines w:val="0"/>
        <w:pageBreakBefore w:val="0"/>
        <w:tabs>
          <w:tab w:val="left" w:pos="1980"/>
        </w:tabs>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四、专项奖励管理</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第十六条  教师承担 “质量工程”与“教学改革工程”项目取得优秀成绩，符合专项奖励标准的，应及时向教务处提出奖励申请并提供相应成绩的材料，教务处核实后及时发放。</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第十八条  经费与奖励遵循下等级服从上等级的原则，就高不就低。</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第十九条  专项奖励尽可能一次性发放。对于需要立项建设的过程性项目，分三次发放，其中，项目立项奖励30%，中期检查通过后奖励30%，项目验收通过后奖励40%。</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第二十条  对于立项建设的项目专项奖励经费，如果项目到期后没有通过验收，已经下发的专项奖励经费须原额退还给学校，未下发的专项奖励经费停止发放。 </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第二十一条  教师在项目建设过程中应严格遵守国家有关法律、法规、社会公德及学术道德规范，不得有任何学术不端行为，一经查实，专项奖励经费须原额退还给学校并按学校相关制度追究责任。</w:t>
      </w:r>
    </w:p>
    <w:p>
      <w:pPr>
        <w:keepNext w:val="0"/>
        <w:keepLines w:val="0"/>
        <w:pageBreakBefore w:val="0"/>
        <w:numPr>
          <w:ilvl w:val="0"/>
          <w:numId w:val="46"/>
        </w:numPr>
        <w:tabs>
          <w:tab w:val="left" w:pos="1980"/>
        </w:tabs>
        <w:kinsoku/>
        <w:wordWrap/>
        <w:overflowPunct/>
        <w:topLinePunct w:val="0"/>
        <w:autoSpaceDE/>
        <w:autoSpaceDN/>
        <w:bidi w:val="0"/>
        <w:adjustRightInd/>
        <w:snapToGrid/>
        <w:spacing w:line="360" w:lineRule="auto"/>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 则</w:t>
      </w:r>
    </w:p>
    <w:p>
      <w:pPr>
        <w:keepNext w:val="0"/>
        <w:keepLines w:val="0"/>
        <w:pageBreakBefore w:val="0"/>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第二十二条 以上所获奖项如果有特等奖项的，按照奖励标准最高奖项奖励，其他一、二等奖项依次向后降一等级进行奖励。</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第二十三条  本细则自公布之日起执行。原</w:t>
      </w:r>
      <w:r>
        <w:rPr>
          <w:rFonts w:hint="eastAsia" w:ascii="仿宋_GB2312" w:hAnsi="仿宋_GB2312" w:eastAsia="仿宋_GB2312" w:cs="仿宋_GB2312"/>
          <w:kern w:val="2"/>
          <w:sz w:val="28"/>
          <w:szCs w:val="28"/>
          <w:highlight w:val="none"/>
          <w:lang w:val="en-US" w:eastAsia="zh-CN" w:bidi="ar-SA"/>
        </w:rPr>
        <w:fldChar w:fldCharType="begin"/>
      </w:r>
      <w:r>
        <w:rPr>
          <w:rFonts w:hint="eastAsia" w:ascii="仿宋_GB2312" w:hAnsi="仿宋_GB2312" w:eastAsia="仿宋_GB2312" w:cs="仿宋_GB2312"/>
          <w:kern w:val="2"/>
          <w:sz w:val="28"/>
          <w:szCs w:val="28"/>
          <w:highlight w:val="none"/>
          <w:lang w:val="en-US" w:eastAsia="zh-CN" w:bidi="ar-SA"/>
        </w:rPr>
        <w:instrText xml:space="preserve"> Fillin“请键入公文标题” </w:instrText>
      </w:r>
      <w:r>
        <w:rPr>
          <w:rFonts w:hint="eastAsia" w:ascii="仿宋_GB2312" w:hAnsi="仿宋_GB2312" w:eastAsia="仿宋_GB2312" w:cs="仿宋_GB2312"/>
          <w:kern w:val="2"/>
          <w:sz w:val="28"/>
          <w:szCs w:val="28"/>
          <w:highlight w:val="none"/>
          <w:lang w:val="en-US" w:eastAsia="zh-CN" w:bidi="ar-SA"/>
        </w:rPr>
        <w:fldChar w:fldCharType="separate"/>
      </w:r>
      <w:r>
        <w:rPr>
          <w:rFonts w:hint="eastAsia" w:ascii="仿宋_GB2312" w:hAnsi="仿宋_GB2312" w:eastAsia="仿宋_GB2312" w:cs="仿宋_GB2312"/>
          <w:kern w:val="2"/>
          <w:sz w:val="28"/>
          <w:szCs w:val="28"/>
          <w:highlight w:val="none"/>
          <w:lang w:val="en-US" w:eastAsia="zh-CN" w:bidi="ar-SA"/>
        </w:rPr>
        <w:t>关于印发《上海电子信息职业技术学院“质量工程”与“教学改革工程”项目经费管理与专项奖励实施细则》的通知</w:t>
      </w:r>
      <w:r>
        <w:rPr>
          <w:rFonts w:hint="eastAsia" w:ascii="仿宋_GB2312" w:hAnsi="仿宋_GB2312" w:eastAsia="仿宋_GB2312" w:cs="仿宋_GB2312"/>
          <w:kern w:val="2"/>
          <w:sz w:val="28"/>
          <w:szCs w:val="28"/>
          <w:highlight w:val="none"/>
          <w:lang w:val="en-US" w:eastAsia="zh-CN" w:bidi="ar-SA"/>
        </w:rPr>
        <w:fldChar w:fldCharType="end"/>
      </w:r>
      <w:r>
        <w:rPr>
          <w:rFonts w:hint="eastAsia" w:ascii="仿宋_GB2312" w:hAnsi="仿宋_GB2312" w:eastAsia="仿宋_GB2312" w:cs="仿宋_GB2312"/>
          <w:kern w:val="2"/>
          <w:sz w:val="28"/>
          <w:szCs w:val="28"/>
          <w:highlight w:val="none"/>
          <w:lang w:val="en-US" w:eastAsia="zh-CN" w:bidi="ar-SA"/>
        </w:rPr>
        <w:t>（沪电信职院〔2020〕86号）自行终止。</w:t>
      </w:r>
    </w:p>
    <w:p>
      <w:pPr>
        <w:keepNext w:val="0"/>
        <w:keepLines w:val="0"/>
        <w:pageBreakBefore w:val="0"/>
        <w:tabs>
          <w:tab w:val="left" w:pos="1980"/>
        </w:tabs>
        <w:kinsoku/>
        <w:wordWrap/>
        <w:overflowPunct/>
        <w:topLinePunct w:val="0"/>
        <w:autoSpaceDE/>
        <w:autoSpaceDN/>
        <w:bidi w:val="0"/>
        <w:adjustRightInd/>
        <w:snapToGrid/>
        <w:spacing w:line="360" w:lineRule="auto"/>
        <w:ind w:firstLine="560" w:firstLineChars="200"/>
        <w:jc w:val="left"/>
        <w:textAlignment w:val="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第二十四条  本细则由教务处负责解释和修订。</w:t>
      </w:r>
    </w:p>
    <w:p>
      <w:pPr>
        <w:pageBreakBefore w:val="0"/>
        <w:tabs>
          <w:tab w:val="left" w:pos="1980"/>
        </w:tabs>
        <w:topLinePunct w:val="0"/>
        <w:bidi w:val="0"/>
        <w:ind w:firstLine="560" w:firstLineChars="200"/>
        <w:jc w:val="left"/>
        <w:outlineLvl w:val="9"/>
        <w:rPr>
          <w:rFonts w:ascii="宋体" w:hAnsi="宋体" w:cs="宋体"/>
          <w:sz w:val="28"/>
          <w:szCs w:val="28"/>
          <w:shd w:val="clear" w:color="auto" w:fill="FFFFFF"/>
        </w:rPr>
      </w:pPr>
    </w:p>
    <w:p>
      <w:pPr>
        <w:pageBreakBefore w:val="0"/>
        <w:tabs>
          <w:tab w:val="left" w:pos="1980"/>
        </w:tabs>
        <w:topLinePunct w:val="0"/>
        <w:bidi w:val="0"/>
        <w:ind w:firstLine="560" w:firstLineChars="200"/>
        <w:jc w:val="left"/>
        <w:outlineLvl w:val="9"/>
        <w:rPr>
          <w:rFonts w:ascii="宋体" w:hAnsi="宋体" w:cs="宋体"/>
          <w:sz w:val="28"/>
          <w:szCs w:val="28"/>
          <w:shd w:val="clear" w:color="auto" w:fill="FFFFFF"/>
        </w:rPr>
      </w:pPr>
    </w:p>
    <w:p>
      <w:pPr>
        <w:pageBreakBefore w:val="0"/>
        <w:tabs>
          <w:tab w:val="left" w:pos="1980"/>
        </w:tabs>
        <w:topLinePunct w:val="0"/>
        <w:bidi w:val="0"/>
        <w:ind w:firstLine="560" w:firstLineChars="200"/>
        <w:jc w:val="left"/>
        <w:outlineLvl w:val="9"/>
        <w:rPr>
          <w:rFonts w:ascii="宋体" w:hAnsi="宋体" w:cs="宋体"/>
          <w:sz w:val="28"/>
          <w:szCs w:val="28"/>
          <w:shd w:val="clear" w:color="auto" w:fill="FFFFFF"/>
        </w:rPr>
      </w:pPr>
    </w:p>
    <w:p>
      <w:pPr>
        <w:pageBreakBefore w:val="0"/>
        <w:tabs>
          <w:tab w:val="left" w:pos="1980"/>
        </w:tabs>
        <w:topLinePunct w:val="0"/>
        <w:bidi w:val="0"/>
        <w:ind w:firstLine="560" w:firstLineChars="200"/>
        <w:jc w:val="left"/>
        <w:outlineLvl w:val="9"/>
        <w:rPr>
          <w:rFonts w:ascii="宋体" w:hAnsi="宋体" w:cs="宋体"/>
          <w:sz w:val="28"/>
          <w:szCs w:val="28"/>
          <w:shd w:val="clear" w:color="auto" w:fill="FFFFFF"/>
        </w:rPr>
      </w:pPr>
    </w:p>
    <w:p>
      <w:pPr>
        <w:pageBreakBefore w:val="0"/>
        <w:tabs>
          <w:tab w:val="left" w:pos="1980"/>
        </w:tabs>
        <w:topLinePunct w:val="0"/>
        <w:bidi w:val="0"/>
        <w:jc w:val="left"/>
        <w:outlineLvl w:val="9"/>
        <w:rPr>
          <w:rFonts w:ascii="宋体" w:hAnsi="宋体" w:cs="宋体"/>
          <w:sz w:val="28"/>
          <w:szCs w:val="28"/>
          <w:shd w:val="clear" w:color="auto" w:fill="FFFFFF"/>
        </w:rPr>
      </w:pPr>
    </w:p>
    <w:p>
      <w:pPr>
        <w:pageBreakBefore w:val="0"/>
        <w:topLinePunct w:val="0"/>
        <w:bidi w:val="0"/>
        <w:spacing w:line="620" w:lineRule="exact"/>
        <w:jc w:val="center"/>
        <w:outlineLvl w:val="9"/>
        <w:rPr>
          <w:rFonts w:hint="eastAsia" w:ascii="黑体" w:hAnsi="黑体" w:eastAsia="黑体" w:cs="黑体"/>
          <w:b/>
          <w:bCs/>
          <w:sz w:val="44"/>
          <w:szCs w:val="44"/>
        </w:rPr>
      </w:pPr>
    </w:p>
    <w:p>
      <w:pPr>
        <w:pageBreakBefore w:val="0"/>
        <w:topLinePunct w:val="0"/>
        <w:bidi w:val="0"/>
        <w:spacing w:line="620" w:lineRule="exact"/>
        <w:jc w:val="center"/>
        <w:outlineLvl w:val="9"/>
        <w:rPr>
          <w:rFonts w:hint="eastAsia" w:ascii="黑体" w:hAnsi="黑体" w:eastAsia="黑体" w:cs="黑体"/>
          <w:b/>
          <w:bCs/>
          <w:sz w:val="44"/>
          <w:szCs w:val="44"/>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lang w:val="en-US" w:eastAsia="zh-CN"/>
        </w:rPr>
      </w:pPr>
    </w:p>
    <w:p>
      <w:pPr>
        <w:pageBreakBefore w:val="0"/>
        <w:topLinePunct w:val="0"/>
        <w:bidi w:val="0"/>
        <w:jc w:val="distribute"/>
        <w:outlineLvl w:val="9"/>
        <w:rPr>
          <w:rFonts w:hint="eastAsia" w:ascii="华文中宋" w:hAnsi="华文中宋" w:eastAsia="华文中宋" w:cs="Times New Roman"/>
          <w:b/>
          <w:color w:val="FF0000"/>
          <w:spacing w:val="10"/>
          <w:sz w:val="56"/>
          <w:szCs w:val="56"/>
          <w:lang w:val="en-US" w:eastAsia="zh-CN"/>
        </w:rPr>
      </w:pPr>
      <w:r>
        <w:rPr>
          <w:rFonts w:hint="eastAsia" w:ascii="华文中宋" w:hAnsi="华文中宋" w:eastAsia="华文中宋" w:cs="Times New Roman"/>
          <w:b/>
          <w:color w:val="FF0000"/>
          <w:spacing w:val="10"/>
          <w:sz w:val="56"/>
          <w:szCs w:val="56"/>
          <w:lang w:val="en-US" w:eastAsia="zh-CN"/>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spacing w:before="156" w:beforeLines="50"/>
        <w:jc w:val="center"/>
        <w:outlineLvl w:val="9"/>
        <w:rPr>
          <w:rFonts w:hint="eastAsia" w:ascii="仿宋_GB2312" w:hAnsi="宋体" w:eastAsia="仿宋_GB2312"/>
          <w:color w:val="FF0000"/>
          <w:szCs w:val="21"/>
        </w:rPr>
      </w:pPr>
      <w:r>
        <w:rPr>
          <w:rFonts w:eastAsia="仿宋_GB2312"/>
          <w:color w:val="000000"/>
          <w:kern w:val="0"/>
          <w:sz w:val="32"/>
          <w:szCs w:val="28"/>
        </w:rPr>
        <w:t>沪电信职院</w:t>
      </w:r>
      <w:r>
        <w:rPr>
          <w:rFonts w:hint="eastAsia" w:ascii="仿宋_GB2312" w:hAnsi="Times New Roman" w:eastAsia="仿宋_GB2312" w:cs="Times New Roman"/>
          <w:color w:val="000000"/>
          <w:kern w:val="0"/>
          <w:sz w:val="32"/>
          <w:szCs w:val="28"/>
          <w:highlight w:val="none"/>
        </w:rPr>
        <w:t>〔2022〕</w:t>
      </w:r>
      <w:r>
        <w:rPr>
          <w:rFonts w:hint="eastAsia" w:ascii="仿宋_GB2312" w:cs="Times New Roman"/>
          <w:color w:val="000000"/>
          <w:kern w:val="0"/>
          <w:sz w:val="32"/>
          <w:szCs w:val="28"/>
          <w:highlight w:val="none"/>
          <w:lang w:val="en-US" w:eastAsia="zh-CN"/>
        </w:rPr>
        <w:t>44</w:t>
      </w:r>
      <w:r>
        <w:rPr>
          <w:rFonts w:eastAsia="仿宋_GB2312"/>
          <w:color w:val="000000"/>
          <w:kern w:val="0"/>
          <w:sz w:val="32"/>
          <w:szCs w:val="28"/>
        </w:rPr>
        <w:t>号</w:t>
      </w:r>
      <w:r>
        <w:rPr>
          <w:rFonts w:hint="eastAsia" w:eastAsia="仿宋_GB2312"/>
          <w:color w:val="000000"/>
          <w:kern w:val="0"/>
          <w:sz w:val="32"/>
          <w:szCs w:val="28"/>
        </w:rPr>
        <w:t xml:space="preserve"> </w:t>
      </w:r>
    </w:p>
    <w:p>
      <w:pPr>
        <w:pageBreakBefore w:val="0"/>
        <w:topLinePunct w:val="0"/>
        <w:bidi w:val="0"/>
        <w:spacing w:after="0" w:line="259" w:lineRule="auto"/>
        <w:ind w:left="0" w:right="0" w:firstLine="0"/>
        <w:outlineLvl w:val="9"/>
      </w:pPr>
      <w:r>
        <w:rPr>
          <w:rFonts w:ascii="Calibri" w:hAnsi="Calibri" w:eastAsia="Calibri" w:cs="Calibri"/>
          <w:sz w:val="22"/>
        </w:rPr>
        <w:pict>
          <v:group id="_x0000_s1338" o:spid="_x0000_s1338" o:spt="203" style="position:absolute;left:0pt;margin-left:0pt;margin-top:0pt;height:0.05pt;width:432.5pt;z-index:251668480;mso-width-relative:page;mso-height-relative:page;" coordsize="5492750,635" o:gfxdata="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psJr&#10;k9IAAAACAQAADwAAAAAAAAABACAAAAAiAAAAZHJzL2Rvd25yZXYueG1sUEsBAhQAFAAAAAgAh07i&#10;QH/HQNCaAgAAWAYAAA4AAAAAAAAAAQAgAAAAIQEAAGRycy9lMm9Eb2MueG1sUEsFBgAAAAAGAAYA&#10;WQEAAC0GAAAAAA==&#10;">
            <o:lock v:ext="edit" aspectratio="f"/>
            <v:shape id="Shape 55" o:spid="_x0000_s1339" style="position:absolute;left:0;top:0;height:635;width:5492750;" fillcolor="#FFFFFF" filled="t" stroked="t" coordsize="5492750,635" o:gfxdata="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mWpnvQAA&#10;ANsAAAAPAAAAAAAAAAEAIAAAACIAAABkcnMvZG93bnJldi54bWxQSwECFAAUAAAACACHTuJAMy8F&#10;njsAAAA5AAAAEAAAAAAAAAABACAAAAAMAQAAZHJzL3NoYXBleG1sLnhtbFBLBQYAAAAABgAGAFsB&#10;AAC2AwAAAAA=&#10;" path="m0,0l5492750,635e">
              <v:fill on="t" focussize="0,0"/>
              <v:stroke color="#FF0000" joinstyle="round"/>
              <v:imagedata o:title=""/>
              <o:lock v:ext="edit" aspectratio="f"/>
            </v:shape>
            <w10:anchorlock/>
          </v:group>
        </w:pict>
      </w:r>
      <w:r>
        <w:rPr>
          <w:rFonts w:ascii="Calibri" w:hAnsi="Calibri" w:eastAsia="Calibri" w:cs="Calibri"/>
          <w:sz w:val="22"/>
        </w:rPr>
        <w:pict>
          <v:shape id="_x0000_i1030" o:spt="75" type="#_x0000_t75" style="height:0.05pt;width:432.5pt;" filled="f" stroked="f" coordsize="21600,21600">
            <v:path/>
            <v:fill on="f" focussize="0,0"/>
            <v:stroke on="f"/>
            <v:imagedata o:titl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312" w:beforeLines="100" w:after="0" w:line="240" w:lineRule="auto"/>
        <w:ind w:left="0" w:right="0" w:firstLine="0"/>
        <w:jc w:val="center"/>
        <w:textAlignment w:val="auto"/>
        <w:outlineLvl w:val="0"/>
        <w:rPr>
          <w:rFonts w:hint="eastAsia" w:ascii="黑体" w:hAnsi="黑体" w:eastAsia="黑体" w:cs="黑体"/>
          <w:b/>
          <w:color w:val="000000"/>
          <w:sz w:val="36"/>
          <w:szCs w:val="36"/>
        </w:rPr>
      </w:pPr>
      <w:bookmarkStart w:id="384" w:name="_Toc8186"/>
      <w:r>
        <w:rPr>
          <w:rFonts w:hint="eastAsia" w:ascii="黑体" w:hAnsi="黑体" w:eastAsia="黑体" w:cs="黑体"/>
          <w:b/>
          <w:color w:val="000000"/>
          <w:sz w:val="36"/>
          <w:szCs w:val="36"/>
        </w:rPr>
        <w:t>关于印发《</w:t>
      </w:r>
      <w:r>
        <w:rPr>
          <w:rFonts w:hint="eastAsia" w:ascii="黑体" w:hAnsi="黑体" w:eastAsia="黑体" w:cs="黑体"/>
          <w:b/>
          <w:color w:val="000000"/>
          <w:sz w:val="36"/>
          <w:szCs w:val="36"/>
          <w:lang w:val="en-US" w:eastAsia="zh-CN"/>
        </w:rPr>
        <w:t>上海电子信息职业技术学院学生实习管理规定</w:t>
      </w:r>
      <w:r>
        <w:rPr>
          <w:rFonts w:hint="eastAsia" w:ascii="黑体" w:hAnsi="黑体" w:eastAsia="黑体" w:cs="黑体"/>
          <w:b/>
          <w:color w:val="000000"/>
          <w:sz w:val="36"/>
          <w:szCs w:val="36"/>
        </w:rPr>
        <w:t>》的通知</w:t>
      </w:r>
      <w:bookmarkEnd w:id="384"/>
      <w:r>
        <w:rPr>
          <w:rFonts w:hint="eastAsia" w:ascii="黑体" w:hAnsi="黑体" w:eastAsia="黑体" w:cs="黑体"/>
          <w:b/>
          <w:color w:val="000000"/>
          <w:sz w:val="36"/>
          <w:szCs w:val="36"/>
        </w:rPr>
        <w:t xml:space="preserve"> </w:t>
      </w:r>
    </w:p>
    <w:p>
      <w:pPr>
        <w:pageBreakBefore w:val="0"/>
        <w:widowControl w:val="0"/>
        <w:topLinePunct w:val="0"/>
        <w:bidi w:val="0"/>
        <w:spacing w:after="0" w:line="312" w:lineRule="auto"/>
        <w:ind w:left="0" w:right="0" w:firstLine="0"/>
        <w:jc w:val="both"/>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各教学单位、职能部门：  </w:t>
      </w:r>
    </w:p>
    <w:p>
      <w:pPr>
        <w:pageBreakBefore w:val="0"/>
        <w:topLinePunct w:val="0"/>
        <w:bidi w:val="0"/>
        <w:spacing w:line="336" w:lineRule="auto"/>
        <w:ind w:firstLine="560" w:firstLineChars="200"/>
        <w:outlineLvl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现将</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上海电子信息职业技术学院学生实习管理规定》发给你们，请结合本部门工作实际，认真研究执行。</w:t>
      </w:r>
    </w:p>
    <w:p>
      <w:pPr>
        <w:pageBreakBefore w:val="0"/>
        <w:widowControl w:val="0"/>
        <w:topLinePunct w:val="0"/>
        <w:bidi w:val="0"/>
        <w:spacing w:after="0" w:line="312" w:lineRule="auto"/>
        <w:ind w:left="0" w:right="0" w:firstLine="560" w:firstLineChars="200"/>
        <w:jc w:val="both"/>
        <w:outlineLvl w:val="9"/>
        <w:rPr>
          <w:rFonts w:hint="eastAsia" w:ascii="仿宋_GB2312" w:hAnsi="仿宋_GB2312" w:eastAsia="仿宋_GB2312" w:cs="仿宋_GB2312"/>
          <w:sz w:val="28"/>
          <w:szCs w:val="28"/>
        </w:rPr>
      </w:pPr>
    </w:p>
    <w:p>
      <w:pPr>
        <w:pageBreakBefore w:val="0"/>
        <w:widowControl w:val="0"/>
        <w:topLinePunct w:val="0"/>
        <w:bidi w:val="0"/>
        <w:spacing w:after="0" w:line="312" w:lineRule="auto"/>
        <w:ind w:left="0" w:right="0" w:firstLine="560" w:firstLineChars="200"/>
        <w:jc w:val="both"/>
        <w:outlineLvl w:val="9"/>
        <w:rPr>
          <w:rFonts w:hint="eastAsia" w:ascii="仿宋_GB2312" w:hAnsi="仿宋_GB2312" w:eastAsia="仿宋_GB2312" w:cs="仿宋_GB2312"/>
          <w:sz w:val="28"/>
          <w:szCs w:val="28"/>
        </w:rPr>
      </w:pPr>
    </w:p>
    <w:p>
      <w:pPr>
        <w:pageBreakBefore w:val="0"/>
        <w:widowControl w:val="0"/>
        <w:topLinePunct w:val="0"/>
        <w:bidi w:val="0"/>
        <w:spacing w:after="0" w:line="312" w:lineRule="auto"/>
        <w:ind w:left="0" w:right="0" w:firstLine="560" w:firstLineChars="200"/>
        <w:jc w:val="both"/>
        <w:outlineLvl w:val="9"/>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附件：</w:t>
      </w:r>
      <w:r>
        <w:rPr>
          <w:rFonts w:hint="eastAsia" w:ascii="仿宋_GB2312" w:hAnsi="仿宋_GB2312" w:eastAsia="仿宋_GB2312" w:cs="仿宋_GB2312"/>
          <w:sz w:val="28"/>
          <w:szCs w:val="28"/>
          <w:lang w:val="en-US" w:eastAsia="zh-CN"/>
        </w:rPr>
        <w:t>上海电子信息职业技术学院学生实习管理规定</w:t>
      </w:r>
    </w:p>
    <w:p>
      <w:pPr>
        <w:pageBreakBefore w:val="0"/>
        <w:widowControl w:val="0"/>
        <w:topLinePunct w:val="0"/>
        <w:bidi w:val="0"/>
        <w:spacing w:after="0" w:line="312" w:lineRule="auto"/>
        <w:ind w:left="0" w:right="0" w:firstLine="3920" w:firstLineChars="1400"/>
        <w:jc w:val="both"/>
        <w:outlineLvl w:val="9"/>
        <w:rPr>
          <w:rFonts w:hint="eastAsia" w:ascii="仿宋_GB2312" w:hAnsi="仿宋_GB2312" w:eastAsia="仿宋_GB2312" w:cs="仿宋_GB2312"/>
          <w:b w:val="0"/>
          <w:bCs w:val="0"/>
          <w:kern w:val="2"/>
          <w:sz w:val="28"/>
          <w:szCs w:val="28"/>
          <w:lang w:val="en-US" w:eastAsia="zh-CN" w:bidi="ar-SA"/>
        </w:rPr>
      </w:pPr>
    </w:p>
    <w:p>
      <w:pPr>
        <w:pageBreakBefore w:val="0"/>
        <w:widowControl w:val="0"/>
        <w:topLinePunct w:val="0"/>
        <w:bidi w:val="0"/>
        <w:spacing w:after="0" w:line="312" w:lineRule="auto"/>
        <w:ind w:left="0" w:right="0" w:firstLine="3920" w:firstLineChars="1400"/>
        <w:jc w:val="both"/>
        <w:outlineLvl w:val="9"/>
        <w:rPr>
          <w:rFonts w:hint="eastAsia" w:ascii="仿宋_GB2312" w:hAnsi="仿宋_GB2312" w:eastAsia="仿宋_GB2312" w:cs="仿宋_GB2312"/>
          <w:b w:val="0"/>
          <w:bCs w:val="0"/>
          <w:kern w:val="2"/>
          <w:sz w:val="28"/>
          <w:szCs w:val="28"/>
          <w:lang w:val="en-US" w:eastAsia="zh-CN" w:bidi="ar-SA"/>
        </w:rPr>
      </w:pPr>
    </w:p>
    <w:p>
      <w:pPr>
        <w:pageBreakBefore w:val="0"/>
        <w:widowControl w:val="0"/>
        <w:topLinePunct w:val="0"/>
        <w:bidi w:val="0"/>
        <w:spacing w:after="0" w:line="312" w:lineRule="auto"/>
        <w:ind w:left="0" w:right="0" w:firstLine="3920" w:firstLineChars="1400"/>
        <w:jc w:val="both"/>
        <w:outlineLvl w:val="9"/>
        <w:rPr>
          <w:rFonts w:hint="eastAsia" w:ascii="仿宋_GB2312" w:hAnsi="仿宋_GB2312" w:eastAsia="仿宋_GB2312" w:cs="仿宋_GB2312"/>
          <w:b w:val="0"/>
          <w:bCs w:val="0"/>
          <w:kern w:val="2"/>
          <w:sz w:val="28"/>
          <w:szCs w:val="28"/>
          <w:lang w:val="en-US" w:eastAsia="zh-CN" w:bidi="ar-SA"/>
        </w:rPr>
      </w:pPr>
    </w:p>
    <w:p>
      <w:pPr>
        <w:pageBreakBefore w:val="0"/>
        <w:widowControl w:val="0"/>
        <w:topLinePunct w:val="0"/>
        <w:bidi w:val="0"/>
        <w:spacing w:after="0" w:line="312" w:lineRule="auto"/>
        <w:ind w:left="0" w:right="0" w:firstLine="3920" w:firstLineChars="1400"/>
        <w:jc w:val="right"/>
        <w:outlineLvl w:val="9"/>
        <w:rPr>
          <w:rFonts w:hint="eastAsia" w:ascii="仿宋_GB2312" w:hAnsi="仿宋_GB2312" w:eastAsia="仿宋_GB2312" w:cs="仿宋_GB2312"/>
          <w:b w:val="0"/>
          <w:bCs w:val="0"/>
          <w:kern w:val="2"/>
          <w:sz w:val="28"/>
          <w:szCs w:val="28"/>
          <w:lang w:val="en-US" w:eastAsia="zh-CN" w:bidi="ar-SA"/>
        </w:rPr>
      </w:pPr>
      <w:r>
        <w:rPr>
          <w:rFonts w:hint="eastAsia" w:ascii="仿宋_GB2312" w:hAnsi="仿宋_GB2312" w:eastAsia="仿宋_GB2312" w:cs="仿宋_GB2312"/>
          <w:b w:val="0"/>
          <w:bCs w:val="0"/>
          <w:kern w:val="2"/>
          <w:sz w:val="28"/>
          <w:szCs w:val="28"/>
          <w:lang w:val="en-US" w:eastAsia="zh-CN" w:bidi="ar-SA"/>
        </w:rPr>
        <w:t xml:space="preserve">上海电子信息职业技术学院 </w:t>
      </w:r>
    </w:p>
    <w:p>
      <w:pPr>
        <w:pageBreakBefore w:val="0"/>
        <w:topLinePunct w:val="0"/>
        <w:bidi w:val="0"/>
        <w:spacing w:after="0" w:line="259" w:lineRule="auto"/>
        <w:ind w:left="0" w:right="962" w:firstLine="0"/>
        <w:jc w:val="right"/>
        <w:outlineLvl w:val="9"/>
        <w:rPr>
          <w:rFonts w:hint="eastAsia" w:ascii="黑体" w:hAnsi="黑体" w:eastAsia="黑体" w:cs="黑体"/>
          <w:b/>
          <w:bCs/>
          <w:sz w:val="44"/>
          <w:szCs w:val="44"/>
        </w:rPr>
      </w:pPr>
      <w:r>
        <w:rPr>
          <w:rFonts w:hint="eastAsia" w:ascii="仿宋_GB2312" w:hAnsi="仿宋_GB2312" w:eastAsia="仿宋_GB2312" w:cs="仿宋_GB2312"/>
          <w:color w:val="000000"/>
          <w:kern w:val="2"/>
          <w:sz w:val="28"/>
          <w:szCs w:val="28"/>
          <w:lang w:val="en-US" w:eastAsia="zh-CN" w:bidi="ar-SA"/>
        </w:rPr>
        <w:t xml:space="preserve">2022 年 4月29日 </w:t>
      </w:r>
    </w:p>
    <w:p>
      <w:pPr>
        <w:pageBreakBefore w:val="0"/>
        <w:topLinePunct w:val="0"/>
        <w:bidi w:val="0"/>
        <w:spacing w:line="620" w:lineRule="exact"/>
        <w:jc w:val="both"/>
        <w:outlineLvl w:val="9"/>
        <w:rPr>
          <w:rFonts w:hint="eastAsia" w:ascii="仿宋_GB2312" w:hAnsi="仿宋_GB2312" w:eastAsia="仿宋_GB2312" w:cs="仿宋_GB2312"/>
          <w:b/>
          <w:bCs/>
          <w:sz w:val="28"/>
          <w:szCs w:val="28"/>
          <w:lang w:val="en-US" w:eastAsia="zh-CN"/>
        </w:rPr>
      </w:pPr>
    </w:p>
    <w:p>
      <w:pPr>
        <w:pageBreakBefore w:val="0"/>
        <w:topLinePunct w:val="0"/>
        <w:bidi w:val="0"/>
        <w:spacing w:line="620" w:lineRule="exact"/>
        <w:jc w:val="both"/>
        <w:outlineLvl w:val="9"/>
        <w:rPr>
          <w:rFonts w:hint="eastAsia" w:ascii="仿宋_GB2312" w:hAnsi="仿宋_GB2312" w:eastAsia="仿宋_GB2312" w:cs="仿宋_GB2312"/>
          <w:b/>
          <w:bCs/>
          <w:sz w:val="28"/>
          <w:szCs w:val="28"/>
          <w:lang w:val="en-US" w:eastAsia="zh-CN"/>
        </w:rPr>
      </w:pPr>
    </w:p>
    <w:p>
      <w:pPr>
        <w:pageBreakBefore w:val="0"/>
        <w:topLinePunct w:val="0"/>
        <w:bidi w:val="0"/>
        <w:spacing w:line="620" w:lineRule="exact"/>
        <w:jc w:val="both"/>
        <w:outlineLvl w:val="9"/>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附件：</w:t>
      </w:r>
    </w:p>
    <w:p>
      <w:pPr>
        <w:pageBreakBefore w:val="0"/>
        <w:topLinePunct w:val="0"/>
        <w:bidi w:val="0"/>
        <w:spacing w:line="620" w:lineRule="exact"/>
        <w:jc w:val="center"/>
        <w:outlineLvl w:val="9"/>
        <w:rPr>
          <w:rFonts w:ascii="黑体" w:hAnsi="黑体" w:eastAsia="黑体" w:cs="黑体"/>
          <w:b/>
          <w:bCs/>
          <w:sz w:val="36"/>
          <w:szCs w:val="36"/>
        </w:rPr>
      </w:pPr>
      <w:r>
        <w:rPr>
          <w:rFonts w:hint="eastAsia" w:ascii="黑体" w:hAnsi="黑体" w:eastAsia="黑体" w:cs="黑体"/>
          <w:b/>
          <w:bCs/>
          <w:sz w:val="36"/>
          <w:szCs w:val="36"/>
        </w:rPr>
        <w:t>上海电子信息职业技术学院</w:t>
      </w:r>
    </w:p>
    <w:p>
      <w:pPr>
        <w:pageBreakBefore w:val="0"/>
        <w:topLinePunct w:val="0"/>
        <w:bidi w:val="0"/>
        <w:spacing w:line="620" w:lineRule="exact"/>
        <w:jc w:val="center"/>
        <w:outlineLvl w:val="9"/>
        <w:rPr>
          <w:rFonts w:ascii="黑体" w:hAnsi="黑体" w:eastAsia="黑体" w:cs="黑体"/>
          <w:b/>
          <w:bCs/>
          <w:sz w:val="36"/>
          <w:szCs w:val="36"/>
        </w:rPr>
      </w:pPr>
      <w:r>
        <w:rPr>
          <w:rFonts w:hint="eastAsia" w:ascii="黑体" w:hAnsi="黑体" w:eastAsia="黑体" w:cs="黑体"/>
          <w:b/>
          <w:bCs/>
          <w:sz w:val="36"/>
          <w:szCs w:val="36"/>
        </w:rPr>
        <w:t>学生实习管理规定</w:t>
      </w:r>
    </w:p>
    <w:p>
      <w:pPr>
        <w:pageBreakBefore w:val="0"/>
        <w:widowControl w:val="0"/>
        <w:kinsoku/>
        <w:wordWrap/>
        <w:overflowPunct/>
        <w:topLinePunct w:val="0"/>
        <w:autoSpaceDE/>
        <w:autoSpaceDN/>
        <w:bidi w:val="0"/>
        <w:adjustRightInd/>
        <w:snapToGrid w:val="0"/>
        <w:spacing w:before="0" w:after="0" w:line="360" w:lineRule="auto"/>
        <w:jc w:val="center"/>
        <w:textAlignment w:val="auto"/>
        <w:outlineLvl w:val="9"/>
        <w:rPr>
          <w:rFonts w:hint="eastAsia" w:ascii="仿宋_GB2312" w:hAnsi="仿宋_GB2312" w:eastAsia="仿宋_GB2312" w:cs="仿宋_GB2312"/>
          <w:b w:val="0"/>
          <w:bCs w:val="0"/>
          <w:kern w:val="2"/>
          <w:sz w:val="28"/>
          <w:szCs w:val="28"/>
          <w:highlight w:val="none"/>
          <w:lang w:val="en-US" w:eastAsia="zh-CN" w:bidi="ar-SA"/>
        </w:rPr>
      </w:pPr>
    </w:p>
    <w:p>
      <w:pPr>
        <w:pageBreakBefore w:val="0"/>
        <w:widowControl w:val="0"/>
        <w:kinsoku/>
        <w:wordWrap/>
        <w:overflowPunct/>
        <w:topLinePunct w:val="0"/>
        <w:autoSpaceDE/>
        <w:autoSpaceDN/>
        <w:bidi w:val="0"/>
        <w:adjustRightInd/>
        <w:snapToGrid w:val="0"/>
        <w:spacing w:before="0" w:after="0" w:line="360" w:lineRule="auto"/>
        <w:jc w:val="center"/>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第一章  总则</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第一条 为规范和加强学生实习工作，维护学校和学生的合法权益，提高人才培养质量，推进我校教学高质量发展，更好的服务上海区域产业发展，根据教育部《职业学校学生实习管理规定》（教职成〔2021〕4号）及相关法律规定、规章，制定本规定。</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第二条 本规定所指学生实习，是指我校实施全日制学历教育的学生，按照专业培养目标要求和人才培养方案安排，由学校安排或经学校批准自行到企（事）业等单位进行实践性教育教学活动，包括认识实习和岗位实习。</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认识实习指学生由学校组织到实习单位（基地）参观、观摩和体验，形成对实习单位（基地）和相关岗位的初步认识活动。</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岗位实习指具备一定实践岗位工作能力的学生，在专业人员指导下，辅助或相对独立参与实际工作的活动。对现代学徒制、企业订单班的学生，根据人才培养方案实施的企业课程在校外开展教学活动，可参照岗位实习的相关要求进行相应管理。</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第三条 对于建在校内的生产性实训基地、厂中校、校中厂、虚拟仿真实训基地、产业学院等，具备学生实习条件，可作为学生实习单位（基地）。</w:t>
      </w:r>
    </w:p>
    <w:p>
      <w:pPr>
        <w:pageBreakBefore w:val="0"/>
        <w:widowControl w:val="0"/>
        <w:kinsoku/>
        <w:wordWrap/>
        <w:overflowPunct/>
        <w:topLinePunct w:val="0"/>
        <w:autoSpaceDE/>
        <w:autoSpaceDN/>
        <w:bidi w:val="0"/>
        <w:adjustRightInd/>
        <w:spacing w:line="360" w:lineRule="auto"/>
        <w:ind w:firstLine="648"/>
        <w:jc w:val="left"/>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第四条 学生实习的本质是教学活动，是实践教学的重要环节。组织开展学生实习应当坚持立德树人、德技并修，遵循学生成长规律和职业能力形成规律，理论与实践相结合，提升学生技能水平，锤炼学生意志品质，服务学生全面发展；应当纳入人才培养方案，科学组织，依法依规实施，切实保护学生合法权益，促进学生高质量就业创业。</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第五条 各职能部门、二级学院应高度重视学生实习工作，切实</w:t>
      </w:r>
      <w:r>
        <w:rPr>
          <w:rFonts w:hint="eastAsia" w:ascii="仿宋_GB2312" w:hAnsi="仿宋_GB2312" w:eastAsia="仿宋_GB2312" w:cs="仿宋_GB2312"/>
          <w:b w:val="0"/>
          <w:bCs w:val="0"/>
          <w:kern w:val="2"/>
          <w:sz w:val="28"/>
          <w:szCs w:val="28"/>
          <w:highlight w:val="none"/>
          <w:lang w:val="en-US" w:eastAsia="zh-Hans" w:bidi="ar-SA"/>
        </w:rPr>
        <w:t>履行</w:t>
      </w:r>
      <w:r>
        <w:rPr>
          <w:rFonts w:hint="eastAsia" w:ascii="仿宋_GB2312" w:hAnsi="仿宋_GB2312" w:eastAsia="仿宋_GB2312" w:cs="仿宋_GB2312"/>
          <w:b w:val="0"/>
          <w:bCs w:val="0"/>
          <w:kern w:val="2"/>
          <w:sz w:val="28"/>
          <w:szCs w:val="28"/>
          <w:highlight w:val="none"/>
          <w:lang w:val="en-US" w:eastAsia="zh-CN" w:bidi="ar-SA"/>
        </w:rPr>
        <w:t>责任，结合本校实际制订具体措施。</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p>
    <w:p>
      <w:pPr>
        <w:pageBreakBefore w:val="0"/>
        <w:widowControl w:val="0"/>
        <w:kinsoku/>
        <w:wordWrap/>
        <w:overflowPunct/>
        <w:topLinePunct w:val="0"/>
        <w:autoSpaceDE/>
        <w:autoSpaceDN/>
        <w:bidi w:val="0"/>
        <w:adjustRightInd/>
        <w:snapToGrid w:val="0"/>
        <w:spacing w:before="0" w:after="0" w:line="360" w:lineRule="auto"/>
        <w:jc w:val="center"/>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第二章 实习组织</w:t>
      </w:r>
    </w:p>
    <w:p>
      <w:pPr>
        <w:pageBreakBefore w:val="0"/>
        <w:widowControl w:val="0"/>
        <w:kinsoku/>
        <w:wordWrap/>
        <w:overflowPunct/>
        <w:topLinePunct w:val="0"/>
        <w:autoSpaceDE/>
        <w:autoSpaceDN/>
        <w:bidi w:val="0"/>
        <w:adjustRightInd/>
        <w:spacing w:line="360" w:lineRule="auto"/>
        <w:textAlignment w:val="auto"/>
        <w:outlineLvl w:val="9"/>
        <w:rPr>
          <w:rFonts w:hint="eastAsia" w:ascii="仿宋_GB2312" w:hAnsi="仿宋_GB2312" w:eastAsia="仿宋_GB2312" w:cs="仿宋_GB2312"/>
          <w:b w:val="0"/>
          <w:bCs w:val="0"/>
          <w:kern w:val="2"/>
          <w:sz w:val="28"/>
          <w:szCs w:val="28"/>
          <w:highlight w:val="none"/>
          <w:lang w:val="en-US" w:eastAsia="zh-CN" w:bidi="ar-SA"/>
        </w:rPr>
      </w:pP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第六条 教务处负责统筹管理学校学生实习工作，具体包括学校学生实习年度工作方案的制定及实施，监督管理实习过程，开展学校层面实习质量考核，做好学校层面实习材料的整理和归档等工作。校企合作中心负责学校实习单位（基地）的认定、管理与监督等工作；学生处负责学生实习期间的思想政治、心理健康、校纪校规等工作；二级学院负责学生实习单位（基地）开发与维护、学生实习组织与管理、实习指导教师选派与督导等工作，并根据要求及时将学生实习情况报教务处备案。</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第七条 校企合作中心、各二级学院应当选择符合以下条件的企（事）业单位作为实习单位（基地）：</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（一）合法经营，无违法失信记录；</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（二）管理规范，近3年无违反安全生产相关法律法规记录；</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（三）实习条件完备，符合专业培养要求，符合产业发展实际；</w:t>
      </w: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（四）与学校有稳定合作关系的企（事）业单位优先。</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第八条 学校在认定实习单位（基地）前，应当由二级学院或校企合作中心实地考察评估形成书面报告。考察内容应当包括：单位资质、诚信状况、管理水平、实习岗位性质和内容、工作时间、工作环境、生活环境以及健康保障、安全防护等。</w:t>
      </w:r>
      <w:r>
        <w:rPr>
          <w:rFonts w:hint="eastAsia" w:ascii="仿宋_GB2312" w:hAnsi="仿宋_GB2312" w:eastAsia="仿宋_GB2312" w:cs="仿宋_GB2312"/>
          <w:b w:val="0"/>
          <w:bCs w:val="0"/>
          <w:kern w:val="2"/>
          <w:sz w:val="28"/>
          <w:szCs w:val="28"/>
          <w:highlight w:val="none"/>
          <w:lang w:val="en-US" w:eastAsia="zh-Hans" w:bidi="ar-SA"/>
        </w:rPr>
        <w:t>实习单位</w:t>
      </w:r>
      <w:r>
        <w:rPr>
          <w:rFonts w:hint="eastAsia" w:ascii="仿宋_GB2312" w:hAnsi="仿宋_GB2312" w:eastAsia="仿宋_GB2312" w:cs="仿宋_GB2312"/>
          <w:b w:val="0"/>
          <w:bCs w:val="0"/>
          <w:kern w:val="2"/>
          <w:sz w:val="28"/>
          <w:szCs w:val="28"/>
          <w:highlight w:val="none"/>
          <w:lang w:val="en-US" w:eastAsia="zh-CN" w:bidi="ar-SA"/>
        </w:rPr>
        <w:t>（基地）名单</w:t>
      </w:r>
      <w:r>
        <w:rPr>
          <w:rFonts w:hint="eastAsia" w:ascii="仿宋_GB2312" w:hAnsi="仿宋_GB2312" w:eastAsia="仿宋_GB2312" w:cs="仿宋_GB2312"/>
          <w:b w:val="0"/>
          <w:bCs w:val="0"/>
          <w:kern w:val="2"/>
          <w:sz w:val="28"/>
          <w:szCs w:val="28"/>
          <w:highlight w:val="none"/>
          <w:lang w:val="en-US" w:eastAsia="zh-Hans" w:bidi="ar-SA"/>
        </w:rPr>
        <w:t>须</w:t>
      </w:r>
      <w:r>
        <w:rPr>
          <w:rFonts w:hint="eastAsia" w:ascii="仿宋_GB2312" w:hAnsi="仿宋_GB2312" w:eastAsia="仿宋_GB2312" w:cs="仿宋_GB2312"/>
          <w:b w:val="0"/>
          <w:bCs w:val="0"/>
          <w:kern w:val="2"/>
          <w:sz w:val="28"/>
          <w:szCs w:val="28"/>
          <w:highlight w:val="none"/>
          <w:lang w:val="en-US" w:eastAsia="zh-CN" w:bidi="ar-SA"/>
        </w:rPr>
        <w:t>经学校党委会议</w:t>
      </w:r>
      <w:r>
        <w:rPr>
          <w:rFonts w:hint="eastAsia" w:ascii="仿宋_GB2312" w:hAnsi="仿宋_GB2312" w:eastAsia="仿宋_GB2312" w:cs="仿宋_GB2312"/>
          <w:b w:val="0"/>
          <w:bCs w:val="0"/>
          <w:kern w:val="2"/>
          <w:sz w:val="28"/>
          <w:szCs w:val="28"/>
          <w:highlight w:val="none"/>
          <w:lang w:val="en-US" w:eastAsia="zh-Hans" w:bidi="ar-SA"/>
        </w:rPr>
        <w:t>研究确定后对外</w:t>
      </w:r>
      <w:r>
        <w:rPr>
          <w:rFonts w:hint="eastAsia" w:ascii="仿宋_GB2312" w:hAnsi="仿宋_GB2312" w:eastAsia="仿宋_GB2312" w:cs="仿宋_GB2312"/>
          <w:b w:val="0"/>
          <w:bCs w:val="0"/>
          <w:kern w:val="2"/>
          <w:sz w:val="28"/>
          <w:szCs w:val="28"/>
          <w:highlight w:val="none"/>
          <w:lang w:val="en-US" w:eastAsia="zh-CN" w:bidi="ar-SA"/>
        </w:rPr>
        <w:t>公</w:t>
      </w:r>
      <w:r>
        <w:rPr>
          <w:rFonts w:hint="eastAsia" w:ascii="仿宋_GB2312" w:hAnsi="仿宋_GB2312" w:eastAsia="仿宋_GB2312" w:cs="仿宋_GB2312"/>
          <w:b w:val="0"/>
          <w:bCs w:val="0"/>
          <w:kern w:val="2"/>
          <w:sz w:val="28"/>
          <w:szCs w:val="28"/>
          <w:highlight w:val="none"/>
          <w:lang w:val="en-US" w:eastAsia="zh-Hans" w:bidi="ar-SA"/>
        </w:rPr>
        <w:t>开</w:t>
      </w:r>
      <w:r>
        <w:rPr>
          <w:rFonts w:hint="eastAsia" w:ascii="仿宋_GB2312" w:hAnsi="仿宋_GB2312" w:eastAsia="仿宋_GB2312" w:cs="仿宋_GB2312"/>
          <w:b w:val="0"/>
          <w:bCs w:val="0"/>
          <w:kern w:val="2"/>
          <w:sz w:val="28"/>
          <w:szCs w:val="28"/>
          <w:highlight w:val="none"/>
          <w:lang w:val="en-US" w:eastAsia="zh-CN" w:bidi="ar-SA"/>
        </w:rPr>
        <w:t>。</w:t>
      </w:r>
    </w:p>
    <w:p>
      <w:pPr>
        <w:pageBreakBefore w:val="0"/>
        <w:widowControl w:val="0"/>
        <w:kinsoku/>
        <w:wordWrap/>
        <w:overflowPunct/>
        <w:topLinePunct w:val="0"/>
        <w:autoSpaceDE/>
        <w:autoSpaceDN/>
        <w:bidi w:val="0"/>
        <w:adjustRightInd/>
        <w:snapToGrid w:val="0"/>
        <w:spacing w:line="360" w:lineRule="auto"/>
        <w:ind w:firstLine="571"/>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第九条 各二级学院应当加强对岗位实习学生的指导，根据人才培养方案制订实习方案，明确岗位要求、实习目标、实习任务、实习标准、必要的实习准备和考核要求、实施实习的保障措施等。</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各二级学院应当选派经验丰富、综合素质好、责任心强、安全防范意识高的实习指导教师全程指导、管理学生实习。要加强</w:t>
      </w:r>
      <w:r>
        <w:rPr>
          <w:rFonts w:hint="eastAsia" w:ascii="仿宋_GB2312" w:hAnsi="仿宋_GB2312" w:eastAsia="仿宋_GB2312" w:cs="仿宋_GB2312"/>
          <w:b w:val="0"/>
          <w:bCs w:val="0"/>
          <w:kern w:val="2"/>
          <w:sz w:val="28"/>
          <w:szCs w:val="28"/>
          <w:highlight w:val="none"/>
          <w:lang w:val="en-US" w:eastAsia="zh-Hans" w:bidi="ar-SA"/>
        </w:rPr>
        <w:t>实习</w:t>
      </w:r>
      <w:r>
        <w:rPr>
          <w:rFonts w:hint="eastAsia" w:ascii="仿宋_GB2312" w:hAnsi="仿宋_GB2312" w:eastAsia="仿宋_GB2312" w:cs="仿宋_GB2312"/>
          <w:b w:val="0"/>
          <w:bCs w:val="0"/>
          <w:kern w:val="2"/>
          <w:sz w:val="28"/>
          <w:szCs w:val="28"/>
          <w:highlight w:val="none"/>
          <w:lang w:val="en-US" w:eastAsia="zh-CN" w:bidi="ar-SA"/>
        </w:rPr>
        <w:t>前培训，使学生、实习指导教师熟悉各实习阶段的任务和要求。联系实习单位（基地）安排专门人员全程指导、共同管理学生实习。实习岗位应符合专业培养目标要求，与学生所学专业对口或相近，原则上不得跨专业大类安排实习。二级学院在联系学生实习岗位时，</w:t>
      </w:r>
      <w:r>
        <w:rPr>
          <w:rFonts w:hint="eastAsia" w:ascii="仿宋_GB2312" w:hAnsi="仿宋_GB2312" w:eastAsia="仿宋_GB2312" w:cs="仿宋_GB2312"/>
          <w:b w:val="0"/>
          <w:bCs w:val="0"/>
          <w:kern w:val="2"/>
          <w:sz w:val="28"/>
          <w:szCs w:val="28"/>
          <w:highlight w:val="none"/>
          <w:lang w:val="en-US" w:eastAsia="zh-Hans" w:bidi="ar-SA"/>
        </w:rPr>
        <w:t>应当</w:t>
      </w:r>
      <w:r>
        <w:rPr>
          <w:rFonts w:hint="eastAsia" w:ascii="仿宋_GB2312" w:hAnsi="仿宋_GB2312" w:eastAsia="仿宋_GB2312" w:cs="仿宋_GB2312"/>
          <w:b w:val="0"/>
          <w:bCs w:val="0"/>
          <w:kern w:val="2"/>
          <w:sz w:val="28"/>
          <w:szCs w:val="28"/>
          <w:highlight w:val="none"/>
          <w:lang w:val="en-US" w:eastAsia="zh-CN" w:bidi="ar-SA"/>
        </w:rPr>
        <w:t>合理确定岗位实习学生占在岗人数的比例，确保岗位实习学生的人数一般不超过实习单位（基地）在岗职工总数的10%，在具体岗位实习的学生人数一般不高于实习单位（基地）同类岗位在岗职工总人数的20%。严禁</w:t>
      </w:r>
      <w:r>
        <w:rPr>
          <w:rFonts w:hint="eastAsia" w:ascii="仿宋_GB2312" w:hAnsi="仿宋_GB2312" w:eastAsia="仿宋_GB2312" w:cs="仿宋_GB2312"/>
          <w:b w:val="0"/>
          <w:bCs w:val="0"/>
          <w:kern w:val="2"/>
          <w:sz w:val="28"/>
          <w:szCs w:val="28"/>
          <w:highlight w:val="none"/>
          <w:lang w:val="en-US" w:eastAsia="zh-Hans" w:bidi="ar-SA"/>
        </w:rPr>
        <w:t>以营利为目的违规组织</w:t>
      </w:r>
      <w:r>
        <w:rPr>
          <w:rFonts w:hint="eastAsia" w:ascii="仿宋_GB2312" w:hAnsi="仿宋_GB2312" w:eastAsia="仿宋_GB2312" w:cs="仿宋_GB2312"/>
          <w:b w:val="0"/>
          <w:bCs w:val="0"/>
          <w:kern w:val="2"/>
          <w:sz w:val="28"/>
          <w:szCs w:val="28"/>
          <w:highlight w:val="none"/>
          <w:lang w:val="en-US" w:eastAsia="zh-CN" w:bidi="ar-SA"/>
        </w:rPr>
        <w:t>实习。</w:t>
      </w:r>
    </w:p>
    <w:p>
      <w:pPr>
        <w:pageBreakBefore w:val="0"/>
        <w:widowControl w:val="0"/>
        <w:kinsoku/>
        <w:wordWrap/>
        <w:overflowPunct/>
        <w:topLinePunct w:val="0"/>
        <w:autoSpaceDE/>
        <w:autoSpaceDN/>
        <w:bidi w:val="0"/>
        <w:adjustRightInd/>
        <w:spacing w:line="360" w:lineRule="auto"/>
        <w:ind w:firstLine="560" w:firstLineChars="200"/>
        <w:jc w:val="left"/>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第九条 学校安排学生实习，应当取得学生及其法定监护人（或家长）签字的知情同意书。对学生及其法定监护人（或家长）明确不同意学校实习安排的，可自行选择符合条件的岗位实习单位（基地）。</w:t>
      </w:r>
    </w:p>
    <w:p>
      <w:pPr>
        <w:pageBreakBefore w:val="0"/>
        <w:widowControl w:val="0"/>
        <w:kinsoku/>
        <w:wordWrap/>
        <w:overflowPunct/>
        <w:topLinePunct w:val="0"/>
        <w:autoSpaceDE/>
        <w:autoSpaceDN/>
        <w:bidi w:val="0"/>
        <w:adjustRightInd/>
        <w:spacing w:line="360" w:lineRule="auto"/>
        <w:ind w:firstLine="560" w:firstLineChars="200"/>
        <w:jc w:val="left"/>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认识实习按照一般校外活动有关规定进行管理，由二级学院安排，学生不得自行选择</w:t>
      </w:r>
      <w:r>
        <w:rPr>
          <w:rFonts w:hint="eastAsia" w:ascii="仿宋_GB2312" w:hAnsi="仿宋_GB2312" w:eastAsia="仿宋_GB2312" w:cs="仿宋_GB2312"/>
          <w:b w:val="0"/>
          <w:bCs w:val="0"/>
          <w:kern w:val="2"/>
          <w:sz w:val="28"/>
          <w:szCs w:val="28"/>
          <w:highlight w:val="none"/>
          <w:lang w:val="en-US" w:eastAsia="zh-Hans" w:bidi="ar-SA"/>
        </w:rPr>
        <w:t>。</w:t>
      </w:r>
    </w:p>
    <w:p>
      <w:pPr>
        <w:pageBreakBefore w:val="0"/>
        <w:widowControl w:val="0"/>
        <w:kinsoku/>
        <w:wordWrap/>
        <w:overflowPunct/>
        <w:topLinePunct w:val="0"/>
        <w:autoSpaceDE/>
        <w:autoSpaceDN/>
        <w:bidi w:val="0"/>
        <w:adjustRightInd/>
        <w:spacing w:line="360" w:lineRule="auto"/>
        <w:ind w:firstLine="560" w:firstLineChars="200"/>
        <w:jc w:val="left"/>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第十条 学生自行选择符合条件的岗位实习单位（基地），应由本人及其法定监护人（或家长）申请，经学校审核同意后实施，实习单位（基地）应当安排专门人员指导学生实习，二级学院要安排实习指导教师跟踪了解学生日常实习的情况。</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第十一条 学生在实习单位（基地）</w:t>
      </w:r>
      <w:r>
        <w:rPr>
          <w:rFonts w:hint="eastAsia" w:ascii="仿宋_GB2312" w:hAnsi="仿宋_GB2312" w:eastAsia="仿宋_GB2312" w:cs="仿宋_GB2312"/>
          <w:b w:val="0"/>
          <w:bCs w:val="0"/>
          <w:kern w:val="2"/>
          <w:sz w:val="28"/>
          <w:szCs w:val="28"/>
          <w:highlight w:val="none"/>
          <w:lang w:val="en-US" w:eastAsia="zh-Hans" w:bidi="ar-SA"/>
        </w:rPr>
        <w:t>的</w:t>
      </w:r>
      <w:r>
        <w:rPr>
          <w:rFonts w:hint="eastAsia" w:ascii="仿宋_GB2312" w:hAnsi="仿宋_GB2312" w:eastAsia="仿宋_GB2312" w:cs="仿宋_GB2312"/>
          <w:b w:val="0"/>
          <w:bCs w:val="0"/>
          <w:kern w:val="2"/>
          <w:sz w:val="28"/>
          <w:szCs w:val="28"/>
          <w:highlight w:val="none"/>
          <w:lang w:val="en-US" w:eastAsia="zh-CN" w:bidi="ar-SA"/>
        </w:rPr>
        <w:t>岗位实习应基本覆盖专业所对应岗位（群）的典型工作任务，不得仅安排学生从事简单重复劳动。鼓励二级学院</w:t>
      </w:r>
      <w:r>
        <w:rPr>
          <w:rFonts w:hint="eastAsia" w:ascii="仿宋_GB2312" w:hAnsi="仿宋_GB2312" w:eastAsia="仿宋_GB2312" w:cs="仿宋_GB2312"/>
          <w:b w:val="0"/>
          <w:bCs w:val="0"/>
          <w:kern w:val="2"/>
          <w:sz w:val="28"/>
          <w:szCs w:val="28"/>
          <w:highlight w:val="none"/>
          <w:lang w:val="en-US" w:eastAsia="zh-Hans" w:bidi="ar-SA"/>
        </w:rPr>
        <w:t>结合学徒制</w:t>
      </w:r>
      <w:r>
        <w:rPr>
          <w:rFonts w:hint="eastAsia" w:ascii="仿宋_GB2312" w:hAnsi="仿宋_GB2312" w:eastAsia="仿宋_GB2312" w:cs="仿宋_GB2312"/>
          <w:b w:val="0"/>
          <w:bCs w:val="0"/>
          <w:kern w:val="2"/>
          <w:sz w:val="28"/>
          <w:szCs w:val="28"/>
          <w:highlight w:val="none"/>
          <w:lang w:val="en-US" w:eastAsia="zh-CN" w:bidi="ar-SA"/>
        </w:rPr>
        <w:t>培养</w:t>
      </w:r>
      <w:r>
        <w:rPr>
          <w:rFonts w:hint="eastAsia" w:ascii="仿宋_GB2312" w:hAnsi="仿宋_GB2312" w:eastAsia="仿宋_GB2312" w:cs="仿宋_GB2312"/>
          <w:b w:val="0"/>
          <w:bCs w:val="0"/>
          <w:kern w:val="2"/>
          <w:sz w:val="28"/>
          <w:szCs w:val="28"/>
          <w:highlight w:val="none"/>
          <w:lang w:val="en-US" w:eastAsia="zh-Hans" w:bidi="ar-SA"/>
        </w:rPr>
        <w:t>、</w:t>
      </w:r>
      <w:r>
        <w:rPr>
          <w:rFonts w:hint="eastAsia" w:ascii="仿宋_GB2312" w:hAnsi="仿宋_GB2312" w:eastAsia="仿宋_GB2312" w:cs="仿宋_GB2312"/>
          <w:b w:val="0"/>
          <w:bCs w:val="0"/>
          <w:kern w:val="2"/>
          <w:sz w:val="28"/>
          <w:szCs w:val="28"/>
          <w:highlight w:val="none"/>
          <w:lang w:val="en-US" w:eastAsia="zh-CN" w:bidi="ar-SA"/>
        </w:rPr>
        <w:t>订单班培养</w:t>
      </w:r>
      <w:r>
        <w:rPr>
          <w:rFonts w:hint="eastAsia" w:ascii="仿宋_GB2312" w:hAnsi="仿宋_GB2312" w:eastAsia="仿宋_GB2312" w:cs="仿宋_GB2312"/>
          <w:b w:val="0"/>
          <w:bCs w:val="0"/>
          <w:kern w:val="2"/>
          <w:sz w:val="28"/>
          <w:szCs w:val="28"/>
          <w:highlight w:val="none"/>
          <w:lang w:val="en-US" w:eastAsia="zh-Hans" w:bidi="ar-SA"/>
        </w:rPr>
        <w:t>等，</w:t>
      </w:r>
      <w:r>
        <w:rPr>
          <w:rFonts w:hint="eastAsia" w:ascii="仿宋_GB2312" w:hAnsi="仿宋_GB2312" w:eastAsia="仿宋_GB2312" w:cs="仿宋_GB2312"/>
          <w:b w:val="0"/>
          <w:bCs w:val="0"/>
          <w:kern w:val="2"/>
          <w:sz w:val="28"/>
          <w:szCs w:val="28"/>
          <w:highlight w:val="none"/>
          <w:lang w:val="en-US" w:eastAsia="zh-CN" w:bidi="ar-SA"/>
        </w:rPr>
        <w:t>合作探索工学交替、多学期、分段式等多种形式的实践性教学改革。</w:t>
      </w:r>
    </w:p>
    <w:p>
      <w:pPr>
        <w:pageBreakBefore w:val="0"/>
        <w:widowControl w:val="0"/>
        <w:kinsoku/>
        <w:wordWrap/>
        <w:overflowPunct/>
        <w:topLinePunct w:val="0"/>
        <w:autoSpaceDE/>
        <w:autoSpaceDN/>
        <w:bidi w:val="0"/>
        <w:adjustRightInd/>
        <w:snapToGrid w:val="0"/>
        <w:spacing w:line="360" w:lineRule="auto"/>
        <w:textAlignment w:val="auto"/>
        <w:outlineLvl w:val="9"/>
        <w:rPr>
          <w:rFonts w:hint="eastAsia" w:ascii="仿宋_GB2312" w:hAnsi="仿宋_GB2312" w:eastAsia="仿宋_GB2312" w:cs="仿宋_GB2312"/>
          <w:b w:val="0"/>
          <w:bCs w:val="0"/>
          <w:kern w:val="2"/>
          <w:sz w:val="28"/>
          <w:szCs w:val="28"/>
          <w:highlight w:val="none"/>
          <w:lang w:val="en-US" w:eastAsia="zh-CN" w:bidi="ar-SA"/>
        </w:rPr>
      </w:pPr>
    </w:p>
    <w:p>
      <w:pPr>
        <w:pageBreakBefore w:val="0"/>
        <w:widowControl w:val="0"/>
        <w:kinsoku/>
        <w:wordWrap/>
        <w:overflowPunct/>
        <w:topLinePunct w:val="0"/>
        <w:autoSpaceDE/>
        <w:autoSpaceDN/>
        <w:bidi w:val="0"/>
        <w:adjustRightInd/>
        <w:snapToGrid w:val="0"/>
        <w:spacing w:before="0" w:after="0" w:line="360" w:lineRule="auto"/>
        <w:jc w:val="center"/>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第三章 实习管理</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第十三条 学校设立实习管理工作小组，工作小组组长由校长担任，副组长由分管教学工作的副校长担任，成员由教务处、校企合作中心、学生处及有全日制在校生的二级学院院长组成。各二级学院当明确学生实习工作的分管领导，建立健全学生实习管理的运行机制；制定学生实习工作具体管理办法和安全管理规定、实习学生安全及突发事件应急预案等制度。</w:t>
      </w:r>
    </w:p>
    <w:p>
      <w:pPr>
        <w:pageBreakBefore w:val="0"/>
        <w:widowControl w:val="0"/>
        <w:kinsoku/>
        <w:wordWrap/>
        <w:overflowPunct/>
        <w:topLinePunct w:val="0"/>
        <w:autoSpaceDE/>
        <w:autoSpaceDN/>
        <w:bidi w:val="0"/>
        <w:adjustRightInd/>
        <w:snapToGrid w:val="0"/>
        <w:spacing w:line="360" w:lineRule="auto"/>
        <w:ind w:firstLine="548" w:firstLineChars="196"/>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第十四条 学生参加岗位实习前，学校、实习单位（基地）、学生三方必须以教育部</w:t>
      </w:r>
      <w:r>
        <w:rPr>
          <w:rFonts w:hint="eastAsia" w:ascii="仿宋_GB2312" w:hAnsi="仿宋_GB2312" w:eastAsia="仿宋_GB2312" w:cs="仿宋_GB2312"/>
          <w:b w:val="0"/>
          <w:bCs w:val="0"/>
          <w:kern w:val="2"/>
          <w:sz w:val="28"/>
          <w:szCs w:val="28"/>
          <w:highlight w:val="none"/>
          <w:lang w:val="en-US" w:eastAsia="zh-Hans" w:bidi="ar-SA"/>
        </w:rPr>
        <w:t>发布的</w:t>
      </w:r>
      <w:r>
        <w:rPr>
          <w:rFonts w:hint="eastAsia" w:ascii="仿宋_GB2312" w:hAnsi="仿宋_GB2312" w:eastAsia="仿宋_GB2312" w:cs="仿宋_GB2312"/>
          <w:b w:val="0"/>
          <w:bCs w:val="0"/>
          <w:kern w:val="2"/>
          <w:sz w:val="28"/>
          <w:szCs w:val="28"/>
          <w:highlight w:val="none"/>
          <w:lang w:val="en-US" w:eastAsia="zh-CN" w:bidi="ar-SA"/>
        </w:rPr>
        <w:t>实习协议示范文本为基础签订实习协议，并依法严格履行协议中有关条款。</w:t>
      </w:r>
    </w:p>
    <w:p>
      <w:pPr>
        <w:pageBreakBefore w:val="0"/>
        <w:widowControl w:val="0"/>
        <w:kinsoku/>
        <w:wordWrap/>
        <w:overflowPunct/>
        <w:topLinePunct w:val="0"/>
        <w:autoSpaceDE/>
        <w:autoSpaceDN/>
        <w:bidi w:val="0"/>
        <w:adjustRightInd/>
        <w:snapToGrid w:val="0"/>
        <w:spacing w:line="360" w:lineRule="auto"/>
        <w:ind w:firstLine="548" w:firstLineChars="196"/>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未按规定签订实习协议的，不得安排学生实习。</w:t>
      </w:r>
    </w:p>
    <w:p>
      <w:pPr>
        <w:pageBreakBefore w:val="0"/>
        <w:widowControl w:val="0"/>
        <w:kinsoku/>
        <w:wordWrap/>
        <w:overflowPunct/>
        <w:topLinePunct w:val="0"/>
        <w:autoSpaceDE/>
        <w:autoSpaceDN/>
        <w:bidi w:val="0"/>
        <w:adjustRightInd/>
        <w:snapToGrid w:val="0"/>
        <w:spacing w:line="360" w:lineRule="auto"/>
        <w:ind w:firstLine="548" w:firstLineChars="196"/>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第十五条 岗位实习协议应当明确各方的责任、权利和义务，协议约定的内容不得违反相关法律法规。</w:t>
      </w:r>
    </w:p>
    <w:p>
      <w:pPr>
        <w:pageBreakBefore w:val="0"/>
        <w:widowControl w:val="0"/>
        <w:kinsoku/>
        <w:wordWrap/>
        <w:overflowPunct/>
        <w:topLinePunct w:val="0"/>
        <w:autoSpaceDE/>
        <w:autoSpaceDN/>
        <w:bidi w:val="0"/>
        <w:adjustRightInd/>
        <w:snapToGrid w:val="0"/>
        <w:spacing w:line="360" w:lineRule="auto"/>
        <w:ind w:firstLine="548" w:firstLineChars="196"/>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实习协议应当包括但不限于以下内容：</w:t>
      </w:r>
    </w:p>
    <w:p>
      <w:pPr>
        <w:pageBreakBefore w:val="0"/>
        <w:widowControl w:val="0"/>
        <w:kinsoku/>
        <w:wordWrap/>
        <w:overflowPunct/>
        <w:topLinePunct w:val="0"/>
        <w:autoSpaceDE/>
        <w:autoSpaceDN/>
        <w:bidi w:val="0"/>
        <w:adjustRightInd/>
        <w:snapToGrid w:val="0"/>
        <w:spacing w:line="360" w:lineRule="auto"/>
        <w:ind w:firstLine="548" w:firstLineChars="196"/>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（一）各方基本信息；</w:t>
      </w:r>
    </w:p>
    <w:p>
      <w:pPr>
        <w:pageBreakBefore w:val="0"/>
        <w:widowControl w:val="0"/>
        <w:kinsoku/>
        <w:wordWrap/>
        <w:overflowPunct/>
        <w:topLinePunct w:val="0"/>
        <w:autoSpaceDE/>
        <w:autoSpaceDN/>
        <w:bidi w:val="0"/>
        <w:adjustRightInd/>
        <w:snapToGrid w:val="0"/>
        <w:spacing w:line="360" w:lineRule="auto"/>
        <w:ind w:firstLine="548" w:firstLineChars="196"/>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（二）实习的时间、地点、内容、要求与条件保障；</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（三）实习期间的食宿、工作时间和休息休假安排；</w:t>
      </w:r>
    </w:p>
    <w:p>
      <w:pPr>
        <w:pageBreakBefore w:val="0"/>
        <w:widowControl w:val="0"/>
        <w:kinsoku/>
        <w:wordWrap/>
        <w:overflowPunct/>
        <w:topLinePunct w:val="0"/>
        <w:autoSpaceDE/>
        <w:autoSpaceDN/>
        <w:bidi w:val="0"/>
        <w:adjustRightInd/>
        <w:snapToGrid w:val="0"/>
        <w:spacing w:line="360" w:lineRule="auto"/>
        <w:ind w:firstLine="548" w:firstLineChars="196"/>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（四）实习报酬及支付方式；</w:t>
      </w:r>
    </w:p>
    <w:p>
      <w:pPr>
        <w:pageBreakBefore w:val="0"/>
        <w:widowControl w:val="0"/>
        <w:kinsoku/>
        <w:wordWrap/>
        <w:overflowPunct/>
        <w:topLinePunct w:val="0"/>
        <w:autoSpaceDE/>
        <w:autoSpaceDN/>
        <w:bidi w:val="0"/>
        <w:adjustRightInd/>
        <w:snapToGrid w:val="0"/>
        <w:spacing w:line="360" w:lineRule="auto"/>
        <w:ind w:firstLine="548" w:firstLineChars="196"/>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（五）实习期间劳动保护和劳动安全、卫生、职业病危害防护条件；</w:t>
      </w:r>
    </w:p>
    <w:p>
      <w:pPr>
        <w:pageBreakBefore w:val="0"/>
        <w:widowControl w:val="0"/>
        <w:numPr>
          <w:ilvl w:val="0"/>
          <w:numId w:val="47"/>
        </w:numPr>
        <w:kinsoku/>
        <w:wordWrap/>
        <w:overflowPunct/>
        <w:topLinePunct w:val="0"/>
        <w:autoSpaceDE/>
        <w:autoSpaceDN/>
        <w:bidi w:val="0"/>
        <w:adjustRightInd/>
        <w:snapToGrid w:val="0"/>
        <w:spacing w:line="360" w:lineRule="auto"/>
        <w:ind w:firstLine="548" w:firstLineChars="196"/>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责任保险与伤亡事故处理办法；</w:t>
      </w:r>
    </w:p>
    <w:p>
      <w:pPr>
        <w:pageBreakBefore w:val="0"/>
        <w:widowControl w:val="0"/>
        <w:kinsoku/>
        <w:wordWrap/>
        <w:overflowPunct/>
        <w:topLinePunct w:val="0"/>
        <w:autoSpaceDE/>
        <w:autoSpaceDN/>
        <w:bidi w:val="0"/>
        <w:adjustRightInd/>
        <w:snapToGrid w:val="0"/>
        <w:spacing w:line="360" w:lineRule="auto"/>
        <w:ind w:firstLine="548" w:firstLineChars="196"/>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（七）实习考核方式；</w:t>
      </w:r>
    </w:p>
    <w:p>
      <w:pPr>
        <w:pageBreakBefore w:val="0"/>
        <w:widowControl w:val="0"/>
        <w:kinsoku/>
        <w:wordWrap/>
        <w:overflowPunct/>
        <w:topLinePunct w:val="0"/>
        <w:autoSpaceDE/>
        <w:autoSpaceDN/>
        <w:bidi w:val="0"/>
        <w:adjustRightInd/>
        <w:snapToGrid w:val="0"/>
        <w:spacing w:line="360" w:lineRule="auto"/>
        <w:ind w:firstLine="548" w:firstLineChars="196"/>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（八）各方违约责任；</w:t>
      </w:r>
    </w:p>
    <w:p>
      <w:pPr>
        <w:pageBreakBefore w:val="0"/>
        <w:widowControl w:val="0"/>
        <w:kinsoku/>
        <w:wordWrap/>
        <w:overflowPunct/>
        <w:topLinePunct w:val="0"/>
        <w:autoSpaceDE/>
        <w:autoSpaceDN/>
        <w:bidi w:val="0"/>
        <w:adjustRightInd/>
        <w:snapToGrid w:val="0"/>
        <w:spacing w:line="360" w:lineRule="auto"/>
        <w:ind w:firstLine="548" w:firstLineChars="196"/>
        <w:jc w:val="left"/>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w:t>
      </w:r>
      <w:r>
        <w:rPr>
          <w:rFonts w:hint="eastAsia" w:ascii="仿宋_GB2312" w:hAnsi="仿宋_GB2312" w:eastAsia="仿宋_GB2312" w:cs="仿宋_GB2312"/>
          <w:b w:val="0"/>
          <w:bCs w:val="0"/>
          <w:kern w:val="2"/>
          <w:sz w:val="28"/>
          <w:szCs w:val="28"/>
          <w:highlight w:val="none"/>
          <w:lang w:val="en-US" w:eastAsia="zh-Hans" w:bidi="ar-SA"/>
        </w:rPr>
        <w:t>九）三方认为</w:t>
      </w:r>
      <w:r>
        <w:rPr>
          <w:rFonts w:hint="eastAsia" w:ascii="仿宋_GB2312" w:hAnsi="仿宋_GB2312" w:eastAsia="仿宋_GB2312" w:cs="仿宋_GB2312"/>
          <w:b w:val="0"/>
          <w:bCs w:val="0"/>
          <w:kern w:val="2"/>
          <w:sz w:val="28"/>
          <w:szCs w:val="28"/>
          <w:highlight w:val="none"/>
          <w:lang w:val="en-US" w:eastAsia="zh-CN" w:bidi="ar-SA"/>
        </w:rPr>
        <w:t>应当</w:t>
      </w:r>
      <w:r>
        <w:rPr>
          <w:rFonts w:hint="eastAsia" w:ascii="仿宋_GB2312" w:hAnsi="仿宋_GB2312" w:eastAsia="仿宋_GB2312" w:cs="仿宋_GB2312"/>
          <w:b w:val="0"/>
          <w:bCs w:val="0"/>
          <w:kern w:val="2"/>
          <w:sz w:val="28"/>
          <w:szCs w:val="28"/>
          <w:highlight w:val="none"/>
          <w:lang w:val="en-US" w:eastAsia="zh-Hans" w:bidi="ar-SA"/>
        </w:rPr>
        <w:t>明确约定的</w:t>
      </w:r>
      <w:r>
        <w:rPr>
          <w:rFonts w:hint="eastAsia" w:ascii="仿宋_GB2312" w:hAnsi="仿宋_GB2312" w:eastAsia="仿宋_GB2312" w:cs="仿宋_GB2312"/>
          <w:b w:val="0"/>
          <w:bCs w:val="0"/>
          <w:kern w:val="2"/>
          <w:sz w:val="28"/>
          <w:szCs w:val="28"/>
          <w:highlight w:val="none"/>
          <w:lang w:val="en-US" w:eastAsia="zh-CN" w:bidi="ar-SA"/>
        </w:rPr>
        <w:t>其他事项。</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第十六条 各二级学院要依法保障实习学生的基本权利，并不得有以下情形：</w:t>
      </w:r>
    </w:p>
    <w:p>
      <w:pPr>
        <w:pageBreakBefore w:val="0"/>
        <w:widowControl w:val="0"/>
        <w:tabs>
          <w:tab w:val="left" w:pos="0"/>
          <w:tab w:val="left" w:pos="1418"/>
          <w:tab w:val="left" w:pos="1560"/>
        </w:tabs>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（一）安排一年级在校学生进行岗位实习；</w:t>
      </w:r>
    </w:p>
    <w:p>
      <w:pPr>
        <w:pageBreakBefore w:val="0"/>
        <w:widowControl w:val="0"/>
        <w:tabs>
          <w:tab w:val="left" w:pos="0"/>
          <w:tab w:val="left" w:pos="1418"/>
          <w:tab w:val="left" w:pos="1560"/>
        </w:tabs>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（二）安排未满16周岁的学生进行岗位实习；</w:t>
      </w:r>
    </w:p>
    <w:p>
      <w:pPr>
        <w:pageBreakBefore w:val="0"/>
        <w:widowControl w:val="0"/>
        <w:tabs>
          <w:tab w:val="left" w:pos="0"/>
          <w:tab w:val="left" w:pos="1418"/>
          <w:tab w:val="left" w:pos="1560"/>
        </w:tabs>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（三）安排未成年学生从事《未成年工特殊保护规定》中禁忌从事的劳动；</w:t>
      </w:r>
    </w:p>
    <w:p>
      <w:pPr>
        <w:pageBreakBefore w:val="0"/>
        <w:widowControl w:val="0"/>
        <w:tabs>
          <w:tab w:val="left" w:pos="0"/>
          <w:tab w:val="left" w:pos="1418"/>
          <w:tab w:val="left" w:pos="1560"/>
        </w:tabs>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（四）安排实习的女学生从事《女职工劳动保护特别规定》中禁忌从事的劳动；</w:t>
      </w:r>
    </w:p>
    <w:p>
      <w:pPr>
        <w:pageBreakBefore w:val="0"/>
        <w:widowControl w:val="0"/>
        <w:tabs>
          <w:tab w:val="left" w:pos="0"/>
          <w:tab w:val="left" w:pos="1418"/>
          <w:tab w:val="left" w:pos="1560"/>
        </w:tabs>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（五）安排学生到酒吧、夜总会、歌厅、洗浴中心、</w:t>
      </w:r>
      <w:r>
        <w:rPr>
          <w:rFonts w:hint="eastAsia" w:ascii="仿宋_GB2312" w:hAnsi="仿宋_GB2312" w:eastAsia="仿宋_GB2312" w:cs="仿宋_GB2312"/>
          <w:b w:val="0"/>
          <w:bCs w:val="0"/>
          <w:kern w:val="2"/>
          <w:sz w:val="28"/>
          <w:szCs w:val="28"/>
          <w:highlight w:val="none"/>
          <w:lang w:val="en-US" w:eastAsia="zh-Hans" w:bidi="ar-SA"/>
        </w:rPr>
        <w:t>电子游戏厅、网吧</w:t>
      </w:r>
      <w:r>
        <w:rPr>
          <w:rFonts w:hint="eastAsia" w:ascii="仿宋_GB2312" w:hAnsi="仿宋_GB2312" w:eastAsia="仿宋_GB2312" w:cs="仿宋_GB2312"/>
          <w:b w:val="0"/>
          <w:bCs w:val="0"/>
          <w:kern w:val="2"/>
          <w:sz w:val="28"/>
          <w:szCs w:val="28"/>
          <w:highlight w:val="none"/>
          <w:lang w:val="en-US" w:eastAsia="zh-CN" w:bidi="ar-SA"/>
        </w:rPr>
        <w:t>等营业性娱乐场所实习；</w:t>
      </w:r>
    </w:p>
    <w:p>
      <w:pPr>
        <w:pageBreakBefore w:val="0"/>
        <w:widowControl w:val="0"/>
        <w:tabs>
          <w:tab w:val="left" w:pos="0"/>
          <w:tab w:val="left" w:pos="1418"/>
          <w:tab w:val="left" w:pos="1560"/>
        </w:tabs>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bookmarkStart w:id="385" w:name="_Hlk86659056"/>
      <w:r>
        <w:rPr>
          <w:rFonts w:hint="eastAsia" w:ascii="仿宋_GB2312" w:hAnsi="仿宋_GB2312" w:eastAsia="仿宋_GB2312" w:cs="仿宋_GB2312"/>
          <w:b w:val="0"/>
          <w:bCs w:val="0"/>
          <w:kern w:val="2"/>
          <w:sz w:val="28"/>
          <w:szCs w:val="28"/>
          <w:highlight w:val="none"/>
          <w:lang w:val="en-US" w:eastAsia="zh-CN" w:bidi="ar-SA"/>
        </w:rPr>
        <w:t>（六）通过中介机构或有偿代理组织、安排和管理学生实习工作；</w:t>
      </w:r>
    </w:p>
    <w:bookmarkEnd w:id="385"/>
    <w:p>
      <w:pPr>
        <w:pageBreakBefore w:val="0"/>
        <w:widowControl w:val="0"/>
        <w:tabs>
          <w:tab w:val="left" w:pos="0"/>
          <w:tab w:val="left" w:pos="1560"/>
        </w:tabs>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（七）安排学生从事III级强度及以上体力劳动或其他</w:t>
      </w:r>
      <w:r>
        <w:rPr>
          <w:rFonts w:hint="eastAsia" w:ascii="仿宋_GB2312" w:hAnsi="仿宋_GB2312" w:eastAsia="仿宋_GB2312" w:cs="仿宋_GB2312"/>
          <w:b w:val="0"/>
          <w:bCs w:val="0"/>
          <w:kern w:val="2"/>
          <w:sz w:val="28"/>
          <w:szCs w:val="28"/>
          <w:highlight w:val="none"/>
          <w:lang w:val="en-US" w:eastAsia="zh-Hans" w:bidi="ar-SA"/>
        </w:rPr>
        <w:t>有害身心健康的实习</w:t>
      </w:r>
      <w:r>
        <w:rPr>
          <w:rFonts w:hint="eastAsia" w:ascii="仿宋_GB2312" w:hAnsi="仿宋_GB2312" w:eastAsia="仿宋_GB2312" w:cs="仿宋_GB2312"/>
          <w:b w:val="0"/>
          <w:bCs w:val="0"/>
          <w:kern w:val="2"/>
          <w:sz w:val="28"/>
          <w:szCs w:val="28"/>
          <w:highlight w:val="none"/>
          <w:lang w:val="en-US" w:eastAsia="zh-CN" w:bidi="ar-SA"/>
        </w:rPr>
        <w:t>。</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第十七条 除相关专业和实习岗位有特殊要求，并事先报学校备案的实习安排外，学生岗位实习应遵守国家关于工作时间和休息休假的规定，并不得有以下情形：</w:t>
      </w:r>
    </w:p>
    <w:p>
      <w:pPr>
        <w:pageBreakBefore w:val="0"/>
        <w:widowControl w:val="0"/>
        <w:tabs>
          <w:tab w:val="left" w:pos="0"/>
          <w:tab w:val="left" w:pos="1560"/>
        </w:tabs>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（一）安排学生从事高空、井下、放射性、有毒、易燃易爆，以及其他具有较高安全风险的实习；</w:t>
      </w:r>
    </w:p>
    <w:p>
      <w:pPr>
        <w:pageBreakBefore w:val="0"/>
        <w:widowControl w:val="0"/>
        <w:tabs>
          <w:tab w:val="left" w:pos="0"/>
          <w:tab w:val="left" w:pos="1560"/>
        </w:tabs>
        <w:kinsoku/>
        <w:wordWrap/>
        <w:overflowPunct/>
        <w:topLinePunct w:val="0"/>
        <w:autoSpaceDE/>
        <w:autoSpaceDN/>
        <w:bidi w:val="0"/>
        <w:adjustRightInd/>
        <w:snapToGrid w:val="0"/>
        <w:spacing w:line="360" w:lineRule="auto"/>
        <w:ind w:left="58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（二）安排学生在休息日、法定节假日实习；</w:t>
      </w:r>
    </w:p>
    <w:p>
      <w:pPr>
        <w:pageBreakBefore w:val="0"/>
        <w:widowControl w:val="0"/>
        <w:kinsoku/>
        <w:wordWrap/>
        <w:overflowPunct/>
        <w:topLinePunct w:val="0"/>
        <w:autoSpaceDE/>
        <w:autoSpaceDN/>
        <w:bidi w:val="0"/>
        <w:adjustRightInd/>
        <w:spacing w:line="360" w:lineRule="auto"/>
        <w:ind w:firstLine="490" w:firstLineChars="175"/>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（三）安排学生加班和上夜班。</w:t>
      </w: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第十八条 在遇有自然灾害、事故灾难、公共安全等</w:t>
      </w:r>
      <w:r>
        <w:rPr>
          <w:rFonts w:hint="eastAsia" w:ascii="仿宋_GB2312" w:hAnsi="仿宋_GB2312" w:eastAsia="仿宋_GB2312" w:cs="仿宋_GB2312"/>
          <w:b w:val="0"/>
          <w:bCs w:val="0"/>
          <w:kern w:val="2"/>
          <w:sz w:val="28"/>
          <w:szCs w:val="28"/>
          <w:highlight w:val="none"/>
          <w:lang w:val="en-US" w:eastAsia="zh-Hans" w:bidi="ar-SA"/>
        </w:rPr>
        <w:t>突发事件或</w:t>
      </w:r>
      <w:r>
        <w:rPr>
          <w:rFonts w:hint="eastAsia" w:ascii="仿宋_GB2312" w:hAnsi="仿宋_GB2312" w:eastAsia="仿宋_GB2312" w:cs="仿宋_GB2312"/>
          <w:b w:val="0"/>
          <w:bCs w:val="0"/>
          <w:kern w:val="2"/>
          <w:sz w:val="28"/>
          <w:szCs w:val="28"/>
          <w:highlight w:val="none"/>
          <w:lang w:val="en-US" w:eastAsia="zh-CN" w:bidi="ar-SA"/>
        </w:rPr>
        <w:t>重大风险时，学校应配合</w:t>
      </w:r>
      <w:r>
        <w:rPr>
          <w:rFonts w:hint="eastAsia" w:ascii="仿宋_GB2312" w:hAnsi="仿宋_GB2312" w:eastAsia="仿宋_GB2312" w:cs="仿宋_GB2312"/>
          <w:b w:val="0"/>
          <w:bCs w:val="0"/>
          <w:kern w:val="2"/>
          <w:sz w:val="28"/>
          <w:szCs w:val="28"/>
          <w:highlight w:val="none"/>
          <w:lang w:val="en-US" w:eastAsia="zh-Hans" w:bidi="ar-SA"/>
        </w:rPr>
        <w:t>属地管理</w:t>
      </w:r>
      <w:r>
        <w:rPr>
          <w:rFonts w:hint="eastAsia" w:ascii="仿宋_GB2312" w:hAnsi="仿宋_GB2312" w:eastAsia="仿宋_GB2312" w:cs="仿宋_GB2312"/>
          <w:b w:val="0"/>
          <w:bCs w:val="0"/>
          <w:kern w:val="2"/>
          <w:sz w:val="28"/>
          <w:szCs w:val="28"/>
          <w:highlight w:val="none"/>
          <w:lang w:val="en-US" w:eastAsia="zh-CN" w:bidi="ar-SA"/>
        </w:rPr>
        <w:t>要求</w:t>
      </w:r>
      <w:r>
        <w:rPr>
          <w:rFonts w:hint="eastAsia" w:ascii="仿宋_GB2312" w:hAnsi="仿宋_GB2312" w:eastAsia="仿宋_GB2312" w:cs="仿宋_GB2312"/>
          <w:b w:val="0"/>
          <w:bCs w:val="0"/>
          <w:kern w:val="2"/>
          <w:sz w:val="28"/>
          <w:szCs w:val="28"/>
          <w:highlight w:val="none"/>
          <w:lang w:val="en-US" w:eastAsia="zh-Hans" w:bidi="ar-SA"/>
        </w:rPr>
        <w:t>，</w:t>
      </w:r>
      <w:r>
        <w:rPr>
          <w:rFonts w:hint="eastAsia" w:ascii="仿宋_GB2312" w:hAnsi="仿宋_GB2312" w:eastAsia="仿宋_GB2312" w:cs="仿宋_GB2312"/>
          <w:b w:val="0"/>
          <w:bCs w:val="0"/>
          <w:kern w:val="2"/>
          <w:sz w:val="28"/>
          <w:szCs w:val="28"/>
          <w:highlight w:val="none"/>
          <w:lang w:val="en-US" w:eastAsia="zh-CN" w:bidi="ar-SA"/>
        </w:rPr>
        <w:t>分不同风险等级、实习阶段做好分类管控工作。</w:t>
      </w:r>
    </w:p>
    <w:p>
      <w:pPr>
        <w:pageBreakBefore w:val="0"/>
        <w:widowControl w:val="0"/>
        <w:kinsoku/>
        <w:wordWrap/>
        <w:overflowPunct/>
        <w:topLinePunct w:val="0"/>
        <w:autoSpaceDE/>
        <w:autoSpaceDN/>
        <w:bidi w:val="0"/>
        <w:adjustRightInd/>
        <w:snapToGrid w:val="0"/>
        <w:spacing w:line="360" w:lineRule="auto"/>
        <w:ind w:firstLine="548" w:firstLineChars="196"/>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第十九条 任何单位及个人不得向学生收取实习押金、培训费、实习报酬提成、管理费、</w:t>
      </w:r>
      <w:r>
        <w:rPr>
          <w:rFonts w:hint="eastAsia" w:ascii="仿宋_GB2312" w:hAnsi="仿宋_GB2312" w:eastAsia="仿宋_GB2312" w:cs="仿宋_GB2312"/>
          <w:b w:val="0"/>
          <w:bCs w:val="0"/>
          <w:kern w:val="2"/>
          <w:sz w:val="28"/>
          <w:szCs w:val="28"/>
          <w:highlight w:val="none"/>
          <w:lang w:val="en-US" w:eastAsia="zh-Hans" w:bidi="ar-SA"/>
        </w:rPr>
        <w:t>实习材料费、</w:t>
      </w:r>
      <w:r>
        <w:rPr>
          <w:rFonts w:hint="eastAsia" w:ascii="仿宋_GB2312" w:hAnsi="仿宋_GB2312" w:eastAsia="仿宋_GB2312" w:cs="仿宋_GB2312"/>
          <w:b w:val="0"/>
          <w:bCs w:val="0"/>
          <w:kern w:val="2"/>
          <w:sz w:val="28"/>
          <w:szCs w:val="28"/>
          <w:highlight w:val="none"/>
          <w:lang w:val="en-US" w:eastAsia="zh-CN" w:bidi="ar-SA"/>
        </w:rPr>
        <w:t>就业服务费或者其他形式的实习费用，不得扣押学生的学生证、居民身份证或其他证件，不得要求学生提供担保或者以其他名义收取学生财物。</w:t>
      </w: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学生岗位实习时，二级学院应联系实习单位（基地）参考实习单位（基地）相同岗位的报酬标准和岗位实习学生的工作量、工作强度、工作时间等因素，按教育部文件规定实习单位（基地）应给予学生适当的实习报酬。并按照实习协议约定，以货币形式及时、足额、直接支付给学生，原则上支付周期不得超过1个月，不得以物品或代金券等代替货币支付或经过第三方转发。</w:t>
      </w:r>
    </w:p>
    <w:p>
      <w:pPr>
        <w:pageBreakBefore w:val="0"/>
        <w:widowControl w:val="0"/>
        <w:kinsoku/>
        <w:wordWrap/>
        <w:overflowPunct/>
        <w:topLinePunct w:val="0"/>
        <w:autoSpaceDE/>
        <w:autoSpaceDN/>
        <w:bidi w:val="0"/>
        <w:adjustRightInd/>
        <w:snapToGrid w:val="0"/>
        <w:spacing w:line="360" w:lineRule="auto"/>
        <w:ind w:firstLine="548" w:firstLineChars="196"/>
        <w:textAlignment w:val="auto"/>
        <w:outlineLvl w:val="9"/>
        <w:rPr>
          <w:rFonts w:hint="eastAsia" w:ascii="仿宋_GB2312" w:hAnsi="仿宋_GB2312" w:eastAsia="仿宋_GB2312" w:cs="仿宋_GB2312"/>
          <w:b w:val="0"/>
          <w:bCs w:val="0"/>
          <w:kern w:val="2"/>
          <w:sz w:val="28"/>
          <w:szCs w:val="28"/>
          <w:highlight w:val="none"/>
          <w:lang w:val="en-US" w:eastAsia="zh-CN" w:bidi="ar-SA"/>
        </w:rPr>
      </w:pP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第二十条 实习学生应当遵守学校的实习要求和实习单位（基地）的规章制度、实习纪律及实习协议，爱护实习单位（基地）设施设备，完成规定的实习任务，撰写实习日志，并在实习结束时提交实习报告。</w:t>
      </w: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第二十一条 二级学院要和实习单位（基地）互相配合，在学生实习全过程中，加强</w:t>
      </w:r>
      <w:r>
        <w:rPr>
          <w:rFonts w:hint="eastAsia" w:ascii="仿宋_GB2312" w:hAnsi="仿宋_GB2312" w:eastAsia="仿宋_GB2312" w:cs="仿宋_GB2312"/>
          <w:b w:val="0"/>
          <w:bCs w:val="0"/>
          <w:kern w:val="2"/>
          <w:sz w:val="28"/>
          <w:szCs w:val="28"/>
          <w:highlight w:val="none"/>
          <w:lang w:val="en-US" w:eastAsia="zh-Hans" w:bidi="ar-SA"/>
        </w:rPr>
        <w:t>思想政治、</w:t>
      </w:r>
      <w:r>
        <w:rPr>
          <w:rFonts w:hint="eastAsia" w:ascii="仿宋_GB2312" w:hAnsi="仿宋_GB2312" w:eastAsia="仿宋_GB2312" w:cs="仿宋_GB2312"/>
          <w:b w:val="0"/>
          <w:bCs w:val="0"/>
          <w:kern w:val="2"/>
          <w:sz w:val="28"/>
          <w:szCs w:val="28"/>
          <w:highlight w:val="none"/>
          <w:lang w:val="en-US" w:eastAsia="zh-CN" w:bidi="ar-SA"/>
        </w:rPr>
        <w:t>安全生产、道德法纪、心</w:t>
      </w:r>
      <w:r>
        <w:rPr>
          <w:rFonts w:hint="eastAsia" w:ascii="仿宋_GB2312" w:hAnsi="仿宋_GB2312" w:eastAsia="仿宋_GB2312" w:cs="仿宋_GB2312"/>
          <w:b w:val="0"/>
          <w:bCs w:val="0"/>
          <w:kern w:val="2"/>
          <w:sz w:val="28"/>
          <w:szCs w:val="28"/>
          <w:highlight w:val="none"/>
          <w:lang w:val="en-US" w:eastAsia="zh-Hans" w:bidi="ar-SA"/>
        </w:rPr>
        <w:t>理</w:t>
      </w:r>
      <w:r>
        <w:rPr>
          <w:rFonts w:hint="eastAsia" w:ascii="仿宋_GB2312" w:hAnsi="仿宋_GB2312" w:eastAsia="仿宋_GB2312" w:cs="仿宋_GB2312"/>
          <w:b w:val="0"/>
          <w:bCs w:val="0"/>
          <w:kern w:val="2"/>
          <w:sz w:val="28"/>
          <w:szCs w:val="28"/>
          <w:highlight w:val="none"/>
          <w:lang w:val="en-US" w:eastAsia="zh-CN" w:bidi="ar-SA"/>
        </w:rPr>
        <w:t>健康等方面的教育。</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第二十二条 二级学院要和实习单位（基地）建立学生实习信息通报制度，各二级学院安排的实习指导教师和实习单位（基地）指定的专人应当负责学生实习期间的业务指导和日常巡查工作，</w:t>
      </w:r>
      <w:r>
        <w:rPr>
          <w:rFonts w:hint="eastAsia" w:ascii="仿宋_GB2312" w:hAnsi="仿宋_GB2312" w:eastAsia="仿宋_GB2312" w:cs="仿宋_GB2312"/>
          <w:b w:val="0"/>
          <w:bCs w:val="0"/>
          <w:kern w:val="2"/>
          <w:sz w:val="28"/>
          <w:szCs w:val="28"/>
          <w:highlight w:val="none"/>
          <w:lang w:val="en-US" w:eastAsia="zh-Hans" w:bidi="ar-SA"/>
        </w:rPr>
        <w:t>原则上</w:t>
      </w:r>
      <w:r>
        <w:rPr>
          <w:rFonts w:hint="eastAsia" w:ascii="仿宋_GB2312" w:hAnsi="仿宋_GB2312" w:eastAsia="仿宋_GB2312" w:cs="仿宋_GB2312"/>
          <w:b w:val="0"/>
          <w:bCs w:val="0"/>
          <w:kern w:val="2"/>
          <w:sz w:val="28"/>
          <w:szCs w:val="28"/>
          <w:highlight w:val="none"/>
          <w:lang w:val="en-US" w:eastAsia="zh-CN" w:bidi="ar-SA"/>
        </w:rPr>
        <w:t>应当</w:t>
      </w:r>
      <w:r>
        <w:rPr>
          <w:rFonts w:hint="eastAsia" w:ascii="仿宋_GB2312" w:hAnsi="仿宋_GB2312" w:eastAsia="仿宋_GB2312" w:cs="仿宋_GB2312"/>
          <w:b w:val="0"/>
          <w:bCs w:val="0"/>
          <w:kern w:val="2"/>
          <w:sz w:val="28"/>
          <w:szCs w:val="28"/>
          <w:highlight w:val="none"/>
          <w:lang w:val="en-US" w:eastAsia="zh-Hans" w:bidi="ar-SA"/>
        </w:rPr>
        <w:t>每日</w:t>
      </w:r>
      <w:r>
        <w:rPr>
          <w:rFonts w:hint="eastAsia" w:ascii="仿宋_GB2312" w:hAnsi="仿宋_GB2312" w:eastAsia="仿宋_GB2312" w:cs="仿宋_GB2312"/>
          <w:b w:val="0"/>
          <w:bCs w:val="0"/>
          <w:kern w:val="2"/>
          <w:sz w:val="28"/>
          <w:szCs w:val="28"/>
          <w:highlight w:val="none"/>
          <w:lang w:val="en-US" w:eastAsia="zh-CN" w:bidi="ar-SA"/>
        </w:rPr>
        <w:t>检查并向二级学院和实习单位（基地）报告学生实习情况。</w:t>
      </w:r>
      <w:r>
        <w:rPr>
          <w:rFonts w:hint="eastAsia" w:ascii="仿宋_GB2312" w:hAnsi="仿宋_GB2312" w:eastAsia="仿宋_GB2312" w:cs="仿宋_GB2312"/>
          <w:b w:val="0"/>
          <w:bCs w:val="0"/>
          <w:kern w:val="2"/>
          <w:sz w:val="28"/>
          <w:szCs w:val="28"/>
          <w:highlight w:val="none"/>
          <w:lang w:val="en-US" w:eastAsia="zh-Hans" w:bidi="ar-SA"/>
        </w:rPr>
        <w:t>遇有重要情况</w:t>
      </w:r>
      <w:r>
        <w:rPr>
          <w:rFonts w:hint="eastAsia" w:ascii="仿宋_GB2312" w:hAnsi="仿宋_GB2312" w:eastAsia="仿宋_GB2312" w:cs="仿宋_GB2312"/>
          <w:b w:val="0"/>
          <w:bCs w:val="0"/>
          <w:kern w:val="2"/>
          <w:sz w:val="28"/>
          <w:szCs w:val="28"/>
          <w:highlight w:val="none"/>
          <w:lang w:val="en-US" w:eastAsia="zh-CN" w:bidi="ar-SA"/>
        </w:rPr>
        <w:t>应当</w:t>
      </w:r>
      <w:r>
        <w:rPr>
          <w:rFonts w:hint="eastAsia" w:ascii="仿宋_GB2312" w:hAnsi="仿宋_GB2312" w:eastAsia="仿宋_GB2312" w:cs="仿宋_GB2312"/>
          <w:b w:val="0"/>
          <w:bCs w:val="0"/>
          <w:kern w:val="2"/>
          <w:sz w:val="28"/>
          <w:szCs w:val="28"/>
          <w:highlight w:val="none"/>
          <w:lang w:val="en-US" w:eastAsia="zh-Hans" w:bidi="ar-SA"/>
        </w:rPr>
        <w:t>立即报告</w:t>
      </w:r>
      <w:r>
        <w:rPr>
          <w:rFonts w:hint="eastAsia" w:ascii="仿宋_GB2312" w:hAnsi="仿宋_GB2312" w:eastAsia="仿宋_GB2312" w:cs="仿宋_GB2312"/>
          <w:b w:val="0"/>
          <w:bCs w:val="0"/>
          <w:kern w:val="2"/>
          <w:sz w:val="28"/>
          <w:szCs w:val="28"/>
          <w:highlight w:val="none"/>
          <w:lang w:val="en-US" w:eastAsia="zh-CN" w:bidi="ar-SA"/>
        </w:rPr>
        <w:t>学校</w:t>
      </w:r>
      <w:r>
        <w:rPr>
          <w:rFonts w:hint="eastAsia" w:ascii="仿宋_GB2312" w:hAnsi="仿宋_GB2312" w:eastAsia="仿宋_GB2312" w:cs="仿宋_GB2312"/>
          <w:b w:val="0"/>
          <w:bCs w:val="0"/>
          <w:kern w:val="2"/>
          <w:sz w:val="28"/>
          <w:szCs w:val="28"/>
          <w:highlight w:val="none"/>
          <w:lang w:val="en-US" w:eastAsia="zh-Hans" w:bidi="ar-SA"/>
        </w:rPr>
        <w:t>，不得迟报、瞒报、漏报。</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第二十三条 各二级学院组织学生到外地实习，原则上应当安排学生统一住宿。学生处应指导二级学院和实习单位（基地）建立实习学生住宿制度和请销假制度。学生申请在统一安排的宿舍以外住宿的，须经学生法定监护人（或家长）签字同意，由学生处备案后方可办理。</w:t>
      </w: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组织学生跨省实习</w:t>
      </w:r>
      <w:r>
        <w:rPr>
          <w:rFonts w:hint="eastAsia" w:ascii="仿宋_GB2312" w:hAnsi="仿宋_GB2312" w:eastAsia="仿宋_GB2312" w:cs="仿宋_GB2312"/>
          <w:b w:val="0"/>
          <w:bCs w:val="0"/>
          <w:kern w:val="2"/>
          <w:sz w:val="28"/>
          <w:szCs w:val="28"/>
          <w:highlight w:val="none"/>
          <w:lang w:val="en-US" w:eastAsia="zh-Hans" w:bidi="ar-SA"/>
        </w:rPr>
        <w:t>，</w:t>
      </w:r>
      <w:r>
        <w:rPr>
          <w:rFonts w:hint="eastAsia" w:ascii="仿宋_GB2312" w:hAnsi="仿宋_GB2312" w:eastAsia="仿宋_GB2312" w:cs="仿宋_GB2312"/>
          <w:b w:val="0"/>
          <w:bCs w:val="0"/>
          <w:kern w:val="2"/>
          <w:sz w:val="28"/>
          <w:szCs w:val="28"/>
          <w:highlight w:val="none"/>
          <w:lang w:val="en-US" w:eastAsia="zh-CN" w:bidi="ar-SA"/>
        </w:rPr>
        <w:t>须事先由二级学院提出，</w:t>
      </w:r>
      <w:r>
        <w:rPr>
          <w:rFonts w:hint="eastAsia" w:ascii="仿宋_GB2312" w:hAnsi="仿宋_GB2312" w:eastAsia="仿宋_GB2312" w:cs="仿宋_GB2312"/>
          <w:b w:val="0"/>
          <w:bCs w:val="0"/>
          <w:kern w:val="2"/>
          <w:sz w:val="28"/>
          <w:szCs w:val="28"/>
          <w:highlight w:val="none"/>
          <w:lang w:val="en-US" w:eastAsia="zh-Hans" w:bidi="ar-SA"/>
        </w:rPr>
        <w:t>经</w:t>
      </w:r>
      <w:r>
        <w:rPr>
          <w:rFonts w:hint="eastAsia" w:ascii="仿宋_GB2312" w:hAnsi="仿宋_GB2312" w:eastAsia="仿宋_GB2312" w:cs="仿宋_GB2312"/>
          <w:b w:val="0"/>
          <w:bCs w:val="0"/>
          <w:kern w:val="2"/>
          <w:sz w:val="28"/>
          <w:szCs w:val="28"/>
          <w:highlight w:val="none"/>
          <w:lang w:val="en-US" w:eastAsia="zh-CN" w:bidi="ar-SA"/>
        </w:rPr>
        <w:t>教务处审核</w:t>
      </w:r>
      <w:r>
        <w:rPr>
          <w:rFonts w:hint="eastAsia" w:ascii="仿宋_GB2312" w:hAnsi="仿宋_GB2312" w:eastAsia="仿宋_GB2312" w:cs="仿宋_GB2312"/>
          <w:b w:val="0"/>
          <w:bCs w:val="0"/>
          <w:kern w:val="2"/>
          <w:sz w:val="28"/>
          <w:szCs w:val="28"/>
          <w:highlight w:val="none"/>
          <w:lang w:val="en-US" w:eastAsia="zh-Hans" w:bidi="ar-SA"/>
        </w:rPr>
        <w:t>同意，</w:t>
      </w:r>
      <w:r>
        <w:rPr>
          <w:rFonts w:hint="eastAsia" w:ascii="仿宋_GB2312" w:hAnsi="仿宋_GB2312" w:eastAsia="仿宋_GB2312" w:cs="仿宋_GB2312"/>
          <w:b w:val="0"/>
          <w:bCs w:val="0"/>
          <w:kern w:val="2"/>
          <w:sz w:val="28"/>
          <w:szCs w:val="28"/>
          <w:highlight w:val="none"/>
          <w:lang w:val="en-US" w:eastAsia="zh-CN" w:bidi="ar-SA"/>
        </w:rPr>
        <w:t>按程序</w:t>
      </w:r>
      <w:r>
        <w:rPr>
          <w:rFonts w:hint="eastAsia" w:ascii="仿宋_GB2312" w:hAnsi="仿宋_GB2312" w:eastAsia="仿宋_GB2312" w:cs="仿宋_GB2312"/>
          <w:b w:val="0"/>
          <w:bCs w:val="0"/>
          <w:kern w:val="2"/>
          <w:sz w:val="28"/>
          <w:szCs w:val="28"/>
          <w:highlight w:val="none"/>
          <w:lang w:val="en-US" w:eastAsia="zh-Hans" w:bidi="ar-SA"/>
        </w:rPr>
        <w:t>报</w:t>
      </w:r>
      <w:r>
        <w:rPr>
          <w:rFonts w:hint="eastAsia" w:ascii="仿宋_GB2312" w:hAnsi="仿宋_GB2312" w:eastAsia="仿宋_GB2312" w:cs="仿宋_GB2312"/>
          <w:b w:val="0"/>
          <w:bCs w:val="0"/>
          <w:kern w:val="2"/>
          <w:sz w:val="28"/>
          <w:szCs w:val="28"/>
          <w:highlight w:val="none"/>
          <w:lang w:val="en-US" w:eastAsia="zh-CN" w:bidi="ar-SA"/>
        </w:rPr>
        <w:t>市</w:t>
      </w:r>
      <w:r>
        <w:rPr>
          <w:rFonts w:hint="eastAsia" w:ascii="仿宋_GB2312" w:hAnsi="仿宋_GB2312" w:eastAsia="仿宋_GB2312" w:cs="仿宋_GB2312"/>
          <w:b w:val="0"/>
          <w:bCs w:val="0"/>
          <w:kern w:val="2"/>
          <w:sz w:val="28"/>
          <w:szCs w:val="28"/>
          <w:highlight w:val="none"/>
          <w:lang w:val="en-US" w:eastAsia="zh-Hans" w:bidi="ar-SA"/>
        </w:rPr>
        <w:t>级</w:t>
      </w:r>
      <w:r>
        <w:rPr>
          <w:rFonts w:hint="eastAsia" w:ascii="仿宋_GB2312" w:hAnsi="仿宋_GB2312" w:eastAsia="仿宋_GB2312" w:cs="仿宋_GB2312"/>
          <w:b w:val="0"/>
          <w:bCs w:val="0"/>
          <w:kern w:val="2"/>
          <w:sz w:val="28"/>
          <w:szCs w:val="28"/>
          <w:highlight w:val="none"/>
          <w:lang w:val="en-US" w:eastAsia="zh-CN" w:bidi="ar-SA"/>
        </w:rPr>
        <w:t>主管部门</w:t>
      </w:r>
      <w:r>
        <w:rPr>
          <w:rFonts w:hint="eastAsia" w:ascii="仿宋_GB2312" w:hAnsi="仿宋_GB2312" w:eastAsia="仿宋_GB2312" w:cs="仿宋_GB2312"/>
          <w:b w:val="0"/>
          <w:bCs w:val="0"/>
          <w:kern w:val="2"/>
          <w:sz w:val="28"/>
          <w:szCs w:val="28"/>
          <w:highlight w:val="none"/>
          <w:lang w:val="en-US" w:eastAsia="zh-Hans" w:bidi="ar-SA"/>
        </w:rPr>
        <w:t>备案</w:t>
      </w:r>
      <w:r>
        <w:rPr>
          <w:rFonts w:hint="eastAsia" w:ascii="仿宋_GB2312" w:hAnsi="仿宋_GB2312" w:eastAsia="仿宋_GB2312" w:cs="仿宋_GB2312"/>
          <w:b w:val="0"/>
          <w:bCs w:val="0"/>
          <w:kern w:val="2"/>
          <w:sz w:val="28"/>
          <w:szCs w:val="28"/>
          <w:highlight w:val="none"/>
          <w:lang w:val="en-US" w:eastAsia="zh-CN" w:bidi="ar-SA"/>
        </w:rPr>
        <w:t>后实施；赴国（境）外实习</w:t>
      </w:r>
      <w:r>
        <w:rPr>
          <w:rFonts w:hint="eastAsia" w:ascii="仿宋_GB2312" w:hAnsi="仿宋_GB2312" w:eastAsia="仿宋_GB2312" w:cs="仿宋_GB2312"/>
          <w:b w:val="0"/>
          <w:bCs w:val="0"/>
          <w:kern w:val="2"/>
          <w:sz w:val="28"/>
          <w:szCs w:val="28"/>
          <w:highlight w:val="none"/>
          <w:lang w:val="en-US" w:eastAsia="zh-Hans" w:bidi="ar-SA"/>
        </w:rPr>
        <w:t>，</w:t>
      </w:r>
      <w:r>
        <w:rPr>
          <w:rFonts w:hint="eastAsia" w:ascii="仿宋_GB2312" w:hAnsi="仿宋_GB2312" w:eastAsia="仿宋_GB2312" w:cs="仿宋_GB2312"/>
          <w:b w:val="0"/>
          <w:bCs w:val="0"/>
          <w:kern w:val="2"/>
          <w:sz w:val="28"/>
          <w:szCs w:val="28"/>
          <w:highlight w:val="none"/>
          <w:lang w:val="en-US" w:eastAsia="zh-CN" w:bidi="ar-SA"/>
        </w:rPr>
        <w:t>须事先由二级学院提出，</w:t>
      </w:r>
      <w:r>
        <w:rPr>
          <w:rFonts w:hint="eastAsia" w:ascii="仿宋_GB2312" w:hAnsi="仿宋_GB2312" w:eastAsia="仿宋_GB2312" w:cs="仿宋_GB2312"/>
          <w:b w:val="0"/>
          <w:bCs w:val="0"/>
          <w:kern w:val="2"/>
          <w:sz w:val="28"/>
          <w:szCs w:val="28"/>
          <w:highlight w:val="none"/>
          <w:lang w:val="en-US" w:eastAsia="zh-Hans" w:bidi="ar-SA"/>
        </w:rPr>
        <w:t>经</w:t>
      </w:r>
      <w:r>
        <w:rPr>
          <w:rFonts w:hint="eastAsia" w:ascii="仿宋_GB2312" w:hAnsi="仿宋_GB2312" w:eastAsia="仿宋_GB2312" w:cs="仿宋_GB2312"/>
          <w:b w:val="0"/>
          <w:bCs w:val="0"/>
          <w:kern w:val="2"/>
          <w:sz w:val="28"/>
          <w:szCs w:val="28"/>
          <w:highlight w:val="none"/>
          <w:lang w:val="en-US" w:eastAsia="zh-CN" w:bidi="ar-SA"/>
        </w:rPr>
        <w:t>教务处审核</w:t>
      </w:r>
      <w:r>
        <w:rPr>
          <w:rFonts w:hint="eastAsia" w:ascii="仿宋_GB2312" w:hAnsi="仿宋_GB2312" w:eastAsia="仿宋_GB2312" w:cs="仿宋_GB2312"/>
          <w:b w:val="0"/>
          <w:bCs w:val="0"/>
          <w:kern w:val="2"/>
          <w:sz w:val="28"/>
          <w:szCs w:val="28"/>
          <w:highlight w:val="none"/>
          <w:lang w:val="en-US" w:eastAsia="zh-Hans" w:bidi="ar-SA"/>
        </w:rPr>
        <w:t>，</w:t>
      </w:r>
      <w:r>
        <w:rPr>
          <w:rFonts w:hint="eastAsia" w:ascii="仿宋_GB2312" w:hAnsi="仿宋_GB2312" w:eastAsia="仿宋_GB2312" w:cs="仿宋_GB2312"/>
          <w:b w:val="0"/>
          <w:bCs w:val="0"/>
          <w:kern w:val="2"/>
          <w:sz w:val="28"/>
          <w:szCs w:val="28"/>
          <w:highlight w:val="none"/>
          <w:lang w:val="en-US" w:eastAsia="zh-CN" w:bidi="ar-SA"/>
        </w:rPr>
        <w:t>报学校校长办公会通过后，按程序</w:t>
      </w:r>
      <w:r>
        <w:rPr>
          <w:rFonts w:hint="eastAsia" w:ascii="仿宋_GB2312" w:hAnsi="仿宋_GB2312" w:eastAsia="仿宋_GB2312" w:cs="仿宋_GB2312"/>
          <w:b w:val="0"/>
          <w:bCs w:val="0"/>
          <w:kern w:val="2"/>
          <w:sz w:val="28"/>
          <w:szCs w:val="28"/>
          <w:highlight w:val="none"/>
          <w:lang w:val="en-US" w:eastAsia="zh-Hans" w:bidi="ar-SA"/>
        </w:rPr>
        <w:t>报</w:t>
      </w:r>
      <w:r>
        <w:rPr>
          <w:rFonts w:hint="eastAsia" w:ascii="仿宋_GB2312" w:hAnsi="仿宋_GB2312" w:eastAsia="仿宋_GB2312" w:cs="仿宋_GB2312"/>
          <w:b w:val="0"/>
          <w:bCs w:val="0"/>
          <w:kern w:val="2"/>
          <w:sz w:val="28"/>
          <w:szCs w:val="28"/>
          <w:highlight w:val="none"/>
          <w:lang w:val="en-US" w:eastAsia="zh-CN" w:bidi="ar-SA"/>
        </w:rPr>
        <w:t>市</w:t>
      </w:r>
      <w:r>
        <w:rPr>
          <w:rFonts w:hint="eastAsia" w:ascii="仿宋_GB2312" w:hAnsi="仿宋_GB2312" w:eastAsia="仿宋_GB2312" w:cs="仿宋_GB2312"/>
          <w:b w:val="0"/>
          <w:bCs w:val="0"/>
          <w:kern w:val="2"/>
          <w:sz w:val="28"/>
          <w:szCs w:val="28"/>
          <w:highlight w:val="none"/>
          <w:lang w:val="en-US" w:eastAsia="zh-Hans" w:bidi="ar-SA"/>
        </w:rPr>
        <w:t>级</w:t>
      </w:r>
      <w:r>
        <w:rPr>
          <w:rFonts w:hint="eastAsia" w:ascii="仿宋_GB2312" w:hAnsi="仿宋_GB2312" w:eastAsia="仿宋_GB2312" w:cs="仿宋_GB2312"/>
          <w:b w:val="0"/>
          <w:bCs w:val="0"/>
          <w:kern w:val="2"/>
          <w:sz w:val="28"/>
          <w:szCs w:val="28"/>
          <w:highlight w:val="none"/>
          <w:lang w:val="en-US" w:eastAsia="zh-CN" w:bidi="ar-SA"/>
        </w:rPr>
        <w:t>主管部门</w:t>
      </w:r>
      <w:r>
        <w:rPr>
          <w:rFonts w:hint="eastAsia" w:ascii="仿宋_GB2312" w:hAnsi="仿宋_GB2312" w:eastAsia="仿宋_GB2312" w:cs="仿宋_GB2312"/>
          <w:b w:val="0"/>
          <w:bCs w:val="0"/>
          <w:kern w:val="2"/>
          <w:sz w:val="28"/>
          <w:szCs w:val="28"/>
          <w:highlight w:val="none"/>
          <w:lang w:val="en-US" w:eastAsia="zh-Hans" w:bidi="ar-SA"/>
        </w:rPr>
        <w:t>备案</w:t>
      </w:r>
      <w:r>
        <w:rPr>
          <w:rFonts w:hint="eastAsia" w:ascii="仿宋_GB2312" w:hAnsi="仿宋_GB2312" w:eastAsia="仿宋_GB2312" w:cs="仿宋_GB2312"/>
          <w:b w:val="0"/>
          <w:bCs w:val="0"/>
          <w:kern w:val="2"/>
          <w:sz w:val="28"/>
          <w:szCs w:val="28"/>
          <w:highlight w:val="none"/>
          <w:lang w:val="en-US" w:eastAsia="zh-CN" w:bidi="ar-SA"/>
        </w:rPr>
        <w:t>后实施。</w:t>
      </w: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p>
    <w:p>
      <w:pPr>
        <w:pageBreakBefore w:val="0"/>
        <w:widowControl w:val="0"/>
        <w:kinsoku/>
        <w:wordWrap/>
        <w:overflowPunct/>
        <w:topLinePunct w:val="0"/>
        <w:autoSpaceDE/>
        <w:autoSpaceDN/>
        <w:bidi w:val="0"/>
        <w:adjustRightInd/>
        <w:snapToGrid w:val="0"/>
        <w:spacing w:before="0" w:after="0" w:line="360" w:lineRule="auto"/>
        <w:jc w:val="center"/>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第四章 实习考核</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第二十四条 教务处指导各二级学院会同实习单位（基地），完善过程性考核与结果性考核有机结合的实习考核制度，根据实习目标、学生实习岗位职责要求制订具体考核方式和标准，共同实施考核。</w:t>
      </w: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学生实习考核纳入学业评价，考核成绩作为毕业的重要依据。不得简单套用实习单位（基地）考勤制度，不</w:t>
      </w:r>
      <w:r>
        <w:rPr>
          <w:rFonts w:hint="eastAsia" w:ascii="仿宋_GB2312" w:hAnsi="仿宋_GB2312" w:eastAsia="仿宋_GB2312" w:cs="仿宋_GB2312"/>
          <w:b w:val="0"/>
          <w:bCs w:val="0"/>
          <w:kern w:val="2"/>
          <w:sz w:val="28"/>
          <w:szCs w:val="28"/>
          <w:highlight w:val="none"/>
          <w:lang w:val="en-US" w:eastAsia="zh-Hans" w:bidi="ar-SA"/>
        </w:rPr>
        <w:t>得</w:t>
      </w:r>
      <w:r>
        <w:rPr>
          <w:rFonts w:hint="eastAsia" w:ascii="仿宋_GB2312" w:hAnsi="仿宋_GB2312" w:eastAsia="仿宋_GB2312" w:cs="仿宋_GB2312"/>
          <w:b w:val="0"/>
          <w:bCs w:val="0"/>
          <w:kern w:val="2"/>
          <w:sz w:val="28"/>
          <w:szCs w:val="28"/>
          <w:highlight w:val="none"/>
          <w:lang w:val="en-US" w:eastAsia="zh-CN" w:bidi="ar-SA"/>
        </w:rPr>
        <w:t>对学生简单套用员工标准进行考核。</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第二十五条 二级学院应当会同实习单位（基地）对违反规章制度、实习纪律、</w:t>
      </w:r>
      <w:r>
        <w:rPr>
          <w:rFonts w:hint="eastAsia" w:ascii="仿宋_GB2312" w:hAnsi="仿宋_GB2312" w:eastAsia="仿宋_GB2312" w:cs="仿宋_GB2312"/>
          <w:b w:val="0"/>
          <w:bCs w:val="0"/>
          <w:kern w:val="2"/>
          <w:sz w:val="28"/>
          <w:szCs w:val="28"/>
          <w:highlight w:val="none"/>
          <w:lang w:val="en-US" w:eastAsia="zh-Hans" w:bidi="ar-SA"/>
        </w:rPr>
        <w:t>实习考勤考核要求</w:t>
      </w:r>
      <w:r>
        <w:rPr>
          <w:rFonts w:hint="eastAsia" w:ascii="仿宋_GB2312" w:hAnsi="仿宋_GB2312" w:eastAsia="仿宋_GB2312" w:cs="仿宋_GB2312"/>
          <w:b w:val="0"/>
          <w:bCs w:val="0"/>
          <w:kern w:val="2"/>
          <w:sz w:val="28"/>
          <w:szCs w:val="28"/>
          <w:highlight w:val="none"/>
          <w:lang w:val="en-US" w:eastAsia="zh-CN" w:bidi="ar-SA"/>
        </w:rPr>
        <w:t>以及实习协议的学生，进行</w:t>
      </w:r>
      <w:r>
        <w:rPr>
          <w:rFonts w:hint="eastAsia" w:ascii="仿宋_GB2312" w:hAnsi="仿宋_GB2312" w:eastAsia="仿宋_GB2312" w:cs="仿宋_GB2312"/>
          <w:b w:val="0"/>
          <w:bCs w:val="0"/>
          <w:kern w:val="2"/>
          <w:sz w:val="28"/>
          <w:szCs w:val="28"/>
          <w:highlight w:val="none"/>
          <w:lang w:val="en-US" w:eastAsia="zh-Hans" w:bidi="ar-SA"/>
        </w:rPr>
        <w:t>耐心细致的思想</w:t>
      </w:r>
      <w:r>
        <w:rPr>
          <w:rFonts w:hint="eastAsia" w:ascii="仿宋_GB2312" w:hAnsi="仿宋_GB2312" w:eastAsia="仿宋_GB2312" w:cs="仿宋_GB2312"/>
          <w:b w:val="0"/>
          <w:bCs w:val="0"/>
          <w:kern w:val="2"/>
          <w:sz w:val="28"/>
          <w:szCs w:val="28"/>
          <w:highlight w:val="none"/>
          <w:lang w:val="en-US" w:eastAsia="zh-CN" w:bidi="ar-SA"/>
        </w:rPr>
        <w:t>教育，对学生违规</w:t>
      </w:r>
      <w:r>
        <w:rPr>
          <w:rFonts w:hint="eastAsia" w:ascii="仿宋_GB2312" w:hAnsi="仿宋_GB2312" w:eastAsia="仿宋_GB2312" w:cs="仿宋_GB2312"/>
          <w:b w:val="0"/>
          <w:bCs w:val="0"/>
          <w:kern w:val="2"/>
          <w:sz w:val="28"/>
          <w:szCs w:val="28"/>
          <w:highlight w:val="none"/>
          <w:lang w:val="en-US" w:eastAsia="zh-Hans" w:bidi="ar-SA"/>
        </w:rPr>
        <w:t>行为</w:t>
      </w:r>
      <w:r>
        <w:rPr>
          <w:rFonts w:hint="eastAsia" w:ascii="仿宋_GB2312" w:hAnsi="仿宋_GB2312" w:eastAsia="仿宋_GB2312" w:cs="仿宋_GB2312"/>
          <w:b w:val="0"/>
          <w:bCs w:val="0"/>
          <w:kern w:val="2"/>
          <w:sz w:val="28"/>
          <w:szCs w:val="28"/>
          <w:highlight w:val="none"/>
          <w:lang w:val="en-US" w:eastAsia="zh-CN" w:bidi="ar-SA"/>
        </w:rPr>
        <w:t>依</w:t>
      </w:r>
      <w:r>
        <w:rPr>
          <w:rFonts w:hint="eastAsia" w:ascii="仿宋_GB2312" w:hAnsi="仿宋_GB2312" w:eastAsia="仿宋_GB2312" w:cs="仿宋_GB2312"/>
          <w:b w:val="0"/>
          <w:bCs w:val="0"/>
          <w:kern w:val="2"/>
          <w:sz w:val="28"/>
          <w:szCs w:val="28"/>
          <w:highlight w:val="none"/>
          <w:lang w:val="en-US" w:eastAsia="zh-Hans" w:bidi="ar-SA"/>
        </w:rPr>
        <w:t>照</w:t>
      </w:r>
      <w:r>
        <w:rPr>
          <w:rFonts w:hint="eastAsia" w:ascii="仿宋_GB2312" w:hAnsi="仿宋_GB2312" w:eastAsia="仿宋_GB2312" w:cs="仿宋_GB2312"/>
          <w:b w:val="0"/>
          <w:bCs w:val="0"/>
          <w:kern w:val="2"/>
          <w:sz w:val="28"/>
          <w:szCs w:val="28"/>
          <w:highlight w:val="none"/>
          <w:lang w:val="en-US" w:eastAsia="zh-CN" w:bidi="ar-SA"/>
        </w:rPr>
        <w:t>校规校纪和</w:t>
      </w:r>
      <w:r>
        <w:rPr>
          <w:rFonts w:hint="eastAsia" w:ascii="仿宋_GB2312" w:hAnsi="仿宋_GB2312" w:eastAsia="仿宋_GB2312" w:cs="仿宋_GB2312"/>
          <w:b w:val="0"/>
          <w:bCs w:val="0"/>
          <w:kern w:val="2"/>
          <w:sz w:val="28"/>
          <w:szCs w:val="28"/>
          <w:highlight w:val="none"/>
          <w:lang w:val="en-US" w:eastAsia="zh-Hans" w:bidi="ar-SA"/>
        </w:rPr>
        <w:t>有关</w:t>
      </w:r>
      <w:r>
        <w:rPr>
          <w:rFonts w:hint="eastAsia" w:ascii="仿宋_GB2312" w:hAnsi="仿宋_GB2312" w:eastAsia="仿宋_GB2312" w:cs="仿宋_GB2312"/>
          <w:b w:val="0"/>
          <w:bCs w:val="0"/>
          <w:kern w:val="2"/>
          <w:sz w:val="28"/>
          <w:szCs w:val="28"/>
          <w:highlight w:val="none"/>
          <w:lang w:val="en-US" w:eastAsia="zh-CN" w:bidi="ar-SA"/>
        </w:rPr>
        <w:t>实习管理</w:t>
      </w:r>
      <w:r>
        <w:rPr>
          <w:rFonts w:hint="eastAsia" w:ascii="仿宋_GB2312" w:hAnsi="仿宋_GB2312" w:eastAsia="仿宋_GB2312" w:cs="仿宋_GB2312"/>
          <w:b w:val="0"/>
          <w:bCs w:val="0"/>
          <w:kern w:val="2"/>
          <w:sz w:val="28"/>
          <w:szCs w:val="28"/>
          <w:highlight w:val="none"/>
          <w:lang w:val="en-US" w:eastAsia="zh-Hans" w:bidi="ar-SA"/>
        </w:rPr>
        <w:t>规定</w:t>
      </w:r>
      <w:r>
        <w:rPr>
          <w:rFonts w:hint="eastAsia" w:ascii="仿宋_GB2312" w:hAnsi="仿宋_GB2312" w:eastAsia="仿宋_GB2312" w:cs="仿宋_GB2312"/>
          <w:b w:val="0"/>
          <w:bCs w:val="0"/>
          <w:kern w:val="2"/>
          <w:sz w:val="28"/>
          <w:szCs w:val="28"/>
          <w:highlight w:val="none"/>
          <w:lang w:val="en-US" w:eastAsia="zh-CN" w:bidi="ar-SA"/>
        </w:rPr>
        <w:t>进行处理；</w:t>
      </w:r>
      <w:r>
        <w:rPr>
          <w:rFonts w:hint="eastAsia" w:ascii="仿宋_GB2312" w:hAnsi="仿宋_GB2312" w:eastAsia="仿宋_GB2312" w:cs="仿宋_GB2312"/>
          <w:b w:val="0"/>
          <w:bCs w:val="0"/>
          <w:kern w:val="2"/>
          <w:sz w:val="28"/>
          <w:szCs w:val="28"/>
          <w:highlight w:val="none"/>
          <w:lang w:val="en-US" w:eastAsia="zh-Hans" w:bidi="ar-SA"/>
        </w:rPr>
        <w:t>学生违规</w:t>
      </w:r>
      <w:r>
        <w:rPr>
          <w:rFonts w:hint="eastAsia" w:ascii="仿宋_GB2312" w:hAnsi="仿宋_GB2312" w:eastAsia="仿宋_GB2312" w:cs="仿宋_GB2312"/>
          <w:b w:val="0"/>
          <w:bCs w:val="0"/>
          <w:kern w:val="2"/>
          <w:sz w:val="28"/>
          <w:szCs w:val="28"/>
          <w:highlight w:val="none"/>
          <w:lang w:val="en-US" w:eastAsia="zh-CN" w:bidi="ar-SA"/>
        </w:rPr>
        <w:t>情节严重的，由二级学院上报学校给予纪律处分；给实习单位（基地）造成财产损失的，依法承担相应责任。</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Hans" w:bidi="ar-SA"/>
        </w:rPr>
        <w:t>对受到处理的学生，要有针对性</w:t>
      </w:r>
      <w:r>
        <w:rPr>
          <w:rFonts w:hint="eastAsia" w:ascii="仿宋_GB2312" w:hAnsi="仿宋_GB2312" w:eastAsia="仿宋_GB2312" w:cs="仿宋_GB2312"/>
          <w:b w:val="0"/>
          <w:bCs w:val="0"/>
          <w:kern w:val="2"/>
          <w:sz w:val="28"/>
          <w:szCs w:val="28"/>
          <w:highlight w:val="none"/>
          <w:lang w:val="en-US" w:eastAsia="zh-CN" w:bidi="ar-SA"/>
        </w:rPr>
        <w:t>的</w:t>
      </w:r>
      <w:r>
        <w:rPr>
          <w:rFonts w:hint="eastAsia" w:ascii="仿宋_GB2312" w:hAnsi="仿宋_GB2312" w:eastAsia="仿宋_GB2312" w:cs="仿宋_GB2312"/>
          <w:b w:val="0"/>
          <w:bCs w:val="0"/>
          <w:kern w:val="2"/>
          <w:sz w:val="28"/>
          <w:szCs w:val="28"/>
          <w:highlight w:val="none"/>
          <w:lang w:val="en-US" w:eastAsia="zh-Hans" w:bidi="ar-SA"/>
        </w:rPr>
        <w:t>做好思想引导和教育管理工作。</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第二十六条 各二级学院应当组织做好学生岗位实习情况的立卷归档工作。实习材料包括</w:t>
      </w:r>
      <w:r>
        <w:rPr>
          <w:rFonts w:hint="eastAsia" w:ascii="仿宋_GB2312" w:hAnsi="仿宋_GB2312" w:eastAsia="仿宋_GB2312" w:cs="仿宋_GB2312"/>
          <w:b w:val="0"/>
          <w:bCs w:val="0"/>
          <w:kern w:val="2"/>
          <w:sz w:val="28"/>
          <w:szCs w:val="28"/>
          <w:highlight w:val="none"/>
          <w:lang w:val="en-US" w:eastAsia="zh-Hans" w:bidi="ar-SA"/>
        </w:rPr>
        <w:t>纸质材料和电子文档，具体</w:t>
      </w:r>
      <w:r>
        <w:rPr>
          <w:rFonts w:hint="eastAsia" w:ascii="仿宋_GB2312" w:hAnsi="仿宋_GB2312" w:eastAsia="仿宋_GB2312" w:cs="仿宋_GB2312"/>
          <w:b w:val="0"/>
          <w:bCs w:val="0"/>
          <w:kern w:val="2"/>
          <w:sz w:val="28"/>
          <w:szCs w:val="28"/>
          <w:highlight w:val="none"/>
          <w:lang w:val="en-US" w:eastAsia="zh-CN" w:bidi="ar-SA"/>
        </w:rPr>
        <w:t>包括以下内容：</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（一）实习三方协议；</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（二）实习方案；</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（三）学生实习报告；</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（四）学生实习考核结果；</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（五）学生实习日志；</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（六）学生实习检查记录；</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（七）学生实习总结；</w:t>
      </w: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Hans" w:bidi="ar-SA"/>
        </w:rPr>
      </w:pPr>
      <w:r>
        <w:rPr>
          <w:rFonts w:hint="eastAsia" w:ascii="仿宋_GB2312" w:hAnsi="仿宋_GB2312" w:eastAsia="仿宋_GB2312" w:cs="仿宋_GB2312"/>
          <w:b w:val="0"/>
          <w:bCs w:val="0"/>
          <w:kern w:val="2"/>
          <w:sz w:val="28"/>
          <w:szCs w:val="28"/>
          <w:highlight w:val="none"/>
          <w:lang w:val="en-US" w:eastAsia="zh-CN" w:bidi="ar-SA"/>
        </w:rPr>
        <w:t>（八）</w:t>
      </w:r>
      <w:r>
        <w:rPr>
          <w:rFonts w:hint="eastAsia" w:ascii="仿宋_GB2312" w:hAnsi="仿宋_GB2312" w:eastAsia="仿宋_GB2312" w:cs="仿宋_GB2312"/>
          <w:b w:val="0"/>
          <w:bCs w:val="0"/>
          <w:kern w:val="2"/>
          <w:sz w:val="28"/>
          <w:szCs w:val="28"/>
          <w:highlight w:val="none"/>
          <w:lang w:val="en-US" w:eastAsia="zh-Hans" w:bidi="ar-SA"/>
        </w:rPr>
        <w:t>有关佐证材料（如照片、音视频等）。</w:t>
      </w: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p>
    <w:p>
      <w:pPr>
        <w:pageBreakBefore w:val="0"/>
        <w:widowControl w:val="0"/>
        <w:kinsoku/>
        <w:wordWrap/>
        <w:overflowPunct/>
        <w:topLinePunct w:val="0"/>
        <w:autoSpaceDE/>
        <w:autoSpaceDN/>
        <w:bidi w:val="0"/>
        <w:adjustRightInd/>
        <w:snapToGrid w:val="0"/>
        <w:spacing w:before="0" w:after="0" w:line="360" w:lineRule="auto"/>
        <w:jc w:val="center"/>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第五章 安全职责</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第二十七条 二级学院要确立“安全第一、预防为主”的原则，强化实习安全第一责任人职责，会同实习单位（基地）严格执行国家及地方安全生产、职业卫生、人格权保护等有关规定。学校指导单位应加强实习安全监督检查。</w:t>
      </w:r>
    </w:p>
    <w:p>
      <w:pPr>
        <w:pageBreakBefore w:val="0"/>
        <w:widowControl w:val="0"/>
        <w:kinsoku/>
        <w:wordWrap/>
        <w:overflowPunct/>
        <w:topLinePunct w:val="0"/>
        <w:autoSpaceDE/>
        <w:autoSpaceDN/>
        <w:bidi w:val="0"/>
        <w:adjustRightInd/>
        <w:spacing w:line="360" w:lineRule="auto"/>
        <w:ind w:firstLine="560" w:firstLineChars="200"/>
        <w:jc w:val="left"/>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第二十八条 实习学生应遵守国家法律法规、校纪校规和实习单位（基地）安全管理规定，认真完成实习方案规定的实习任务，提高自我保护意识。</w:t>
      </w: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Hans" w:bidi="ar-SA"/>
        </w:rPr>
      </w:pPr>
    </w:p>
    <w:p>
      <w:pPr>
        <w:pageBreakBefore w:val="0"/>
        <w:widowControl w:val="0"/>
        <w:kinsoku/>
        <w:wordWrap/>
        <w:overflowPunct/>
        <w:topLinePunct w:val="0"/>
        <w:autoSpaceDE/>
        <w:autoSpaceDN/>
        <w:bidi w:val="0"/>
        <w:adjustRightInd/>
        <w:snapToGrid w:val="0"/>
        <w:spacing w:line="360" w:lineRule="auto"/>
        <w:jc w:val="center"/>
        <w:textAlignment w:val="auto"/>
        <w:outlineLvl w:val="9"/>
        <w:rPr>
          <w:rFonts w:hint="eastAsia" w:ascii="仿宋_GB2312" w:hAnsi="仿宋_GB2312" w:eastAsia="仿宋_GB2312" w:cs="仿宋_GB2312"/>
          <w:b w:val="0"/>
          <w:bCs w:val="0"/>
          <w:kern w:val="2"/>
          <w:sz w:val="28"/>
          <w:szCs w:val="28"/>
          <w:highlight w:val="none"/>
          <w:lang w:val="en-US" w:eastAsia="zh-Hans" w:bidi="ar-SA"/>
        </w:rPr>
      </w:pPr>
      <w:r>
        <w:rPr>
          <w:rFonts w:hint="eastAsia" w:ascii="仿宋_GB2312" w:hAnsi="仿宋_GB2312" w:eastAsia="仿宋_GB2312" w:cs="仿宋_GB2312"/>
          <w:b w:val="0"/>
          <w:bCs w:val="0"/>
          <w:kern w:val="2"/>
          <w:sz w:val="28"/>
          <w:szCs w:val="28"/>
          <w:highlight w:val="none"/>
          <w:lang w:val="en-US" w:eastAsia="zh-CN" w:bidi="ar-SA"/>
        </w:rPr>
        <w:t xml:space="preserve">第六章 </w:t>
      </w:r>
      <w:r>
        <w:rPr>
          <w:rFonts w:hint="eastAsia" w:ascii="仿宋_GB2312" w:hAnsi="仿宋_GB2312" w:eastAsia="仿宋_GB2312" w:cs="仿宋_GB2312"/>
          <w:b w:val="0"/>
          <w:bCs w:val="0"/>
          <w:kern w:val="2"/>
          <w:sz w:val="28"/>
          <w:szCs w:val="28"/>
          <w:highlight w:val="none"/>
          <w:lang w:val="en-US" w:eastAsia="zh-Hans" w:bidi="ar-SA"/>
        </w:rPr>
        <w:t>保障措施</w:t>
      </w: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Hans" w:bidi="ar-SA"/>
        </w:rPr>
      </w:pP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第二十九条 学校应当</w:t>
      </w:r>
      <w:r>
        <w:rPr>
          <w:rFonts w:hint="eastAsia" w:ascii="仿宋_GB2312" w:hAnsi="仿宋_GB2312" w:eastAsia="仿宋_GB2312" w:cs="仿宋_GB2312"/>
          <w:b w:val="0"/>
          <w:bCs w:val="0"/>
          <w:kern w:val="2"/>
          <w:sz w:val="28"/>
          <w:szCs w:val="28"/>
          <w:highlight w:val="none"/>
          <w:lang w:val="en-US" w:eastAsia="zh-Hans" w:bidi="ar-SA"/>
        </w:rPr>
        <w:t>根据</w:t>
      </w:r>
      <w:r>
        <w:rPr>
          <w:rFonts w:hint="eastAsia" w:ascii="仿宋_GB2312" w:hAnsi="仿宋_GB2312" w:eastAsia="仿宋_GB2312" w:cs="仿宋_GB2312"/>
          <w:b w:val="0"/>
          <w:bCs w:val="0"/>
          <w:kern w:val="2"/>
          <w:sz w:val="28"/>
          <w:szCs w:val="28"/>
          <w:highlight w:val="none"/>
          <w:lang w:val="en-US" w:eastAsia="zh-CN" w:bidi="ar-SA"/>
        </w:rPr>
        <w:t>法律、行政法规</w:t>
      </w:r>
      <w:r>
        <w:rPr>
          <w:rFonts w:hint="eastAsia" w:ascii="仿宋_GB2312" w:hAnsi="仿宋_GB2312" w:eastAsia="仿宋_GB2312" w:cs="仿宋_GB2312"/>
          <w:b w:val="0"/>
          <w:bCs w:val="0"/>
          <w:kern w:val="2"/>
          <w:sz w:val="28"/>
          <w:szCs w:val="28"/>
          <w:highlight w:val="none"/>
          <w:lang w:val="en-US" w:eastAsia="zh-Hans" w:bidi="ar-SA"/>
        </w:rPr>
        <w:t>，为实习学生投保实习责任保险。责任保险范围</w:t>
      </w:r>
      <w:r>
        <w:rPr>
          <w:rFonts w:hint="eastAsia" w:ascii="仿宋_GB2312" w:hAnsi="仿宋_GB2312" w:eastAsia="仿宋_GB2312" w:cs="仿宋_GB2312"/>
          <w:b w:val="0"/>
          <w:bCs w:val="0"/>
          <w:kern w:val="2"/>
          <w:sz w:val="28"/>
          <w:szCs w:val="28"/>
          <w:highlight w:val="none"/>
          <w:lang w:val="en-US" w:eastAsia="zh-CN" w:bidi="ar-SA"/>
        </w:rPr>
        <w:t>应当</w:t>
      </w:r>
      <w:r>
        <w:rPr>
          <w:rFonts w:hint="eastAsia" w:ascii="仿宋_GB2312" w:hAnsi="仿宋_GB2312" w:eastAsia="仿宋_GB2312" w:cs="仿宋_GB2312"/>
          <w:b w:val="0"/>
          <w:bCs w:val="0"/>
          <w:kern w:val="2"/>
          <w:sz w:val="28"/>
          <w:szCs w:val="28"/>
          <w:highlight w:val="none"/>
          <w:lang w:val="en-US" w:eastAsia="zh-Hans" w:bidi="ar-SA"/>
        </w:rPr>
        <w:t>覆盖实习活动的全过程，包括学生实习期间遭受意外事故及由于被保险人疏忽或过失导致的学生人身伤亡，被保险人依法</w:t>
      </w:r>
      <w:r>
        <w:rPr>
          <w:rFonts w:hint="eastAsia" w:ascii="仿宋_GB2312" w:hAnsi="仿宋_GB2312" w:eastAsia="仿宋_GB2312" w:cs="仿宋_GB2312"/>
          <w:b w:val="0"/>
          <w:bCs w:val="0"/>
          <w:kern w:val="2"/>
          <w:sz w:val="28"/>
          <w:szCs w:val="28"/>
          <w:highlight w:val="none"/>
          <w:lang w:val="en-US" w:eastAsia="zh-CN" w:bidi="ar-SA"/>
        </w:rPr>
        <w:t>应当</w:t>
      </w:r>
      <w:r>
        <w:rPr>
          <w:rFonts w:hint="eastAsia" w:ascii="仿宋_GB2312" w:hAnsi="仿宋_GB2312" w:eastAsia="仿宋_GB2312" w:cs="仿宋_GB2312"/>
          <w:b w:val="0"/>
          <w:bCs w:val="0"/>
          <w:kern w:val="2"/>
          <w:sz w:val="28"/>
          <w:szCs w:val="28"/>
          <w:highlight w:val="none"/>
          <w:lang w:val="en-US" w:eastAsia="zh-Hans" w:bidi="ar-SA"/>
        </w:rPr>
        <w:t>承担的</w:t>
      </w:r>
      <w:r>
        <w:rPr>
          <w:rFonts w:hint="eastAsia" w:ascii="仿宋_GB2312" w:hAnsi="仿宋_GB2312" w:eastAsia="仿宋_GB2312" w:cs="仿宋_GB2312"/>
          <w:b w:val="0"/>
          <w:bCs w:val="0"/>
          <w:kern w:val="2"/>
          <w:sz w:val="28"/>
          <w:szCs w:val="28"/>
          <w:highlight w:val="none"/>
          <w:lang w:val="en-US" w:eastAsia="zh-CN" w:bidi="ar-SA"/>
        </w:rPr>
        <w:t>赔偿</w:t>
      </w:r>
      <w:r>
        <w:rPr>
          <w:rFonts w:hint="eastAsia" w:ascii="仿宋_GB2312" w:hAnsi="仿宋_GB2312" w:eastAsia="仿宋_GB2312" w:cs="仿宋_GB2312"/>
          <w:b w:val="0"/>
          <w:bCs w:val="0"/>
          <w:kern w:val="2"/>
          <w:sz w:val="28"/>
          <w:szCs w:val="28"/>
          <w:highlight w:val="none"/>
          <w:lang w:val="en-US" w:eastAsia="zh-Hans" w:bidi="ar-SA"/>
        </w:rPr>
        <w:t>责任以及相关法律费用等。</w:t>
      </w:r>
      <w:r>
        <w:rPr>
          <w:rFonts w:hint="eastAsia" w:ascii="仿宋_GB2312" w:hAnsi="仿宋_GB2312" w:eastAsia="仿宋_GB2312" w:cs="仿宋_GB2312"/>
          <w:b w:val="0"/>
          <w:bCs w:val="0"/>
          <w:kern w:val="2"/>
          <w:sz w:val="28"/>
          <w:szCs w:val="28"/>
          <w:highlight w:val="none"/>
          <w:lang w:val="en-US" w:eastAsia="zh-CN" w:bidi="ar-SA"/>
        </w:rPr>
        <w:t>学校应当鼓励实习单位（基地）为学生购买</w:t>
      </w:r>
      <w:r>
        <w:rPr>
          <w:rFonts w:hint="eastAsia" w:ascii="仿宋_GB2312" w:hAnsi="仿宋_GB2312" w:eastAsia="仿宋_GB2312" w:cs="仿宋_GB2312"/>
          <w:b w:val="0"/>
          <w:bCs w:val="0"/>
          <w:kern w:val="2"/>
          <w:sz w:val="28"/>
          <w:szCs w:val="28"/>
          <w:highlight w:val="none"/>
          <w:lang w:val="en-US" w:eastAsia="zh-Hans" w:bidi="ar-SA"/>
        </w:rPr>
        <w:t>意外伤害险</w:t>
      </w:r>
      <w:r>
        <w:rPr>
          <w:rFonts w:hint="eastAsia" w:ascii="仿宋_GB2312" w:hAnsi="仿宋_GB2312" w:eastAsia="仿宋_GB2312" w:cs="仿宋_GB2312"/>
          <w:b w:val="0"/>
          <w:bCs w:val="0"/>
          <w:kern w:val="2"/>
          <w:sz w:val="28"/>
          <w:szCs w:val="28"/>
          <w:highlight w:val="none"/>
          <w:lang w:val="en-US" w:eastAsia="zh-CN" w:bidi="ar-SA"/>
        </w:rPr>
        <w:t>。</w:t>
      </w:r>
    </w:p>
    <w:p>
      <w:pPr>
        <w:pageBreakBefore w:val="0"/>
        <w:widowControl w:val="0"/>
        <w:kinsoku/>
        <w:wordWrap/>
        <w:overflowPunct/>
        <w:topLinePunct w:val="0"/>
        <w:autoSpaceDE/>
        <w:autoSpaceDN/>
        <w:bidi w:val="0"/>
        <w:adjustRightInd/>
        <w:snapToGrid w:val="0"/>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Hans" w:bidi="ar-SA"/>
        </w:rPr>
        <w:t>学生</w:t>
      </w:r>
      <w:r>
        <w:rPr>
          <w:rFonts w:hint="eastAsia" w:ascii="仿宋_GB2312" w:hAnsi="仿宋_GB2312" w:eastAsia="仿宋_GB2312" w:cs="仿宋_GB2312"/>
          <w:b w:val="0"/>
          <w:bCs w:val="0"/>
          <w:kern w:val="2"/>
          <w:sz w:val="28"/>
          <w:szCs w:val="28"/>
          <w:highlight w:val="none"/>
          <w:lang w:val="en-US" w:eastAsia="zh-CN" w:bidi="ar-SA"/>
        </w:rPr>
        <w:t>投保</w:t>
      </w:r>
      <w:r>
        <w:rPr>
          <w:rFonts w:hint="eastAsia" w:ascii="仿宋_GB2312" w:hAnsi="仿宋_GB2312" w:eastAsia="仿宋_GB2312" w:cs="仿宋_GB2312"/>
          <w:b w:val="0"/>
          <w:bCs w:val="0"/>
          <w:kern w:val="2"/>
          <w:sz w:val="28"/>
          <w:szCs w:val="28"/>
          <w:highlight w:val="none"/>
          <w:lang w:val="en-US" w:eastAsia="zh-Hans" w:bidi="ar-SA"/>
        </w:rPr>
        <w:t>的</w:t>
      </w:r>
      <w:r>
        <w:rPr>
          <w:rFonts w:hint="eastAsia" w:ascii="仿宋_GB2312" w:hAnsi="仿宋_GB2312" w:eastAsia="仿宋_GB2312" w:cs="仿宋_GB2312"/>
          <w:b w:val="0"/>
          <w:bCs w:val="0"/>
          <w:kern w:val="2"/>
          <w:sz w:val="28"/>
          <w:szCs w:val="28"/>
          <w:highlight w:val="none"/>
          <w:lang w:val="en-US" w:eastAsia="zh-CN" w:bidi="ar-SA"/>
        </w:rPr>
        <w:t>费用</w:t>
      </w:r>
      <w:r>
        <w:rPr>
          <w:rFonts w:hint="eastAsia" w:ascii="仿宋_GB2312" w:hAnsi="仿宋_GB2312" w:eastAsia="仿宋_GB2312" w:cs="仿宋_GB2312"/>
          <w:b w:val="0"/>
          <w:bCs w:val="0"/>
          <w:kern w:val="2"/>
          <w:sz w:val="28"/>
          <w:szCs w:val="28"/>
          <w:highlight w:val="none"/>
          <w:lang w:val="en-US" w:eastAsia="zh-Hans" w:bidi="ar-SA"/>
        </w:rPr>
        <w:t>不得向学生另行收取或从学生实习报酬中抵扣。</w:t>
      </w: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第三十条 学生在实习期间受到人身伤害，属于保险赔付范围的，由承保保险公司按保险合同赔付标准进行赔付；不属于保险赔付范围或者超出保险赔付额度的部分，由实习单位（基地）、学校、学生依法承担相应责任；学校应当及时采取救治措施，</w:t>
      </w:r>
      <w:r>
        <w:rPr>
          <w:rFonts w:hint="eastAsia" w:ascii="仿宋_GB2312" w:hAnsi="仿宋_GB2312" w:eastAsia="仿宋_GB2312" w:cs="仿宋_GB2312"/>
          <w:b w:val="0"/>
          <w:bCs w:val="0"/>
          <w:kern w:val="2"/>
          <w:sz w:val="28"/>
          <w:szCs w:val="28"/>
          <w:highlight w:val="none"/>
          <w:lang w:val="en-US" w:eastAsia="zh-Hans" w:bidi="ar-SA"/>
        </w:rPr>
        <w:t>并妥善做好</w:t>
      </w:r>
      <w:r>
        <w:rPr>
          <w:rFonts w:hint="eastAsia" w:ascii="仿宋_GB2312" w:hAnsi="仿宋_GB2312" w:eastAsia="仿宋_GB2312" w:cs="仿宋_GB2312"/>
          <w:b w:val="0"/>
          <w:bCs w:val="0"/>
          <w:kern w:val="2"/>
          <w:sz w:val="28"/>
          <w:szCs w:val="28"/>
          <w:highlight w:val="none"/>
          <w:lang w:val="en-US" w:eastAsia="zh-CN" w:bidi="ar-SA"/>
        </w:rPr>
        <w:t>善后</w:t>
      </w:r>
      <w:r>
        <w:rPr>
          <w:rFonts w:hint="eastAsia" w:ascii="仿宋_GB2312" w:hAnsi="仿宋_GB2312" w:eastAsia="仿宋_GB2312" w:cs="仿宋_GB2312"/>
          <w:b w:val="0"/>
          <w:bCs w:val="0"/>
          <w:kern w:val="2"/>
          <w:sz w:val="28"/>
          <w:szCs w:val="28"/>
          <w:highlight w:val="none"/>
          <w:lang w:val="en-US" w:eastAsia="zh-Hans" w:bidi="ar-SA"/>
        </w:rPr>
        <w:t>工作和心理抚慰</w:t>
      </w:r>
      <w:r>
        <w:rPr>
          <w:rFonts w:hint="eastAsia" w:ascii="仿宋_GB2312" w:hAnsi="仿宋_GB2312" w:eastAsia="仿宋_GB2312" w:cs="仿宋_GB2312"/>
          <w:b w:val="0"/>
          <w:bCs w:val="0"/>
          <w:kern w:val="2"/>
          <w:sz w:val="28"/>
          <w:szCs w:val="28"/>
          <w:highlight w:val="none"/>
          <w:lang w:val="en-US" w:eastAsia="zh-CN" w:bidi="ar-SA"/>
        </w:rPr>
        <w:t>。</w:t>
      </w: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第三十一条 学校应当</w:t>
      </w:r>
      <w:r>
        <w:rPr>
          <w:rFonts w:hint="eastAsia" w:ascii="仿宋_GB2312" w:hAnsi="仿宋_GB2312" w:eastAsia="仿宋_GB2312" w:cs="仿宋_GB2312"/>
          <w:b w:val="0"/>
          <w:bCs w:val="0"/>
          <w:kern w:val="2"/>
          <w:sz w:val="28"/>
          <w:szCs w:val="28"/>
          <w:highlight w:val="none"/>
          <w:lang w:val="en-US" w:eastAsia="zh-Hans" w:bidi="ar-SA"/>
        </w:rPr>
        <w:t>对</w:t>
      </w:r>
      <w:r>
        <w:rPr>
          <w:rFonts w:hint="eastAsia" w:ascii="仿宋_GB2312" w:hAnsi="仿宋_GB2312" w:eastAsia="仿宋_GB2312" w:cs="仿宋_GB2312"/>
          <w:b w:val="0"/>
          <w:bCs w:val="0"/>
          <w:kern w:val="2"/>
          <w:sz w:val="28"/>
          <w:szCs w:val="28"/>
          <w:highlight w:val="none"/>
          <w:lang w:val="en-US" w:eastAsia="zh-CN" w:bidi="ar-SA"/>
        </w:rPr>
        <w:t>参与学生实习指导、实习管理工作中表现优秀的教师，在评优表彰、绩效考核等方面</w:t>
      </w:r>
      <w:r>
        <w:rPr>
          <w:rFonts w:hint="eastAsia" w:ascii="仿宋_GB2312" w:hAnsi="仿宋_GB2312" w:eastAsia="仿宋_GB2312" w:cs="仿宋_GB2312"/>
          <w:b w:val="0"/>
          <w:bCs w:val="0"/>
          <w:kern w:val="2"/>
          <w:sz w:val="28"/>
          <w:szCs w:val="28"/>
          <w:highlight w:val="none"/>
          <w:lang w:val="en-US" w:eastAsia="zh-Hans" w:bidi="ar-SA"/>
        </w:rPr>
        <w:t>予以倾斜</w:t>
      </w:r>
      <w:r>
        <w:rPr>
          <w:rFonts w:hint="eastAsia" w:ascii="仿宋_GB2312" w:hAnsi="仿宋_GB2312" w:eastAsia="仿宋_GB2312" w:cs="仿宋_GB2312"/>
          <w:b w:val="0"/>
          <w:bCs w:val="0"/>
          <w:kern w:val="2"/>
          <w:sz w:val="28"/>
          <w:szCs w:val="28"/>
          <w:highlight w:val="none"/>
          <w:lang w:val="en-US" w:eastAsia="zh-CN" w:bidi="ar-SA"/>
        </w:rPr>
        <w:t>。</w:t>
      </w: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p>
    <w:p>
      <w:pPr>
        <w:pageBreakBefore w:val="0"/>
        <w:widowControl w:val="0"/>
        <w:kinsoku/>
        <w:wordWrap/>
        <w:overflowPunct/>
        <w:topLinePunct w:val="0"/>
        <w:autoSpaceDE/>
        <w:autoSpaceDN/>
        <w:bidi w:val="0"/>
        <w:adjustRightInd/>
        <w:spacing w:line="360" w:lineRule="auto"/>
        <w:ind w:firstLine="560" w:firstLineChars="200"/>
        <w:jc w:val="center"/>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第七章 附则</w:t>
      </w:r>
    </w:p>
    <w:p>
      <w:pPr>
        <w:pageBreakBefore w:val="0"/>
        <w:widowControl w:val="0"/>
        <w:kinsoku/>
        <w:wordWrap/>
        <w:overflowPunct/>
        <w:topLinePunct w:val="0"/>
        <w:autoSpaceDE/>
        <w:autoSpaceDN/>
        <w:bidi w:val="0"/>
        <w:adjustRightInd/>
        <w:spacing w:line="360" w:lineRule="auto"/>
        <w:ind w:firstLine="560" w:firstLineChars="200"/>
        <w:jc w:val="center"/>
        <w:textAlignment w:val="auto"/>
        <w:outlineLvl w:val="9"/>
        <w:rPr>
          <w:rFonts w:hint="eastAsia" w:ascii="仿宋_GB2312" w:hAnsi="仿宋_GB2312" w:eastAsia="仿宋_GB2312" w:cs="仿宋_GB2312"/>
          <w:b w:val="0"/>
          <w:bCs w:val="0"/>
          <w:kern w:val="2"/>
          <w:sz w:val="28"/>
          <w:szCs w:val="28"/>
          <w:highlight w:val="none"/>
          <w:lang w:val="en-US" w:eastAsia="zh-CN" w:bidi="ar-SA"/>
        </w:rPr>
      </w:pP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第三十二条 本规定自颁布之日起实施，原《上海电子信息职业技术学院学生顶岗实习管理规定》（沪电信职院〔2018〕128号）同时废止。</w:t>
      </w:r>
    </w:p>
    <w:p>
      <w:pPr>
        <w:pageBreakBefore w:val="0"/>
        <w:widowControl w:val="0"/>
        <w:kinsoku/>
        <w:wordWrap/>
        <w:overflowPunct/>
        <w:topLinePunct w:val="0"/>
        <w:autoSpaceDE/>
        <w:autoSpaceDN/>
        <w:bidi w:val="0"/>
        <w:adjustRightInd/>
        <w:spacing w:line="360" w:lineRule="auto"/>
        <w:ind w:firstLine="560" w:firstLineChars="200"/>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第三十三条 本管理规定由教务处负责解释。</w:t>
      </w:r>
    </w:p>
    <w:p>
      <w:pPr>
        <w:pageBreakBefore w:val="0"/>
        <w:widowControl w:val="0"/>
        <w:kinsoku/>
        <w:wordWrap/>
        <w:overflowPunct/>
        <w:topLinePunct w:val="0"/>
        <w:autoSpaceDE/>
        <w:autoSpaceDN/>
        <w:bidi w:val="0"/>
        <w:adjustRightInd/>
        <w:spacing w:line="360" w:lineRule="auto"/>
        <w:textAlignment w:val="auto"/>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br w:type="page"/>
      </w:r>
    </w:p>
    <w:p>
      <w:pPr>
        <w:pageBreakBefore w:val="0"/>
        <w:topLinePunct w:val="0"/>
        <w:bidi w:val="0"/>
        <w:spacing w:before="312" w:beforeLines="100"/>
        <w:ind w:right="-57" w:rightChars="-27"/>
        <w:jc w:val="both"/>
        <w:outlineLvl w:val="9"/>
        <w:rPr>
          <w:rFonts w:hint="eastAsia" w:ascii="华文中宋" w:hAnsi="华文中宋" w:eastAsia="华文中宋"/>
          <w:b/>
          <w:color w:val="FF0000"/>
          <w:spacing w:val="10"/>
          <w:sz w:val="56"/>
          <w:szCs w:val="56"/>
        </w:rPr>
      </w:pPr>
      <w:bookmarkStart w:id="386" w:name="_Toc1291"/>
      <w:bookmarkStart w:id="387" w:name="_Toc21266"/>
      <w:bookmarkStart w:id="388" w:name="_Toc2023"/>
      <w:bookmarkStart w:id="389" w:name="_Toc25959"/>
      <w:bookmarkStart w:id="390" w:name="_Toc25571"/>
      <w:bookmarkStart w:id="391" w:name="_Toc30055"/>
      <w:bookmarkStart w:id="392" w:name="_Toc3261"/>
    </w:p>
    <w:p>
      <w:pPr>
        <w:pageBreakBefore w:val="0"/>
        <w:topLinePunct w:val="0"/>
        <w:bidi w:val="0"/>
        <w:jc w:val="distribute"/>
        <w:outlineLvl w:val="9"/>
        <w:rPr>
          <w:rFonts w:hint="eastAsia" w:ascii="华文中宋" w:hAnsi="华文中宋" w:eastAsia="华文中宋" w:cs="Times New Roman"/>
          <w:b/>
          <w:color w:val="FF0000"/>
          <w:spacing w:val="10"/>
          <w:sz w:val="56"/>
          <w:szCs w:val="56"/>
          <w:lang w:val="en-US" w:eastAsia="zh-CN"/>
        </w:rPr>
      </w:pPr>
      <w:r>
        <w:rPr>
          <w:rFonts w:hint="eastAsia" w:ascii="华文中宋" w:hAnsi="华文中宋" w:eastAsia="华文中宋" w:cs="Times New Roman"/>
          <w:b/>
          <w:color w:val="FF0000"/>
          <w:spacing w:val="10"/>
          <w:sz w:val="56"/>
          <w:szCs w:val="56"/>
          <w:lang w:val="en-US" w:eastAsia="zh-CN"/>
        </w:rPr>
        <w:t>上海电子信息职业技术学院文件</w:t>
      </w:r>
    </w:p>
    <w:p>
      <w:pPr>
        <w:pageBreakBefore w:val="0"/>
        <w:topLinePunct w:val="0"/>
        <w:bidi w:val="0"/>
        <w:ind w:left="-317" w:leftChars="-200" w:right="-158" w:rightChars="-75" w:hanging="103" w:hangingChars="43"/>
        <w:jc w:val="center"/>
        <w:outlineLvl w:val="9"/>
        <w:rPr>
          <w:sz w:val="24"/>
        </w:rPr>
      </w:pPr>
    </w:p>
    <w:p>
      <w:pPr>
        <w:pageBreakBefore w:val="0"/>
        <w:topLinePunct w:val="0"/>
        <w:bidi w:val="0"/>
        <w:spacing w:before="156" w:beforeLines="50"/>
        <w:jc w:val="center"/>
        <w:outlineLvl w:val="9"/>
        <w:rPr>
          <w:rFonts w:hint="eastAsia" w:ascii="仿宋_GB2312" w:hAnsi="宋体" w:eastAsia="仿宋_GB2312"/>
          <w:color w:val="FF0000"/>
          <w:szCs w:val="21"/>
        </w:rPr>
      </w:pPr>
      <w:r>
        <w:rPr>
          <w:rFonts w:eastAsia="仿宋_GB2312"/>
          <w:color w:val="000000"/>
          <w:kern w:val="0"/>
          <w:sz w:val="32"/>
          <w:szCs w:val="28"/>
        </w:rPr>
        <w:t>沪电信职院</w:t>
      </w:r>
      <w:r>
        <w:rPr>
          <w:rFonts w:hint="eastAsia" w:ascii="仿宋_GB2312" w:hAnsi="Times New Roman" w:eastAsia="仿宋_GB2312" w:cs="Times New Roman"/>
          <w:color w:val="000000"/>
          <w:kern w:val="0"/>
          <w:sz w:val="32"/>
          <w:szCs w:val="28"/>
          <w:highlight w:val="none"/>
        </w:rPr>
        <w:t>〔2022〕</w:t>
      </w:r>
      <w:r>
        <w:rPr>
          <w:rFonts w:hint="eastAsia" w:ascii="仿宋_GB2312" w:eastAsia="仿宋_GB2312" w:cs="Times New Roman"/>
          <w:color w:val="000000"/>
          <w:kern w:val="0"/>
          <w:sz w:val="32"/>
          <w:szCs w:val="28"/>
          <w:highlight w:val="none"/>
          <w:lang w:val="en-US" w:eastAsia="zh-CN"/>
        </w:rPr>
        <w:t>50</w:t>
      </w:r>
      <w:r>
        <w:rPr>
          <w:rFonts w:eastAsia="仿宋_GB2312"/>
          <w:color w:val="000000"/>
          <w:kern w:val="0"/>
          <w:sz w:val="32"/>
          <w:szCs w:val="28"/>
        </w:rPr>
        <w:t>号</w:t>
      </w:r>
      <w:r>
        <w:rPr>
          <w:rFonts w:hint="eastAsia" w:eastAsia="仿宋_GB2312"/>
          <w:color w:val="000000"/>
          <w:kern w:val="0"/>
          <w:sz w:val="32"/>
          <w:szCs w:val="28"/>
        </w:rPr>
        <w:t xml:space="preserve"> </w:t>
      </w:r>
    </w:p>
    <w:p>
      <w:pPr>
        <w:pageBreakBefore w:val="0"/>
        <w:topLinePunct w:val="0"/>
        <w:bidi w:val="0"/>
        <w:spacing w:after="0" w:line="259" w:lineRule="auto"/>
        <w:ind w:left="0" w:right="0" w:firstLine="0"/>
        <w:outlineLvl w:val="9"/>
      </w:pPr>
      <w:r>
        <w:rPr>
          <w:rFonts w:ascii="Calibri" w:hAnsi="Calibri" w:eastAsia="Calibri" w:cs="Calibri"/>
          <w:sz w:val="22"/>
        </w:rPr>
        <w:pict>
          <v:group id="_x0000_s1340" o:spid="_x0000_s1340" o:spt="203" style="position:absolute;left:0pt;margin-left:0pt;margin-top:0pt;height:0.05pt;width:432.5pt;z-index:251667456;mso-width-relative:page;mso-height-relative:page;" coordsize="5492750,635" o:gfxdata="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bCa5PSAAAAAgEAAA8AAAAAAAAAAQAgAAAAIgAAAGRycy9kb3ducmV2LnhtbFBLAQIUABQAAAAI&#10;AIdO4kAAD/hpZQIAAMgFAAAOAAAAAAAAAAEAIAAAACEBAABkcnMvZTJvRG9jLnhtbFBLBQYAAAAA&#10;BgAGAFkBAAD4BQAAAAA=&#10;">
            <o:lock v:ext="edit" aspectratio="f"/>
            <v:shape id="Shape 55" o:spid="_x0000_s1341" style="position:absolute;left:0;top:0;height:635;width:5492750;" filled="f" stroked="t" coordsize="5492750,635" o:gfxdata="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LozAvQAA&#10;ANsAAAAPAAAAAAAAAAEAIAAAACIAAABkcnMvZG93bnJldi54bWxQSwECFAAUAAAACACHTuJAMy8F&#10;njsAAAA5AAAAEAAAAAAAAAABACAAAAAMAQAAZHJzL3NoYXBleG1sLnhtbFBLBQYAAAAABgAGAFsB&#10;AAC2AwAAAAA=&#10;" path="m0,0l5492750,635e">
              <v:fill on="f" focussize="0,0"/>
              <v:stroke weight="2.25pt" color="#FF0000" joinstyle="round"/>
              <v:imagedata o:title=""/>
              <o:lock v:ext="edit" aspectratio="f"/>
            </v:shape>
            <w10:anchorlock/>
          </v:group>
        </w:pict>
      </w:r>
      <w:r>
        <w:rPr>
          <w:rFonts w:ascii="Calibri" w:hAnsi="Calibri" w:eastAsia="Calibri" w:cs="Calibri"/>
          <w:sz w:val="22"/>
        </w:rPr>
        <w:pict>
          <v:shape id="_x0000_i1031" o:spt="75" type="#_x0000_t75" style="height:0.05pt;width:432.5pt;" filled="f" stroked="f" coordsize="21600,21600">
            <v:path/>
            <v:fill on="f" focussize="0,0"/>
            <v:stroke on="f"/>
            <v:imagedata o:title=""/>
            <o:lock v:ext="edit" aspectratio="t"/>
            <w10:wrap type="none"/>
            <w10:anchorlock/>
          </v:shape>
        </w:pict>
      </w:r>
    </w:p>
    <w:p>
      <w:pPr>
        <w:keepNext w:val="0"/>
        <w:keepLines w:val="0"/>
        <w:pageBreakBefore w:val="0"/>
        <w:widowControl w:val="0"/>
        <w:kinsoku/>
        <w:wordWrap/>
        <w:overflowPunct/>
        <w:topLinePunct w:val="0"/>
        <w:autoSpaceDE w:val="0"/>
        <w:autoSpaceDN w:val="0"/>
        <w:bidi w:val="0"/>
        <w:adjustRightInd w:val="0"/>
        <w:snapToGrid/>
        <w:spacing w:beforeLines="0" w:after="0" w:afterLines="0" w:line="360" w:lineRule="auto"/>
        <w:jc w:val="center"/>
        <w:textAlignment w:val="auto"/>
        <w:outlineLvl w:val="0"/>
        <w:rPr>
          <w:rFonts w:hint="eastAsia" w:ascii="黑体" w:hAnsi="黑体" w:eastAsia="黑体" w:cs="黑体"/>
          <w:b/>
          <w:sz w:val="36"/>
          <w:szCs w:val="36"/>
        </w:rPr>
      </w:pPr>
      <w:bookmarkStart w:id="393" w:name="_Toc4132"/>
      <w:r>
        <w:rPr>
          <w:rFonts w:hint="eastAsia" w:ascii="黑体" w:hAnsi="黑体" w:eastAsia="黑体" w:cs="黑体"/>
          <w:b/>
          <w:sz w:val="36"/>
          <w:szCs w:val="36"/>
        </w:rPr>
        <w:t>关于印发《</w:t>
      </w:r>
      <w:r>
        <w:rPr>
          <w:rFonts w:hint="eastAsia" w:ascii="黑体" w:hAnsi="黑体" w:eastAsia="黑体" w:cs="黑体"/>
          <w:b/>
          <w:sz w:val="36"/>
          <w:szCs w:val="36"/>
          <w:lang w:val="en-US" w:eastAsia="zh-CN"/>
        </w:rPr>
        <w:t>上海电子信息职业技术学院学生实习教学管理办法</w:t>
      </w:r>
      <w:r>
        <w:rPr>
          <w:rFonts w:hint="eastAsia" w:ascii="黑体" w:hAnsi="黑体" w:eastAsia="黑体" w:cs="黑体"/>
          <w:b/>
          <w:sz w:val="36"/>
          <w:szCs w:val="36"/>
        </w:rPr>
        <w:t>》的通知</w:t>
      </w:r>
      <w:bookmarkEnd w:id="393"/>
      <w:r>
        <w:rPr>
          <w:rFonts w:hint="eastAsia" w:ascii="黑体" w:hAnsi="黑体" w:eastAsia="黑体" w:cs="黑体"/>
          <w:b/>
          <w:sz w:val="36"/>
          <w:szCs w:val="36"/>
        </w:rPr>
        <w:t xml:space="preserve"> </w:t>
      </w:r>
    </w:p>
    <w:p>
      <w:pPr>
        <w:pageBreakBefore w:val="0"/>
        <w:widowControl w:val="0"/>
        <w:topLinePunct w:val="0"/>
        <w:bidi w:val="0"/>
        <w:spacing w:after="0" w:line="312" w:lineRule="auto"/>
        <w:ind w:left="0" w:right="0" w:firstLine="0"/>
        <w:jc w:val="left"/>
        <w:outlineLvl w:val="9"/>
        <w:rPr>
          <w:rFonts w:hint="eastAsia" w:ascii="仿宋_GB2312" w:hAnsi="仿宋_GB2312" w:eastAsia="仿宋_GB2312" w:cs="仿宋_GB2312"/>
          <w:kern w:val="2"/>
          <w:sz w:val="28"/>
          <w:szCs w:val="28"/>
          <w:highlight w:val="none"/>
          <w:lang w:val="en-US" w:eastAsia="zh-CN" w:bidi="ar-SA"/>
        </w:rPr>
      </w:pPr>
    </w:p>
    <w:p>
      <w:pPr>
        <w:pageBreakBefore w:val="0"/>
        <w:widowControl w:val="0"/>
        <w:topLinePunct w:val="0"/>
        <w:bidi w:val="0"/>
        <w:spacing w:after="0" w:line="312" w:lineRule="auto"/>
        <w:ind w:left="0" w:right="0" w:firstLine="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 xml:space="preserve">各教学单位、职能部门：  </w:t>
      </w:r>
    </w:p>
    <w:p>
      <w:pPr>
        <w:pageBreakBefore w:val="0"/>
        <w:widowControl w:val="0"/>
        <w:topLinePunct w:val="0"/>
        <w:bidi w:val="0"/>
        <w:spacing w:after="0" w:line="312" w:lineRule="auto"/>
        <w:ind w:left="0" w:right="0"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现将《上海电子信息职业技术学院学生实习教学管理办法》发给你们，请结合本部门工作实际，认真研究执行。</w:t>
      </w:r>
    </w:p>
    <w:p>
      <w:pPr>
        <w:pageBreakBefore w:val="0"/>
        <w:widowControl w:val="0"/>
        <w:topLinePunct w:val="0"/>
        <w:bidi w:val="0"/>
        <w:spacing w:after="0" w:line="312" w:lineRule="auto"/>
        <w:ind w:right="0"/>
        <w:jc w:val="left"/>
        <w:outlineLvl w:val="9"/>
        <w:rPr>
          <w:rFonts w:hint="eastAsia" w:ascii="仿宋_GB2312" w:hAnsi="仿宋_GB2312" w:eastAsia="仿宋_GB2312" w:cs="仿宋_GB2312"/>
          <w:kern w:val="2"/>
          <w:sz w:val="28"/>
          <w:szCs w:val="28"/>
          <w:highlight w:val="none"/>
          <w:lang w:val="en-US" w:eastAsia="zh-CN" w:bidi="ar-SA"/>
        </w:rPr>
      </w:pPr>
    </w:p>
    <w:p>
      <w:pPr>
        <w:pageBreakBefore w:val="0"/>
        <w:widowControl w:val="0"/>
        <w:topLinePunct w:val="0"/>
        <w:bidi w:val="0"/>
        <w:spacing w:after="0" w:line="312" w:lineRule="auto"/>
        <w:ind w:left="0" w:right="0" w:firstLine="0"/>
        <w:jc w:val="left"/>
        <w:outlineLvl w:val="9"/>
        <w:rPr>
          <w:rFonts w:hint="eastAsia" w:ascii="仿宋_GB2312" w:hAnsi="仿宋_GB2312" w:eastAsia="仿宋_GB2312" w:cs="仿宋_GB2312"/>
          <w:kern w:val="2"/>
          <w:sz w:val="28"/>
          <w:szCs w:val="28"/>
          <w:highlight w:val="none"/>
          <w:lang w:val="en-US" w:eastAsia="zh-CN" w:bidi="ar-SA"/>
        </w:rPr>
      </w:pPr>
    </w:p>
    <w:p>
      <w:pPr>
        <w:pageBreakBefore w:val="0"/>
        <w:widowControl w:val="0"/>
        <w:topLinePunct w:val="0"/>
        <w:bidi w:val="0"/>
        <w:spacing w:after="0" w:line="312" w:lineRule="auto"/>
        <w:ind w:left="0" w:right="0" w:firstLine="0"/>
        <w:jc w:val="left"/>
        <w:outlineLvl w:val="9"/>
        <w:rPr>
          <w:rFonts w:hint="eastAsia" w:ascii="仿宋_GB2312" w:hAnsi="仿宋_GB2312" w:eastAsia="仿宋_GB2312" w:cs="仿宋_GB2312"/>
          <w:kern w:val="2"/>
          <w:sz w:val="28"/>
          <w:szCs w:val="28"/>
          <w:highlight w:val="none"/>
          <w:lang w:val="en-US" w:eastAsia="zh-CN" w:bidi="ar-SA"/>
        </w:rPr>
      </w:pPr>
    </w:p>
    <w:p>
      <w:pPr>
        <w:pageBreakBefore w:val="0"/>
        <w:widowControl w:val="0"/>
        <w:topLinePunct w:val="0"/>
        <w:bidi w:val="0"/>
        <w:spacing w:after="0" w:line="312" w:lineRule="auto"/>
        <w:ind w:left="0" w:right="0" w:firstLine="0"/>
        <w:jc w:val="left"/>
        <w:outlineLvl w:val="9"/>
        <w:rPr>
          <w:rFonts w:hint="eastAsia" w:ascii="仿宋_GB2312" w:hAnsi="仿宋_GB2312" w:eastAsia="仿宋_GB2312" w:cs="仿宋_GB2312"/>
          <w:kern w:val="2"/>
          <w:sz w:val="28"/>
          <w:szCs w:val="28"/>
          <w:highlight w:val="none"/>
          <w:lang w:val="en-US" w:eastAsia="zh-CN" w:bidi="ar-SA"/>
        </w:rPr>
      </w:pPr>
    </w:p>
    <w:p>
      <w:pPr>
        <w:pageBreakBefore w:val="0"/>
        <w:widowControl w:val="0"/>
        <w:topLinePunct w:val="0"/>
        <w:bidi w:val="0"/>
        <w:spacing w:after="0" w:line="312" w:lineRule="auto"/>
        <w:ind w:left="0" w:right="0"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附件：上海电子信息职业技术学院学生实习教学管理办法</w:t>
      </w:r>
    </w:p>
    <w:p>
      <w:pPr>
        <w:pageBreakBefore w:val="0"/>
        <w:widowControl w:val="0"/>
        <w:topLinePunct w:val="0"/>
        <w:bidi w:val="0"/>
        <w:spacing w:after="0" w:line="312" w:lineRule="auto"/>
        <w:ind w:left="0" w:right="0" w:firstLine="0"/>
        <w:jc w:val="right"/>
        <w:outlineLvl w:val="9"/>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 xml:space="preserve"> </w:t>
      </w:r>
    </w:p>
    <w:p>
      <w:pPr>
        <w:pageBreakBefore w:val="0"/>
        <w:topLinePunct w:val="0"/>
        <w:bidi w:val="0"/>
        <w:spacing w:after="278"/>
        <w:ind w:right="626"/>
        <w:jc w:val="right"/>
        <w:outlineLvl w:val="9"/>
        <w:rPr>
          <w:rFonts w:hint="eastAsia" w:ascii="宋体" w:hAnsi="宋体" w:eastAsia="宋体" w:cs="宋体"/>
          <w:kern w:val="2"/>
          <w:sz w:val="28"/>
          <w:szCs w:val="28"/>
          <w:highlight w:val="none"/>
          <w:lang w:val="en-US" w:eastAsia="zh-CN" w:bidi="ar-SA"/>
        </w:rPr>
      </w:pPr>
    </w:p>
    <w:p>
      <w:pPr>
        <w:pageBreakBefore w:val="0"/>
        <w:topLinePunct w:val="0"/>
        <w:bidi w:val="0"/>
        <w:spacing w:after="278"/>
        <w:ind w:right="626"/>
        <w:jc w:val="right"/>
        <w:outlineLvl w:val="9"/>
        <w:rPr>
          <w:rFonts w:hint="eastAsia" w:ascii="仿宋_GB2312" w:hAnsi="仿宋_GB2312" w:eastAsia="仿宋_GB2312" w:cs="仿宋_GB2312"/>
          <w:b w:val="0"/>
          <w:bCs w:val="0"/>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 xml:space="preserve">上海电子信息职业技术学院 </w:t>
      </w:r>
    </w:p>
    <w:p>
      <w:pPr>
        <w:pageBreakBefore w:val="0"/>
        <w:topLinePunct w:val="0"/>
        <w:bidi w:val="0"/>
        <w:spacing w:after="0" w:line="259" w:lineRule="auto"/>
        <w:ind w:left="0" w:right="962" w:firstLine="0"/>
        <w:jc w:val="right"/>
        <w:outlineLvl w:val="9"/>
        <w:rPr>
          <w:rFonts w:hint="eastAsia" w:ascii="宋体" w:hAnsi="宋体" w:eastAsia="宋体" w:cs="宋体"/>
          <w:kern w:val="2"/>
          <w:sz w:val="28"/>
          <w:szCs w:val="28"/>
          <w:highlight w:val="none"/>
          <w:lang w:val="en-US" w:eastAsia="zh-CN" w:bidi="ar-SA"/>
        </w:rPr>
      </w:pPr>
      <w:r>
        <w:rPr>
          <w:rFonts w:hint="eastAsia" w:ascii="仿宋_GB2312" w:hAnsi="仿宋_GB2312" w:eastAsia="仿宋_GB2312" w:cs="仿宋_GB2312"/>
          <w:b w:val="0"/>
          <w:bCs w:val="0"/>
          <w:kern w:val="2"/>
          <w:sz w:val="28"/>
          <w:szCs w:val="28"/>
          <w:highlight w:val="none"/>
          <w:lang w:val="en-US" w:eastAsia="zh-CN" w:bidi="ar-SA"/>
        </w:rPr>
        <w:t>2022 年 5月 24 日</w:t>
      </w:r>
      <w:r>
        <w:rPr>
          <w:rFonts w:hint="eastAsia" w:ascii="宋体" w:hAnsi="宋体" w:eastAsia="宋体" w:cs="宋体"/>
          <w:kern w:val="2"/>
          <w:sz w:val="28"/>
          <w:szCs w:val="28"/>
          <w:highlight w:val="none"/>
          <w:lang w:val="en-US" w:eastAsia="zh-CN" w:bidi="ar-SA"/>
        </w:rPr>
        <w:t xml:space="preserve"> </w:t>
      </w:r>
    </w:p>
    <w:p>
      <w:pPr>
        <w:pageBreakBefore w:val="0"/>
        <w:topLinePunct w:val="0"/>
        <w:autoSpaceDE w:val="0"/>
        <w:autoSpaceDN w:val="0"/>
        <w:bidi w:val="0"/>
        <w:adjustRightInd w:val="0"/>
        <w:spacing w:beforeLines="0" w:after="0" w:afterLines="0" w:line="360" w:lineRule="auto"/>
        <w:jc w:val="both"/>
        <w:outlineLvl w:val="9"/>
        <w:rPr>
          <w:rFonts w:hint="eastAsia" w:ascii="仿宋" w:hAnsi="仿宋" w:eastAsia="仿宋" w:cs="仿宋"/>
          <w:color w:val="000000"/>
          <w:kern w:val="2"/>
          <w:sz w:val="32"/>
          <w:szCs w:val="22"/>
          <w:lang w:val="en-US" w:eastAsia="zh-CN" w:bidi="ar-SA"/>
        </w:rPr>
      </w:pPr>
    </w:p>
    <w:p>
      <w:pPr>
        <w:pageBreakBefore w:val="0"/>
        <w:widowControl w:val="0"/>
        <w:topLinePunct w:val="0"/>
        <w:bidi w:val="0"/>
        <w:spacing w:after="0" w:line="312" w:lineRule="auto"/>
        <w:ind w:right="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附件：</w:t>
      </w:r>
    </w:p>
    <w:p>
      <w:pPr>
        <w:pageBreakBefore w:val="0"/>
        <w:topLinePunct w:val="0"/>
        <w:autoSpaceDE w:val="0"/>
        <w:autoSpaceDN w:val="0"/>
        <w:bidi w:val="0"/>
        <w:adjustRightInd w:val="0"/>
        <w:spacing w:beforeLines="0" w:after="0" w:afterLines="0" w:line="360" w:lineRule="auto"/>
        <w:jc w:val="center"/>
        <w:outlineLvl w:val="9"/>
        <w:rPr>
          <w:rFonts w:ascii="黑体" w:hAnsi="黑体" w:eastAsia="黑体" w:cs="黑体"/>
          <w:b/>
          <w:color w:val="000000"/>
          <w:kern w:val="0"/>
          <w:sz w:val="36"/>
          <w:szCs w:val="36"/>
        </w:rPr>
      </w:pPr>
      <w:r>
        <w:rPr>
          <w:rFonts w:hint="eastAsia" w:ascii="黑体" w:hAnsi="黑体" w:eastAsia="黑体" w:cs="黑体"/>
          <w:b/>
          <w:color w:val="000000"/>
          <w:kern w:val="0"/>
          <w:sz w:val="36"/>
          <w:szCs w:val="36"/>
        </w:rPr>
        <w:t>上海电子信息职业技术学院学生</w:t>
      </w:r>
    </w:p>
    <w:p>
      <w:pPr>
        <w:pageBreakBefore w:val="0"/>
        <w:topLinePunct w:val="0"/>
        <w:autoSpaceDE w:val="0"/>
        <w:autoSpaceDN w:val="0"/>
        <w:bidi w:val="0"/>
        <w:adjustRightInd w:val="0"/>
        <w:spacing w:beforeLines="0" w:after="0" w:afterLines="0" w:line="360" w:lineRule="auto"/>
        <w:jc w:val="center"/>
        <w:outlineLvl w:val="9"/>
        <w:rPr>
          <w:rFonts w:ascii="黑体" w:hAnsi="黑体" w:eastAsia="黑体" w:cs="黑体"/>
          <w:b/>
          <w:color w:val="000000"/>
          <w:sz w:val="36"/>
          <w:szCs w:val="36"/>
        </w:rPr>
      </w:pPr>
      <w:r>
        <w:rPr>
          <w:rFonts w:hint="eastAsia" w:ascii="黑体" w:hAnsi="黑体" w:eastAsia="黑体" w:cs="黑体"/>
          <w:b/>
          <w:color w:val="000000"/>
          <w:kern w:val="0"/>
          <w:sz w:val="36"/>
          <w:szCs w:val="36"/>
        </w:rPr>
        <w:t>实习教学管理</w:t>
      </w:r>
      <w:bookmarkEnd w:id="386"/>
      <w:bookmarkEnd w:id="387"/>
      <w:bookmarkEnd w:id="388"/>
      <w:bookmarkEnd w:id="389"/>
      <w:bookmarkEnd w:id="390"/>
      <w:bookmarkEnd w:id="391"/>
      <w:bookmarkEnd w:id="392"/>
      <w:r>
        <w:rPr>
          <w:rFonts w:hint="eastAsia" w:ascii="黑体" w:hAnsi="黑体" w:eastAsia="黑体" w:cs="黑体"/>
          <w:b/>
          <w:color w:val="000000"/>
          <w:kern w:val="0"/>
          <w:sz w:val="36"/>
          <w:szCs w:val="36"/>
        </w:rPr>
        <w:t>办法</w:t>
      </w:r>
    </w:p>
    <w:p>
      <w:pPr>
        <w:pageBreakBefore w:val="0"/>
        <w:widowControl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为了贯彻落实《上海电子信息职业技术学院学生实习管理规定》（沪电信职院〔2022〕44号）文件精神，提高实习质量，进一步加强对实习教学工作的规范管理，特制订本办法。</w:t>
      </w:r>
    </w:p>
    <w:p>
      <w:pPr>
        <w:pageBreakBefore w:val="0"/>
        <w:topLinePunct w:val="0"/>
        <w:bidi w:val="0"/>
        <w:snapToGrid w:val="0"/>
        <w:spacing w:before="0" w:beforeLines="0" w:after="0" w:afterLines="0" w:line="360" w:lineRule="auto"/>
        <w:ind w:firstLine="0" w:firstLineChars="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一、实习的教学形式</w:t>
      </w:r>
    </w:p>
    <w:p>
      <w:pPr>
        <w:pageBreakBefore w:val="0"/>
        <w:numPr>
          <w:ilvl w:val="0"/>
          <w:numId w:val="48"/>
        </w:numPr>
        <w:topLinePunct w:val="0"/>
        <w:bidi w:val="0"/>
        <w:spacing w:beforeLines="0" w:afterLines="0" w:line="360" w:lineRule="auto"/>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认识实习</w:t>
      </w:r>
    </w:p>
    <w:p>
      <w:pPr>
        <w:pageBreakBefore w:val="0"/>
        <w:topLinePunct w:val="0"/>
        <w:bidi w:val="0"/>
        <w:snapToGrid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认识实习指学生由学校组织到实习单位（基地）参观、观摩和体验，形成对实习单位和相关岗位的初步认识活动。</w:t>
      </w:r>
    </w:p>
    <w:p>
      <w:pPr>
        <w:pageBreakBefore w:val="0"/>
        <w:numPr>
          <w:ilvl w:val="0"/>
          <w:numId w:val="48"/>
        </w:numPr>
        <w:topLinePunct w:val="0"/>
        <w:bidi w:val="0"/>
        <w:snapToGrid w:val="0"/>
        <w:spacing w:beforeLines="0" w:afterLines="0" w:line="360" w:lineRule="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岗位实习</w:t>
      </w:r>
    </w:p>
    <w:p>
      <w:pPr>
        <w:pageBreakBefore w:val="0"/>
        <w:topLinePunct w:val="0"/>
        <w:bidi w:val="0"/>
        <w:snapToGrid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岗位实习指具备一定实践岗位工作能力的学生，在专业人员指导下，进行岗位的综合性实践学习，辅助或相对独立参与实际工作的活动。对现代学徒制、企业订单班的学生，根据人才培养方案实施的企业课程在校外开展教学活动，可参照岗位实习的相关要求进行相应管理。</w:t>
      </w:r>
    </w:p>
    <w:p>
      <w:pPr>
        <w:pageBreakBefore w:val="0"/>
        <w:topLinePunct w:val="0"/>
        <w:bidi w:val="0"/>
        <w:snapToGrid w:val="0"/>
        <w:spacing w:before="0" w:beforeLines="0" w:after="0" w:afterLines="0" w:line="360" w:lineRule="auto"/>
        <w:ind w:firstLine="0" w:firstLineChars="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二、实习的教学要求</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（一）认识实习</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认识实习一般为期1-2周，二级学院应制订认识实习课程标准，按课程标准实施教学，安排校内指导教师全程参与指导，认识实习结束后学生需要提交考察报告。</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（二）岗位实习</w:t>
      </w:r>
    </w:p>
    <w:p>
      <w:pPr>
        <w:pageBreakBefore w:val="0"/>
        <w:numPr>
          <w:ilvl w:val="0"/>
          <w:numId w:val="49"/>
        </w:numPr>
        <w:topLinePunct w:val="0"/>
        <w:bidi w:val="0"/>
        <w:spacing w:beforeLines="0" w:afterLines="0" w:line="360" w:lineRule="auto"/>
        <w:ind w:left="0"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岗位实习一般不少于24周，可安排在不同学期实施。二级学院应制订岗位实习课程标准，按课程标准实施教学；制订岗位实习方案、签订实习协议，有组织安排学生进入校内或校外实习单位（基地）进行岗位实习，安排校内、企业指导教师对学生进行岗位实习指导，加强学生岗位实习的过程管理与联系。二级学院应加强岗位实习教学文件的收集与整理，学生岗位实习结束后，应按要求提交下述材料：</w:t>
      </w:r>
    </w:p>
    <w:p>
      <w:pPr>
        <w:pageBreakBefore w:val="0"/>
        <w:numPr>
          <w:ilvl w:val="0"/>
          <w:numId w:val="0"/>
        </w:numPr>
        <w:topLinePunct w:val="0"/>
        <w:bidi w:val="0"/>
        <w:spacing w:beforeLines="0" w:afterLines="0" w:line="360" w:lineRule="auto"/>
        <w:ind w:left="0" w:leftChars="0"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1）实习三方协议；</w:t>
      </w:r>
    </w:p>
    <w:p>
      <w:pPr>
        <w:pageBreakBefore w:val="0"/>
        <w:numPr>
          <w:ilvl w:val="0"/>
          <w:numId w:val="0"/>
        </w:numPr>
        <w:topLinePunct w:val="0"/>
        <w:bidi w:val="0"/>
        <w:spacing w:beforeLines="0" w:afterLines="0" w:line="360" w:lineRule="auto"/>
        <w:ind w:left="0" w:leftChars="0"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2）实习方案；</w:t>
      </w:r>
    </w:p>
    <w:p>
      <w:pPr>
        <w:pageBreakBefore w:val="0"/>
        <w:numPr>
          <w:ilvl w:val="0"/>
          <w:numId w:val="0"/>
        </w:numPr>
        <w:topLinePunct w:val="0"/>
        <w:bidi w:val="0"/>
        <w:spacing w:beforeLines="0" w:afterLines="0" w:line="360" w:lineRule="auto"/>
        <w:ind w:left="0" w:leftChars="0"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3）学生实习报告；</w:t>
      </w:r>
    </w:p>
    <w:p>
      <w:pPr>
        <w:pageBreakBefore w:val="0"/>
        <w:numPr>
          <w:ilvl w:val="0"/>
          <w:numId w:val="0"/>
        </w:numPr>
        <w:topLinePunct w:val="0"/>
        <w:bidi w:val="0"/>
        <w:spacing w:beforeLines="0" w:afterLines="0" w:line="360" w:lineRule="auto"/>
        <w:ind w:left="0" w:leftChars="0"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4）学生实习考核结果；</w:t>
      </w:r>
    </w:p>
    <w:p>
      <w:pPr>
        <w:pageBreakBefore w:val="0"/>
        <w:numPr>
          <w:ilvl w:val="0"/>
          <w:numId w:val="0"/>
        </w:numPr>
        <w:topLinePunct w:val="0"/>
        <w:bidi w:val="0"/>
        <w:spacing w:beforeLines="0" w:afterLines="0" w:line="360" w:lineRule="auto"/>
        <w:ind w:left="0" w:leftChars="0"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5）学生实习日志、周记；</w:t>
      </w:r>
    </w:p>
    <w:p>
      <w:pPr>
        <w:pageBreakBefore w:val="0"/>
        <w:numPr>
          <w:ilvl w:val="0"/>
          <w:numId w:val="0"/>
        </w:numPr>
        <w:topLinePunct w:val="0"/>
        <w:bidi w:val="0"/>
        <w:spacing w:beforeLines="0" w:afterLines="0" w:line="360" w:lineRule="auto"/>
        <w:ind w:left="0" w:leftChars="0"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6）学生实习检查记录；</w:t>
      </w:r>
    </w:p>
    <w:p>
      <w:pPr>
        <w:pageBreakBefore w:val="0"/>
        <w:numPr>
          <w:ilvl w:val="0"/>
          <w:numId w:val="0"/>
        </w:numPr>
        <w:topLinePunct w:val="0"/>
        <w:bidi w:val="0"/>
        <w:spacing w:beforeLines="0" w:afterLines="0" w:line="360" w:lineRule="auto"/>
        <w:ind w:left="0" w:leftChars="0"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7）学生实习总结；</w:t>
      </w:r>
    </w:p>
    <w:p>
      <w:pPr>
        <w:pageBreakBefore w:val="0"/>
        <w:numPr>
          <w:ilvl w:val="0"/>
          <w:numId w:val="0"/>
        </w:numPr>
        <w:topLinePunct w:val="0"/>
        <w:bidi w:val="0"/>
        <w:spacing w:beforeLines="0" w:afterLines="0" w:line="360" w:lineRule="auto"/>
        <w:ind w:left="0" w:leftChars="0"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8）有关佐证材料（如照片、音视频等）。</w:t>
      </w:r>
    </w:p>
    <w:p>
      <w:pPr>
        <w:pageBreakBefore w:val="0"/>
        <w:topLinePunct w:val="0"/>
        <w:bidi w:val="0"/>
        <w:snapToGrid w:val="0"/>
        <w:spacing w:before="0" w:beforeLines="0" w:after="0" w:afterLines="0" w:line="360" w:lineRule="auto"/>
        <w:ind w:firstLine="0" w:firstLineChars="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三、岗位实习考核办法</w:t>
      </w:r>
    </w:p>
    <w:p>
      <w:pPr>
        <w:pageBreakBefore w:val="0"/>
        <w:numPr>
          <w:ilvl w:val="0"/>
          <w:numId w:val="0"/>
        </w:numPr>
        <w:topLinePunct w:val="0"/>
        <w:bidi w:val="0"/>
        <w:spacing w:beforeLines="0" w:afterLines="0" w:line="360" w:lineRule="auto"/>
        <w:ind w:left="0"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（一）考核原则</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1.共同考核原则。学生在岗位实习期间接受学校和企业的双重指导，实行校企共同考核，校企双方共同完成“岗位实习成绩评定表和岗位实习过程评价表”。</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2.过程考核原则。注重对学生实习过程的控制和考核。</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（二）岗位实习成绩组成</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学生岗位实习成绩由以下四部分组成。</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1.岗位实习周记的填写质量和师生的沟通情况占20%；</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2.岗位实习报告的质量占20%；</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3.岗位实习单位（基地）的实习评价占40%；</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4.岗位实习答辩占20%。</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（三）岗位实习成绩管理</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1.岗位实习期间，学生在多家实习单位（基地）实习的，一般需要提供所在实习单位（基地）的连续、完整的实习评价；不能提供岗实习评价的学生，实习评价成绩按0分计分。</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因学生个人原因被实习单位（基地）终止实习且造成恶劣影响者，学生无故不按时提交岗位实习报告、不参加岗位实习答辩者，学生参加岗位实习时间累计未达到学校规定时间的80%者，原则上不得参与岗位实习考核。</w:t>
      </w:r>
    </w:p>
    <w:p>
      <w:pPr>
        <w:pageBreakBefore w:val="0"/>
        <w:topLinePunct w:val="0"/>
        <w:bidi w:val="0"/>
        <w:snapToGrid w:val="0"/>
        <w:spacing w:beforeLines="0" w:afterLines="0" w:line="360" w:lineRule="auto"/>
        <w:ind w:firstLine="0" w:firstLineChars="0"/>
        <w:outlineLvl w:val="9"/>
        <w:rPr>
          <w:rFonts w:hint="eastAsia" w:ascii="仿宋_GB2312" w:hAnsi="仿宋_GB2312" w:eastAsia="仿宋_GB2312" w:cs="仿宋_GB2312"/>
          <w:kern w:val="2"/>
          <w:sz w:val="28"/>
          <w:szCs w:val="28"/>
          <w:highlight w:val="none"/>
          <w:lang w:val="en-US" w:eastAsia="zh-CN" w:bidi="ar-SA"/>
        </w:rPr>
      </w:pPr>
      <w:bookmarkStart w:id="394" w:name="_Toc295991951"/>
      <w:r>
        <w:rPr>
          <w:rFonts w:hint="eastAsia" w:ascii="仿宋_GB2312" w:hAnsi="仿宋_GB2312" w:eastAsia="仿宋_GB2312" w:cs="仿宋_GB2312"/>
          <w:kern w:val="2"/>
          <w:sz w:val="28"/>
          <w:szCs w:val="28"/>
          <w:highlight w:val="none"/>
          <w:lang w:val="en-US" w:eastAsia="zh-CN" w:bidi="ar-SA"/>
        </w:rPr>
        <w:t>四、二级学院工作职责</w:t>
      </w:r>
      <w:bookmarkEnd w:id="394"/>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（一）二级学院是岗位实习教学管理的主体，全面负责学生岗位实习的组织、实施和管理工作；</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（二）二级学院应联系实习单位，结合学生实习情况制定详细的岗位实习方案，方案须涵盖岗位要求、实习目标、实习内容、实习标准、具体时间安排、保障措施等几个部分，岗位实习方案须报教务处备案；</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（三）二级学院应确保学生岗位实习的内容与专业培养目标具有较强的关联性；</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（四）二级学院须安排专业指导教师对各阶段岗位实习学生进行实习指导及学业指导；</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（五）二级学院应负责各阶段岗位实习教学资料的编制和档案资料的积累、存档工作。</w:t>
      </w:r>
    </w:p>
    <w:p>
      <w:pPr>
        <w:pageBreakBefore w:val="0"/>
        <w:topLinePunct w:val="0"/>
        <w:bidi w:val="0"/>
        <w:snapToGrid w:val="0"/>
        <w:spacing w:before="0" w:beforeLines="0" w:after="0" w:afterLines="0" w:line="360" w:lineRule="auto"/>
        <w:ind w:firstLine="0" w:firstLineChars="0"/>
        <w:outlineLvl w:val="9"/>
        <w:rPr>
          <w:rFonts w:hint="eastAsia" w:ascii="仿宋_GB2312" w:hAnsi="仿宋_GB2312" w:eastAsia="仿宋_GB2312" w:cs="仿宋_GB2312"/>
          <w:kern w:val="2"/>
          <w:sz w:val="28"/>
          <w:szCs w:val="28"/>
          <w:highlight w:val="none"/>
          <w:lang w:val="en-US" w:eastAsia="zh-CN" w:bidi="ar-SA"/>
        </w:rPr>
      </w:pPr>
      <w:bookmarkStart w:id="395" w:name="_Toc295991952"/>
      <w:r>
        <w:rPr>
          <w:rFonts w:hint="eastAsia" w:ascii="仿宋_GB2312" w:hAnsi="仿宋_GB2312" w:eastAsia="仿宋_GB2312" w:cs="仿宋_GB2312"/>
          <w:kern w:val="2"/>
          <w:sz w:val="28"/>
          <w:szCs w:val="28"/>
          <w:highlight w:val="none"/>
          <w:lang w:val="en-US" w:eastAsia="zh-CN" w:bidi="ar-SA"/>
        </w:rPr>
        <w:t>五、指导教师工作职责</w:t>
      </w:r>
      <w:bookmarkEnd w:id="395"/>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指导教师包括校内指导教师和企业指导教师。校内指导教师应由具有一定实践教学能力、综合素质好的教师担任，原则上专业对口，具有中级及以上职称；企业指导教师应从责任心强、具有丰富实践经验的专业技术人员或能工巧匠中聘任。</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（一）校内指导教师职责</w:t>
      </w:r>
    </w:p>
    <w:p>
      <w:pPr>
        <w:pageBreakBefore w:val="0"/>
        <w:numPr>
          <w:ilvl w:val="0"/>
          <w:numId w:val="0"/>
        </w:numPr>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1. 指导教师在实习前应提前深入实习基地了解和熟悉情况。指导教师在指导实习期间不得擅自离开岗位从事其它工作，不得私自找人顶替，如遇特殊情况必须请假，经二级学院领导批准后，方可施行；</w:t>
      </w:r>
    </w:p>
    <w:p>
      <w:pPr>
        <w:pageBreakBefore w:val="0"/>
        <w:numPr>
          <w:ilvl w:val="0"/>
          <w:numId w:val="0"/>
        </w:numPr>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 对认识实习的学生进行全程跟踪和指导；对岗位实习的学生可采取定时、定点到企业现场指导与电话、电子邮件等线上指导相结合的方式；</w:t>
      </w:r>
    </w:p>
    <w:p>
      <w:pPr>
        <w:pageBreakBefore w:val="0"/>
        <w:numPr>
          <w:ilvl w:val="0"/>
          <w:numId w:val="0"/>
        </w:numPr>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 在学生岗位实习期间，须指导学生填写实习记录和撰写实习报告，指导学生整理、装订实习材料；</w:t>
      </w:r>
    </w:p>
    <w:p>
      <w:pPr>
        <w:pageBreakBefore w:val="0"/>
        <w:numPr>
          <w:ilvl w:val="0"/>
          <w:numId w:val="0"/>
        </w:numPr>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 负责学生实习考核和评定实习成绩，及时向学生传达学校有关学生管理方面的各种信息；</w:t>
      </w:r>
    </w:p>
    <w:p>
      <w:pPr>
        <w:pageBreakBefore w:val="0"/>
        <w:numPr>
          <w:ilvl w:val="0"/>
          <w:numId w:val="0"/>
        </w:numPr>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5. 掌握被指导学生在企业的实习状况等信息资料，并做好与学生联系指导的记录，负责对实习学生的信息汇总、统计和上报；</w:t>
      </w:r>
    </w:p>
    <w:p>
      <w:pPr>
        <w:pageBreakBefore w:val="0"/>
        <w:numPr>
          <w:ilvl w:val="0"/>
          <w:numId w:val="0"/>
        </w:numPr>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6. 协助实习基地指导教师对学生进行业务指导和组织管理，提醒学生遵守职业道德，帮助解决学生问题。每周至少与学生联系一次，在岗位实习学生相对比较集中的地区，要定期与实习基地指导教师、学生进行沟通、交流，掌握学生的思想和工作动态，及时向学校有关部门汇报学生实习情况；</w:t>
      </w:r>
    </w:p>
    <w:p>
      <w:pPr>
        <w:pageBreakBefore w:val="0"/>
        <w:numPr>
          <w:ilvl w:val="0"/>
          <w:numId w:val="0"/>
        </w:numPr>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7. 保持与学生家长的联系沟通，及时了解学生家长对其子女实习期间思想、工作、生活等情况的反映，努力争取学生家长对岗位实习工作的配合与支持；</w:t>
      </w:r>
    </w:p>
    <w:p>
      <w:pPr>
        <w:pageBreakBefore w:val="0"/>
        <w:numPr>
          <w:ilvl w:val="0"/>
          <w:numId w:val="0"/>
        </w:numPr>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8. 学生实习任务完成后，做好实习总结工作。</w:t>
      </w:r>
    </w:p>
    <w:p>
      <w:pPr>
        <w:pageBreakBefore w:val="0"/>
        <w:numPr>
          <w:ilvl w:val="0"/>
          <w:numId w:val="0"/>
        </w:numPr>
        <w:topLinePunct w:val="0"/>
        <w:bidi w:val="0"/>
        <w:spacing w:before="0" w:beforeLines="0" w:after="0" w:afterLines="0" w:line="360" w:lineRule="auto"/>
        <w:ind w:left="0"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（二）企业指导教师的职责</w:t>
      </w:r>
    </w:p>
    <w:p>
      <w:pPr>
        <w:pageBreakBefore w:val="0"/>
        <w:numPr>
          <w:ilvl w:val="0"/>
          <w:numId w:val="0"/>
        </w:numPr>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bookmarkStart w:id="396" w:name="_Toc295991953"/>
      <w:r>
        <w:rPr>
          <w:rFonts w:hint="eastAsia" w:ascii="仿宋_GB2312" w:hAnsi="仿宋_GB2312" w:eastAsia="仿宋_GB2312" w:cs="仿宋_GB2312"/>
          <w:kern w:val="2"/>
          <w:sz w:val="28"/>
          <w:szCs w:val="28"/>
          <w:highlight w:val="none"/>
          <w:lang w:val="en-US" w:eastAsia="zh-CN" w:bidi="ar-SA"/>
        </w:rPr>
        <w:t>1. 指导教师在实习前应提前了解指导学生的实习岗位情况，制定岗位实习计划；</w:t>
      </w:r>
    </w:p>
    <w:p>
      <w:pPr>
        <w:pageBreakBefore w:val="0"/>
        <w:numPr>
          <w:ilvl w:val="0"/>
          <w:numId w:val="0"/>
        </w:numPr>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2.学生岗位实习期间，负责对学生进行岗位实习内容相关的具体操作实习指导，包含安全生产方面的知识传授和指导；</w:t>
      </w:r>
    </w:p>
    <w:p>
      <w:pPr>
        <w:pageBreakBefore w:val="0"/>
        <w:numPr>
          <w:ilvl w:val="0"/>
          <w:numId w:val="0"/>
        </w:numPr>
        <w:topLinePunct w:val="0"/>
        <w:bidi w:val="0"/>
        <w:spacing w:beforeLines="0" w:afterLines="0" w:line="360" w:lineRule="auto"/>
        <w:ind w:firstLine="560" w:firstLineChars="20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3.学生岗位实习期间，需按照“学生毕业岗位实习过程评价表”的要求，对学生岗位实习过程中的理解能力、反应能力等8项指标进行评价；</w:t>
      </w:r>
    </w:p>
    <w:p>
      <w:pPr>
        <w:pageBreakBefore w:val="0"/>
        <w:numPr>
          <w:ilvl w:val="0"/>
          <w:numId w:val="0"/>
        </w:numPr>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4.协助校内指导教师做好学生本岗位职业道德修养的宣教，就学生岗位实习情况进行沟通、交流，掌握学生的思想和工作动态，及时向学校有关部门汇报学生实习情况；</w:t>
      </w:r>
    </w:p>
    <w:p>
      <w:pPr>
        <w:pageBreakBefore w:val="0"/>
        <w:topLinePunct w:val="0"/>
        <w:bidi w:val="0"/>
        <w:spacing w:beforeLines="0" w:afterLines="0" w:line="360" w:lineRule="auto"/>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六、岗位实习学生的</w:t>
      </w:r>
      <w:bookmarkEnd w:id="396"/>
      <w:r>
        <w:rPr>
          <w:rFonts w:hint="eastAsia" w:ascii="仿宋_GB2312" w:hAnsi="仿宋_GB2312" w:eastAsia="仿宋_GB2312" w:cs="仿宋_GB2312"/>
          <w:kern w:val="2"/>
          <w:sz w:val="28"/>
          <w:szCs w:val="28"/>
          <w:highlight w:val="none"/>
          <w:lang w:val="en-US" w:eastAsia="zh-CN" w:bidi="ar-SA"/>
        </w:rPr>
        <w:t>要求</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（一）在岗位实习前，学生应认真阅读岗位实习管理规定并按照规定办理岗位实习的有关手续；</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（二）学生需签订岗位实习承诺书、三方协议；</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三）岗位实习是学校正常教学任务，成绩不合格属未完成规定学业，学生中途有特殊原因申请调整岗位或实习基地，须征得学校同意，并到所属二级学院办理相关手续，学生擅自离开实习单位（基地）的，按照旷课处理；</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四）岗位实习期间，学生须接受岗位实习单位（基地）的管理，按实习基地的考勤要求管理；学生应该严格遵守学校和实习基单位（基地）的各项规章制度，特殊情况请假时应征得单位（基地）的同意，并及时向学校指导教师报告，不得从事或参与有损大学生形象、有损学校和企业声誉、有损社会公德的活动；</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（五）学生根据实习安排和岗位特点，安排好自己的学习、工作和生活，按时按质完成各项实习任务；</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（六）学生要结合实习岗位的实际经验，在实习过程中独立完成岗位实习报告的撰写工作，并接受实习单位（基地）指导教师和学校指导教师的双重指导；</w:t>
      </w:r>
    </w:p>
    <w:p>
      <w:pPr>
        <w:pageBreakBefore w:val="0"/>
        <w:topLinePunct w:val="0"/>
        <w:bidi w:val="0"/>
        <w:spacing w:beforeLines="0" w:afterLines="0" w:line="360" w:lineRule="auto"/>
        <w:ind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（七）实习期间，学生还需参加学校组织的技能鉴定以及相关课程的考核。</w:t>
      </w:r>
    </w:p>
    <w:p>
      <w:pPr>
        <w:pageBreakBefore w:val="0"/>
        <w:widowControl/>
        <w:numPr>
          <w:ilvl w:val="0"/>
          <w:numId w:val="0"/>
        </w:numPr>
        <w:topLinePunct w:val="0"/>
        <w:bidi w:val="0"/>
        <w:snapToGrid w:val="0"/>
        <w:spacing w:before="0" w:beforeLines="0" w:after="0" w:afterLines="0" w:line="360" w:lineRule="auto"/>
        <w:ind w:left="0" w:firstLine="0" w:firstLineChars="0"/>
        <w:jc w:val="left"/>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七、附则</w:t>
      </w:r>
    </w:p>
    <w:p>
      <w:pPr>
        <w:pageBreakBefore w:val="0"/>
        <w:numPr>
          <w:ilvl w:val="0"/>
          <w:numId w:val="0"/>
        </w:numPr>
        <w:topLinePunct w:val="0"/>
        <w:bidi w:val="0"/>
        <w:spacing w:beforeLines="0" w:afterLines="0" w:line="360" w:lineRule="auto"/>
        <w:ind w:left="0" w:firstLine="560" w:firstLineChars="200"/>
        <w:outlineLvl w:val="9"/>
        <w:rPr>
          <w:rFonts w:hint="eastAsia" w:ascii="仿宋_GB2312" w:hAnsi="仿宋_GB2312" w:eastAsia="仿宋_GB2312" w:cs="仿宋_GB2312"/>
          <w:kern w:val="2"/>
          <w:sz w:val="28"/>
          <w:szCs w:val="28"/>
          <w:highlight w:val="none"/>
          <w:lang w:val="en-US" w:eastAsia="zh-CN" w:bidi="ar-SA"/>
        </w:rPr>
      </w:pPr>
      <w:r>
        <w:rPr>
          <w:rFonts w:hint="eastAsia" w:ascii="仿宋_GB2312" w:hAnsi="仿宋_GB2312" w:eastAsia="仿宋_GB2312" w:cs="仿宋_GB2312"/>
          <w:kern w:val="2"/>
          <w:sz w:val="28"/>
          <w:szCs w:val="28"/>
          <w:highlight w:val="none"/>
          <w:lang w:val="en-US" w:eastAsia="zh-CN" w:bidi="ar-SA"/>
        </w:rPr>
        <w:t>本管理规定由教务处负责解释。</w:t>
      </w:r>
    </w:p>
    <w:p>
      <w:pPr>
        <w:pageBreakBefore w:val="0"/>
        <w:numPr>
          <w:ilvl w:val="0"/>
          <w:numId w:val="0"/>
        </w:numPr>
        <w:topLinePunct w:val="0"/>
        <w:bidi w:val="0"/>
        <w:spacing w:beforeLines="0" w:afterLines="0" w:line="360" w:lineRule="auto"/>
        <w:ind w:left="0" w:firstLine="640" w:firstLineChars="200"/>
        <w:outlineLvl w:val="9"/>
        <w:rPr>
          <w:rFonts w:hint="eastAsia" w:ascii="方正仿宋_GB2312" w:hAnsi="方正仿宋_GB2312" w:eastAsia="方正仿宋_GB2312" w:cs="方正仿宋_GB2312"/>
          <w:color w:val="000000"/>
          <w:sz w:val="32"/>
          <w:szCs w:val="32"/>
          <w:lang w:val="en-US" w:eastAsia="zh-CN"/>
        </w:rPr>
      </w:pPr>
    </w:p>
    <w:p>
      <w:pPr>
        <w:pageBreakBefore w:val="0"/>
        <w:numPr>
          <w:ilvl w:val="0"/>
          <w:numId w:val="0"/>
        </w:numPr>
        <w:topLinePunct w:val="0"/>
        <w:bidi w:val="0"/>
        <w:spacing w:beforeLines="0" w:afterLines="0" w:line="360" w:lineRule="auto"/>
        <w:ind w:left="0" w:firstLine="640" w:firstLineChars="200"/>
        <w:outlineLvl w:val="9"/>
        <w:rPr>
          <w:rFonts w:hint="eastAsia" w:ascii="方正仿宋_GB2312" w:hAnsi="方正仿宋_GB2312" w:eastAsia="方正仿宋_GB2312" w:cs="方正仿宋_GB2312"/>
          <w:color w:val="000000"/>
          <w:sz w:val="32"/>
          <w:szCs w:val="32"/>
          <w:lang w:val="en-US" w:eastAsia="zh-CN"/>
        </w:rPr>
      </w:pPr>
    </w:p>
    <w:p>
      <w:pPr>
        <w:pageBreakBefore w:val="0"/>
        <w:numPr>
          <w:ilvl w:val="0"/>
          <w:numId w:val="0"/>
        </w:numPr>
        <w:topLinePunct w:val="0"/>
        <w:bidi w:val="0"/>
        <w:spacing w:beforeLines="0" w:afterLines="0" w:line="360" w:lineRule="auto"/>
        <w:ind w:left="0" w:firstLine="640" w:firstLineChars="200"/>
        <w:outlineLvl w:val="9"/>
        <w:rPr>
          <w:rFonts w:hint="eastAsia" w:ascii="方正仿宋_GB2312" w:hAnsi="方正仿宋_GB2312" w:eastAsia="方正仿宋_GB2312" w:cs="方正仿宋_GB2312"/>
          <w:color w:val="000000"/>
          <w:sz w:val="32"/>
          <w:szCs w:val="32"/>
          <w:lang w:val="en-US" w:eastAsia="zh-CN"/>
        </w:rPr>
      </w:pPr>
    </w:p>
    <w:sectPr>
      <w:headerReference r:id="rId6" w:type="default"/>
      <w:footerReference r:id="rId7"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56D9D7FE-B181-4849-A25A-24E02AC59B05}"/>
  </w:font>
  <w:font w:name="宋体">
    <w:panose1 w:val="02010600030101010101"/>
    <w:charset w:val="86"/>
    <w:family w:val="auto"/>
    <w:pitch w:val="default"/>
    <w:sig w:usb0="00000003" w:usb1="288F0000" w:usb2="00000006" w:usb3="00000000" w:csb0="00040001" w:csb1="00000000"/>
    <w:embedRegular r:id="rId2" w:fontKey="{286D7D4C-DFC3-4531-871B-10FC709C76A2}"/>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3" w:fontKey="{A78FD41F-4C13-49B0-8019-EF0A378D6270}"/>
  </w:font>
  <w:font w:name="黑体">
    <w:panose1 w:val="02010609060101010101"/>
    <w:charset w:val="86"/>
    <w:family w:val="auto"/>
    <w:pitch w:val="default"/>
    <w:sig w:usb0="800002BF" w:usb1="38CF7CFA" w:usb2="00000016" w:usb3="00000000" w:csb0="00040001" w:csb1="00000000"/>
    <w:embedRegular r:id="rId4" w:fontKey="{EC989667-3563-4067-B10B-7570C31530C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5" w:fontKey="{5BBDE86F-1C75-4C9E-B270-78C0517043FC}"/>
  </w:font>
  <w:font w:name="Calibri">
    <w:panose1 w:val="020F0502020204030204"/>
    <w:charset w:val="00"/>
    <w:family w:val="swiss"/>
    <w:pitch w:val="default"/>
    <w:sig w:usb0="E4002EFF" w:usb1="C000247B" w:usb2="00000009" w:usb3="00000000" w:csb0="200001FF" w:csb1="00000000"/>
    <w:embedRegular r:id="rId6" w:fontKey="{763B5713-4318-41BE-8F6B-8B3DFCF168FF}"/>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7" w:fontKey="{DF216FBE-0D25-40E5-A7B7-5827E2EA8E6C}"/>
  </w:font>
  <w:font w:name="仿宋">
    <w:panose1 w:val="02010609060101010101"/>
    <w:charset w:val="86"/>
    <w:family w:val="modern"/>
    <w:pitch w:val="default"/>
    <w:sig w:usb0="800002BF" w:usb1="38CF7CFA" w:usb2="00000016" w:usb3="00000000" w:csb0="00040001" w:csb1="00000000"/>
    <w:embedRegular r:id="rId8" w:fontKey="{BCA3A41B-5703-47B2-96E4-D3C863E1EAC5}"/>
  </w:font>
  <w:font w:name="Arial Unicode MS">
    <w:panose1 w:val="020B0604020202020204"/>
    <w:charset w:val="86"/>
    <w:family w:val="swiss"/>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embedRegular r:id="rId9" w:fontKey="{D68A2884-4BDE-4D29-89A9-E30C4058043C}"/>
  </w:font>
  <w:font w:name="TimesNewRomanPSMT">
    <w:altName w:val="Times New Roman"/>
    <w:panose1 w:val="00000000000000000000"/>
    <w:charset w:val="00"/>
    <w:family w:val="roman"/>
    <w:pitch w:val="default"/>
    <w:sig w:usb0="00000000" w:usb1="00000000" w:usb2="00000000" w:usb3="00000000" w:csb0="00040001" w:csb1="00000000"/>
  </w:font>
  <w:font w:name="方正公文仿宋">
    <w:panose1 w:val="02000500000000000000"/>
    <w:charset w:val="86"/>
    <w:family w:val="auto"/>
    <w:pitch w:val="default"/>
    <w:sig w:usb0="A00002BF" w:usb1="38CF7CFA" w:usb2="00000016" w:usb3="00000000" w:csb0="00040001" w:csb1="00000000"/>
    <w:embedRegular r:id="rId10" w:fontKey="{D07EF71C-F3AC-4087-9745-63E454E241C9}"/>
  </w:font>
  <w:font w:name="方正小标宋简体">
    <w:panose1 w:val="02000000000000000000"/>
    <w:charset w:val="86"/>
    <w:family w:val="auto"/>
    <w:pitch w:val="default"/>
    <w:sig w:usb0="00000001" w:usb1="08000000" w:usb2="00000000" w:usb3="00000000" w:csb0="00040000" w:csb1="00000000"/>
    <w:embedRegular r:id="rId11" w:fontKey="{CC2E7C98-7452-4AF5-A3FD-779F83F50A14}"/>
  </w:font>
  <w:font w:name="华文仿宋">
    <w:panose1 w:val="02010600040101010101"/>
    <w:charset w:val="86"/>
    <w:family w:val="auto"/>
    <w:pitch w:val="default"/>
    <w:sig w:usb0="00000287" w:usb1="080F0000" w:usb2="00000000" w:usb3="00000000" w:csb0="0004009F" w:csb1="DFD70000"/>
    <w:embedRegular r:id="rId12" w:fontKey="{CB114012-3090-4EC8-9821-FDF10B9E7F22}"/>
  </w:font>
  <w:font w:name="方正舒体">
    <w:panose1 w:val="02010601030101010101"/>
    <w:charset w:val="86"/>
    <w:family w:val="auto"/>
    <w:pitch w:val="default"/>
    <w:sig w:usb0="00000003" w:usb1="080E0000" w:usb2="00000000" w:usb3="00000000" w:csb0="00040000" w:csb1="00000000"/>
    <w:embedRegular r:id="rId13" w:fontKey="{98AB922A-E5E3-4533-8B61-D2D84D665CAB}"/>
  </w:font>
  <w:font w:name="隶书">
    <w:panose1 w:val="02010509060101010101"/>
    <w:charset w:val="86"/>
    <w:family w:val="modern"/>
    <w:pitch w:val="default"/>
    <w:sig w:usb0="00000001" w:usb1="080E0000" w:usb2="00000000" w:usb3="00000000" w:csb0="00040000" w:csb1="00000000"/>
    <w:embedRegular r:id="rId14" w:fontKey="{95FCE207-5E8B-4FED-95AD-11F9751154DC}"/>
  </w:font>
  <w:font w:name="华文楷体">
    <w:panose1 w:val="02010600040101010101"/>
    <w:charset w:val="86"/>
    <w:family w:val="auto"/>
    <w:pitch w:val="default"/>
    <w:sig w:usb0="00000287" w:usb1="080F0000" w:usb2="00000000" w:usb3="00000000" w:csb0="0004009F" w:csb1="DFD70000"/>
    <w:embedRegular r:id="rId15" w:fontKey="{45900C4E-BF01-4E08-BD92-7A7B0E3707DE}"/>
  </w:font>
  <w:font w:name="TTEditFont">
    <w:altName w:val="Yu Gothic"/>
    <w:panose1 w:val="00000000000000000000"/>
    <w:charset w:val="80"/>
    <w:family w:val="auto"/>
    <w:pitch w:val="default"/>
    <w:sig w:usb0="00000000" w:usb1="00000000" w:usb2="00000010" w:usb3="00000000" w:csb0="0002009F" w:csb1="00000000"/>
    <w:embedRegular r:id="rId16" w:fontKey="{1C888CC2-1EB6-4BC3-93D5-819A61A9B076}"/>
  </w:font>
  <w:font w:name="Yu Gothic">
    <w:panose1 w:val="020B0400000000000000"/>
    <w:charset w:val="80"/>
    <w:family w:val="auto"/>
    <w:pitch w:val="default"/>
    <w:sig w:usb0="E00002FF" w:usb1="2AC7FDFF" w:usb2="00000016" w:usb3="00000000" w:csb0="2002009F" w:csb1="00000000"/>
  </w:font>
  <w:font w:name="微软雅黑">
    <w:panose1 w:val="020B0503020204020204"/>
    <w:charset w:val="86"/>
    <w:family w:val="swiss"/>
    <w:pitch w:val="default"/>
    <w:sig w:usb0="80000287" w:usb1="2ACF3C50" w:usb2="00000016" w:usb3="00000000" w:csb0="0004001F" w:csb1="00000000"/>
    <w:embedRegular r:id="rId17" w:fontKey="{EF61AAF0-546E-49A3-89DE-50EB178D9AB2}"/>
  </w:font>
  <w:font w:name="Rockwell">
    <w:panose1 w:val="02060603020205020403"/>
    <w:charset w:val="00"/>
    <w:family w:val="roman"/>
    <w:pitch w:val="default"/>
    <w:sig w:usb0="00000003" w:usb1="00000000" w:usb2="00000000" w:usb3="00000000" w:csb0="20000001" w:csb1="00000000"/>
    <w:embedRegular r:id="rId18" w:fontKey="{1D19AFAA-37B6-419D-AD9B-42092D2BB7E6}"/>
  </w:font>
  <w:font w:name="方正仿宋_GB2312">
    <w:panose1 w:val="02000000000000000000"/>
    <w:charset w:val="86"/>
    <w:family w:val="auto"/>
    <w:pitch w:val="default"/>
    <w:sig w:usb0="A00002BF" w:usb1="184F6CFA" w:usb2="00000012" w:usb3="00000000" w:csb0="00040001" w:csb1="00000000"/>
    <w:embedRegular r:id="rId19" w:fontKey="{1033BE6A-7F11-4B87-8C76-814BC521C8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jc w:val="both"/>
    </w:pPr>
    <w:r>
      <w:drawing>
        <wp:anchor distT="0" distB="0" distL="114300" distR="114300" simplePos="0" relativeHeight="251664384" behindDoc="0" locked="0" layoutInCell="1" allowOverlap="1">
          <wp:simplePos x="0" y="0"/>
          <wp:positionH relativeFrom="column">
            <wp:posOffset>-464185</wp:posOffset>
          </wp:positionH>
          <wp:positionV relativeFrom="paragraph">
            <wp:posOffset>-146685</wp:posOffset>
          </wp:positionV>
          <wp:extent cx="2085975" cy="290195"/>
          <wp:effectExtent l="0" t="0" r="9525" b="1905"/>
          <wp:wrapNone/>
          <wp:docPr id="1" name="图片 1" descr="45ace7f6013dec47b25fc8b5a79b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5ace7f6013dec47b25fc8b5a79b264"/>
                  <pic:cNvPicPr>
                    <a:picLocks noChangeAspect="1"/>
                  </pic:cNvPicPr>
                </pic:nvPicPr>
                <pic:blipFill>
                  <a:blip r:embed="rId1"/>
                  <a:stretch>
                    <a:fillRect/>
                  </a:stretch>
                </pic:blipFill>
                <pic:spPr>
                  <a:xfrm>
                    <a:off x="0" y="0"/>
                    <a:ext cx="2085975" cy="290195"/>
                  </a:xfrm>
                  <a:prstGeom prst="rect">
                    <a:avLst/>
                  </a:prstGeom>
                </pic:spPr>
              </pic:pic>
            </a:graphicData>
          </a:graphic>
        </wp:anchor>
      </w:drawing>
    </w:r>
    <w:r>
      <mc:AlternateContent>
        <mc:Choice Requires="wps">
          <w:drawing>
            <wp:anchor distT="0" distB="0" distL="114300" distR="114300" simplePos="0" relativeHeight="251663360" behindDoc="0" locked="0" layoutInCell="1" allowOverlap="1">
              <wp:simplePos x="0" y="0"/>
              <wp:positionH relativeFrom="column">
                <wp:posOffset>4067810</wp:posOffset>
              </wp:positionH>
              <wp:positionV relativeFrom="paragraph">
                <wp:posOffset>-66675</wp:posOffset>
              </wp:positionV>
              <wp:extent cx="2176145" cy="427355"/>
              <wp:effectExtent l="0" t="0" r="0" b="0"/>
              <wp:wrapNone/>
              <wp:docPr id="2" name="文本框 4"/>
              <wp:cNvGraphicFramePr/>
              <a:graphic xmlns:a="http://schemas.openxmlformats.org/drawingml/2006/main">
                <a:graphicData uri="http://schemas.microsoft.com/office/word/2010/wordprocessingShape">
                  <wps:wsp>
                    <wps:cNvSpPr txBox="1"/>
                    <wps:spPr>
                      <a:xfrm>
                        <a:off x="0" y="0"/>
                        <a:ext cx="2176145" cy="427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01" w:firstLineChars="21"/>
                            <w:rPr>
                              <w:b/>
                              <w:bCs/>
                              <w:sz w:val="48"/>
                              <w:szCs w:val="5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320.3pt;margin-top:-5.25pt;height:33.65pt;width:171.35pt;z-index:251663360;mso-width-relative:page;mso-height-relative:page;" filled="f" stroked="f" coordsize="21600,21600" o:gfxdata="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HMfAg2wAAAAoBAAAPAAAAAAAAAAEAIAAAACIAAABk&#10;cnMvZG93bnJldi54bWxQSwECFAAUAAAACACHTuJAkDDnJTwCAABmBAAADgAAAAAAAAABACAAAAAq&#10;AQAAZHJzL2Uyb0RvYy54bWxQSwUGAAAAAAYABgBZAQAA2AUAAAAA&#10;">
              <v:fill on="f" focussize="0,0"/>
              <v:stroke on="f" weight="0.5pt"/>
              <v:imagedata o:title=""/>
              <o:lock v:ext="edit" aspectratio="f"/>
              <v:textbox>
                <w:txbxContent>
                  <w:p>
                    <w:pPr>
                      <w:ind w:firstLine="101" w:firstLineChars="21"/>
                      <w:rPr>
                        <w:b/>
                        <w:bCs/>
                        <w:sz w:val="48"/>
                        <w:szCs w:val="56"/>
                      </w:rPr>
                    </w:pPr>
                  </w:p>
                </w:txbxContent>
              </v:textbox>
            </v:shape>
          </w:pict>
        </mc:Fallback>
      </mc:AlternateContent>
    </w:r>
    <w:r>
      <mc:AlternateContent>
        <mc:Choice Requires="wpg">
          <w:drawing>
            <wp:anchor distT="0" distB="0" distL="114300" distR="114300" simplePos="0" relativeHeight="251662336" behindDoc="0" locked="0" layoutInCell="1" allowOverlap="1">
              <wp:simplePos x="0" y="0"/>
              <wp:positionH relativeFrom="page">
                <wp:align>left</wp:align>
              </wp:positionH>
              <wp:positionV relativeFrom="page">
                <wp:align>top</wp:align>
              </wp:positionV>
              <wp:extent cx="2765425" cy="895985"/>
              <wp:effectExtent l="0" t="0" r="3175" b="5715"/>
              <wp:wrapNone/>
              <wp:docPr id="3" name="组合 3"/>
              <wp:cNvGraphicFramePr/>
              <a:graphic xmlns:a="http://schemas.openxmlformats.org/drawingml/2006/main">
                <a:graphicData uri="http://schemas.microsoft.com/office/word/2010/wordprocessingGroup">
                  <wpg:wgp>
                    <wpg:cNvGrpSpPr/>
                    <wpg:grpSpPr>
                      <a:xfrm>
                        <a:off x="0" y="0"/>
                        <a:ext cx="2765425" cy="895985"/>
                        <a:chOff x="3903" y="303"/>
                        <a:chExt cx="4355" cy="1411"/>
                      </a:xfrm>
                    </wpg:grpSpPr>
                    <wps:wsp>
                      <wps:cNvPr id="4" name="矩形 1"/>
                      <wps:cNvSpPr/>
                      <wps:spPr>
                        <a:xfrm>
                          <a:off x="3903" y="303"/>
                          <a:ext cx="857" cy="1411"/>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 name="矩形 2"/>
                      <wps:cNvSpPr/>
                      <wps:spPr>
                        <a:xfrm>
                          <a:off x="4328" y="628"/>
                          <a:ext cx="3930" cy="184"/>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height:70.55pt;width:217.75pt;mso-position-horizontal:left;mso-position-horizontal-relative:page;mso-position-vertical:top;mso-position-vertical-relative:page;z-index:251662336;mso-width-relative:page;mso-height-relative:page;" coordorigin="3903,303" coordsize="4355,1411" o:gfxdata="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CvLvOZ1QAA&#10;AAUBAAAPAAAAAAAAAAEAIAAAACIAAABkcnMvZG93bnJldi54bWxQSwECFAAUAAAACACHTuJAI0gf&#10;gD4DAAApCQAADgAAAAAAAAABACAAAAAkAQAAZHJzL2Uyb0RvYy54bWxQSwUGAAAAAAYABgBZAQAA&#10;1AYAAAAA&#10;">
              <o:lock v:ext="edit" aspectratio="f"/>
              <v:rect id="矩形 1" o:spid="_x0000_s1026" o:spt="1" style="position:absolute;left:3903;top:303;height:1411;width:857;v-text-anchor:middle;" fillcolor="#558ED5 [1951]" filled="t" stroked="f" coordsize="21600,21600" o:gfxdata="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c16S8AAAA&#10;2gAAAA8AAAAAAAAAAQAgAAAAIgAAAGRycy9kb3ducmV2LnhtbFBLAQIUABQAAAAIAIdO4kAzLwWe&#10;OwAAADkAAAAQAAAAAAAAAAEAIAAAAAsBAABkcnMvc2hhcGV4bWwueG1sUEsFBgAAAAAGAAYAWwEA&#10;ALUDAAAAAA==&#10;">
                <v:fill on="t" focussize="0,0"/>
                <v:stroke on="f" weight="2pt"/>
                <v:imagedata o:title=""/>
                <o:lock v:ext="edit" aspectratio="f"/>
              </v:rect>
              <v:rect id="矩形 2" o:spid="_x0000_s1026" o:spt="1" style="position:absolute;left:4328;top:628;height:184;width:3930;v-text-anchor:middle;" fillcolor="#8EB4E3 [1311]" filled="t" stroked="f" coordsize="21600,21600" o:gfxdata="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HQFGW5AAAA2gAA&#10;AA8AAAAAAAAAAQAgAAAAIgAAAGRycy9kb3ducmV2LnhtbFBLAQIUABQAAAAIAIdO4kAzLwWeOwAA&#10;ADkAAAAQAAAAAAAAAAEAIAAAAAgBAABkcnMvc2hhcGV4bWwueG1sUEsFBgAAAAAGAAYAWwEAALID&#10;AAAAAA==&#10;">
                <v:fill on="t" focussize="0,0"/>
                <v:stroke on="f" weight="2pt"/>
                <v:imagedata o:title=""/>
                <o:lock v:ext="edit" aspectratio="f"/>
              </v:rect>
            </v:group>
          </w:pict>
        </mc:Fallback>
      </mc:AlternateContent>
    </w:r>
    <w:r>
      <mc:AlternateContent>
        <mc:Choice Requires="wps">
          <w:drawing>
            <wp:anchor distT="0" distB="0" distL="114300" distR="114300" simplePos="0" relativeHeight="251661312" behindDoc="0" locked="0" layoutInCell="1" allowOverlap="1">
              <wp:simplePos x="0" y="0"/>
              <wp:positionH relativeFrom="rightMargin">
                <wp:align>right</wp:align>
              </wp:positionH>
              <wp:positionV relativeFrom="page">
                <wp:align>top</wp:align>
              </wp:positionV>
              <wp:extent cx="160655" cy="895985"/>
              <wp:effectExtent l="0" t="0" r="4445" b="5715"/>
              <wp:wrapNone/>
              <wp:docPr id="7" name="矩形 7"/>
              <wp:cNvGraphicFramePr/>
              <a:graphic xmlns:a="http://schemas.openxmlformats.org/drawingml/2006/main">
                <a:graphicData uri="http://schemas.microsoft.com/office/word/2010/wordprocessingShape">
                  <wps:wsp>
                    <wps:cNvSpPr/>
                    <wps:spPr>
                      <a:xfrm>
                        <a:off x="0" y="0"/>
                        <a:ext cx="160655" cy="89598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2.3pt;margin-top:0pt;height:70.55pt;width:12.65pt;mso-position-horizontal-relative:page;mso-position-vertical-relative:page;z-index:251661312;v-text-anchor:middle;mso-width-relative:page;mso-height-relative:page;" fillcolor="#558ED5 [1951]" filled="t" stroked="f" coordsize="21600,21600" o:gfxdata="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k0oUtQAAAAEAQAADwAAAAAAAAABACAAAAAi&#10;AAAAZHJzL2Rvd25yZXYueG1sUEsBAhQAFAAAAAgAh07iQLTtkwyAAgAA9wQAAA4AAAAAAAAAAQAg&#10;AAAAIwEAAGRycy9lMm9Eb2MueG1sUEsFBgAAAAAGAAYAWQEAABUGAAAAAA==&#10;">
              <v:fill on="t" focussize="0,0"/>
              <v:stroke on="f" weight="2pt"/>
              <v:imagedata o:title=""/>
              <o:lock v:ext="edit" aspectratio="f"/>
              <v:textbox>
                <w:txbxContent>
                  <w:p>
                    <w:pPr>
                      <w:jc w:val="center"/>
                    </w:pP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jc w:val="both"/>
    </w:pPr>
    <w:r>
      <w:drawing>
        <wp:anchor distT="0" distB="0" distL="114300" distR="114300" simplePos="0" relativeHeight="251663360" behindDoc="0" locked="0" layoutInCell="1" allowOverlap="1">
          <wp:simplePos x="0" y="0"/>
          <wp:positionH relativeFrom="column">
            <wp:posOffset>-464185</wp:posOffset>
          </wp:positionH>
          <wp:positionV relativeFrom="paragraph">
            <wp:posOffset>-146685</wp:posOffset>
          </wp:positionV>
          <wp:extent cx="2085975" cy="290195"/>
          <wp:effectExtent l="0" t="0" r="9525" b="1905"/>
          <wp:wrapNone/>
          <wp:docPr id="9" name="图片 9" descr="45ace7f6013dec47b25fc8b5a79b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5ace7f6013dec47b25fc8b5a79b264"/>
                  <pic:cNvPicPr>
                    <a:picLocks noChangeAspect="1"/>
                  </pic:cNvPicPr>
                </pic:nvPicPr>
                <pic:blipFill>
                  <a:blip r:embed="rId1"/>
                  <a:stretch>
                    <a:fillRect/>
                  </a:stretch>
                </pic:blipFill>
                <pic:spPr>
                  <a:xfrm>
                    <a:off x="0" y="0"/>
                    <a:ext cx="2085975" cy="290195"/>
                  </a:xfrm>
                  <a:prstGeom prst="rect">
                    <a:avLst/>
                  </a:prstGeom>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column">
                <wp:posOffset>4067810</wp:posOffset>
              </wp:positionH>
              <wp:positionV relativeFrom="paragraph">
                <wp:posOffset>-66675</wp:posOffset>
              </wp:positionV>
              <wp:extent cx="2176145" cy="427355"/>
              <wp:effectExtent l="0" t="0" r="0" b="0"/>
              <wp:wrapNone/>
              <wp:docPr id="14" name="文本框 4"/>
              <wp:cNvGraphicFramePr/>
              <a:graphic xmlns:a="http://schemas.openxmlformats.org/drawingml/2006/main">
                <a:graphicData uri="http://schemas.microsoft.com/office/word/2010/wordprocessingShape">
                  <wps:wsp>
                    <wps:cNvSpPr txBox="1"/>
                    <wps:spPr>
                      <a:xfrm>
                        <a:off x="0" y="0"/>
                        <a:ext cx="2176145" cy="427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101" w:firstLineChars="21"/>
                            <w:rPr>
                              <w:b/>
                              <w:bCs/>
                              <w:sz w:val="48"/>
                              <w:szCs w:val="5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320.3pt;margin-top:-5.25pt;height:33.65pt;width:171.35pt;z-index:251662336;mso-width-relative:page;mso-height-relative:page;" filled="f" stroked="f" coordsize="21600,21600" o:gfxdata="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HMfAg2wAAAAoBAAAPAAAAAAAAAAEAIAAAACIAAABk&#10;cnMvZG93bnJldi54bWxQSwECFAAUAAAACACHTuJAdyehkzwCAABnBAAADgAAAAAAAAABACAAAAAq&#10;AQAAZHJzL2Uyb0RvYy54bWxQSwUGAAAAAAYABgBZAQAA2AUAAAAA&#10;">
              <v:fill on="f" focussize="0,0"/>
              <v:stroke on="f" weight="0.5pt"/>
              <v:imagedata o:title=""/>
              <o:lock v:ext="edit" aspectratio="f"/>
              <v:textbox>
                <w:txbxContent>
                  <w:p>
                    <w:pPr>
                      <w:ind w:firstLine="101" w:firstLineChars="21"/>
                      <w:rPr>
                        <w:b/>
                        <w:bCs/>
                        <w:sz w:val="48"/>
                        <w:szCs w:val="56"/>
                      </w:rPr>
                    </w:pPr>
                  </w:p>
                </w:txbxContent>
              </v:textbox>
            </v:shape>
          </w:pict>
        </mc:Fallback>
      </mc:AlternateContent>
    </w:r>
    <w:r>
      <mc:AlternateContent>
        <mc:Choice Requires="wpg">
          <w:drawing>
            <wp:anchor distT="0" distB="0" distL="114300" distR="114300" simplePos="0" relativeHeight="251661312" behindDoc="0" locked="0" layoutInCell="1" allowOverlap="1">
              <wp:simplePos x="0" y="0"/>
              <wp:positionH relativeFrom="page">
                <wp:align>left</wp:align>
              </wp:positionH>
              <wp:positionV relativeFrom="page">
                <wp:align>top</wp:align>
              </wp:positionV>
              <wp:extent cx="2765425" cy="895985"/>
              <wp:effectExtent l="0" t="0" r="3175" b="5715"/>
              <wp:wrapNone/>
              <wp:docPr id="15" name="组合 15"/>
              <wp:cNvGraphicFramePr/>
              <a:graphic xmlns:a="http://schemas.openxmlformats.org/drawingml/2006/main">
                <a:graphicData uri="http://schemas.microsoft.com/office/word/2010/wordprocessingGroup">
                  <wpg:wgp>
                    <wpg:cNvGrpSpPr/>
                    <wpg:grpSpPr>
                      <a:xfrm>
                        <a:off x="0" y="0"/>
                        <a:ext cx="2765425" cy="895985"/>
                        <a:chOff x="3903" y="303"/>
                        <a:chExt cx="4355" cy="1411"/>
                      </a:xfrm>
                    </wpg:grpSpPr>
                    <wps:wsp>
                      <wps:cNvPr id="16" name="矩形 1"/>
                      <wps:cNvSpPr/>
                      <wps:spPr>
                        <a:xfrm>
                          <a:off x="3903" y="303"/>
                          <a:ext cx="857" cy="1411"/>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2"/>
                      <wps:cNvSpPr/>
                      <wps:spPr>
                        <a:xfrm>
                          <a:off x="4328" y="628"/>
                          <a:ext cx="3930" cy="184"/>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height:70.55pt;width:217.75pt;mso-position-horizontal:left;mso-position-horizontal-relative:page;mso-position-vertical:top;mso-position-vertical-relative:page;z-index:251661312;mso-width-relative:page;mso-height-relative:page;" coordorigin="3903,303" coordsize="4355,1411" o:gfxdata="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ry7zmdUA&#10;AAAFAQAADwAAAAAAAAABACAAAAAiAAAAZHJzL2Rvd25yZXYueG1sUEsBAhQAFAAAAAgAh07iQAwp&#10;7FA/AwAALQkAAA4AAAAAAAAAAQAgAAAAJAEAAGRycy9lMm9Eb2MueG1sUEsFBgAAAAAGAAYAWQEA&#10;ANUGAAAAAA==&#10;">
              <o:lock v:ext="edit" aspectratio="f"/>
              <v:rect id="矩形 1" o:spid="_x0000_s1026" o:spt="1" style="position:absolute;left:3903;top:303;height:1411;width:857;v-text-anchor:middle;" fillcolor="#558ED5 [1951]" filled="t" stroked="f" coordsize="21600,21600" o:gfxdata="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M4KP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2" o:spid="_x0000_s1026" o:spt="1" style="position:absolute;left:4328;top:628;height:184;width:3930;v-text-anchor:middle;" fillcolor="#8EB4E3 [1311]" filled="t" stroked="f" coordsize="21600,21600" o:gfxdata="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wZirsAAADb&#10;AAAADwAAAAAAAAABACAAAAAiAAAAZHJzL2Rvd25yZXYueG1sUEsBAhQAFAAAAAgAh07iQDMvBZ47&#10;AAAAOQAAABAAAAAAAAAAAQAgAAAACgEAAGRycy9zaGFwZXhtbC54bWxQSwUGAAAAAAYABgBbAQAA&#10;tAMAAAAA&#10;">
                <v:fill on="t" focussize="0,0"/>
                <v:stroke on="f" weight="2pt"/>
                <v:imagedata o:title=""/>
                <o:lock v:ext="edit" aspectratio="f"/>
              </v:rect>
            </v:group>
          </w:pict>
        </mc:Fallback>
      </mc:AlternateContent>
    </w:r>
    <w:r>
      <mc:AlternateContent>
        <mc:Choice Requires="wps">
          <w:drawing>
            <wp:anchor distT="0" distB="0" distL="114300" distR="114300" simplePos="0" relativeHeight="251660288" behindDoc="0" locked="0" layoutInCell="1" allowOverlap="1">
              <wp:simplePos x="0" y="0"/>
              <wp:positionH relativeFrom="rightMargin">
                <wp:align>right</wp:align>
              </wp:positionH>
              <wp:positionV relativeFrom="page">
                <wp:align>top</wp:align>
              </wp:positionV>
              <wp:extent cx="160655" cy="895985"/>
              <wp:effectExtent l="0" t="0" r="4445" b="5715"/>
              <wp:wrapNone/>
              <wp:docPr id="18" name="矩形 18"/>
              <wp:cNvGraphicFramePr/>
              <a:graphic xmlns:a="http://schemas.openxmlformats.org/drawingml/2006/main">
                <a:graphicData uri="http://schemas.microsoft.com/office/word/2010/wordprocessingShape">
                  <wps:wsp>
                    <wps:cNvSpPr/>
                    <wps:spPr>
                      <a:xfrm>
                        <a:off x="0" y="0"/>
                        <a:ext cx="160655" cy="89598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2.3pt;margin-top:0pt;height:70.55pt;width:12.65pt;mso-position-horizontal-relative:page;mso-position-vertical-relative:page;z-index:251660288;v-text-anchor:middle;mso-width-relative:page;mso-height-relative:page;" fillcolor="#558ED5 [1951]" filled="t" stroked="f" coordsize="21600,21600" o:gfxdata="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6TShS1AAAAAQBAAAPAAAAAAAAAAEAIAAAACIAAABkcnMv&#10;ZG93bnJldi54bWxQSwECFAAUAAAACACHTuJA6+VfxHkCAADuBAAADgAAAAAAAAABACAAAAAjAQAA&#10;ZHJzL2Uyb0RvYy54bWxQSwUGAAAAAAYABgBZAQAADgYAAAAA&#10;">
              <v:fill on="t" focussize="0,0"/>
              <v:stroke on="f" weight="2pt"/>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CE2642"/>
    <w:multiLevelType w:val="singleLevel"/>
    <w:tmpl w:val="80CE2642"/>
    <w:lvl w:ilvl="0" w:tentative="0">
      <w:start w:val="6"/>
      <w:numFmt w:val="chineseCounting"/>
      <w:suff w:val="nothing"/>
      <w:lvlText w:val="（%1）"/>
      <w:lvlJc w:val="left"/>
      <w:rPr>
        <w:rFonts w:hint="eastAsia"/>
      </w:rPr>
    </w:lvl>
  </w:abstractNum>
  <w:abstractNum w:abstractNumId="1">
    <w:nsid w:val="84FEF5CD"/>
    <w:multiLevelType w:val="singleLevel"/>
    <w:tmpl w:val="84FEF5CD"/>
    <w:lvl w:ilvl="0" w:tentative="0">
      <w:start w:val="1"/>
      <w:numFmt w:val="chineseCounting"/>
      <w:suff w:val="nothing"/>
      <w:lvlText w:val="（%1）"/>
      <w:lvlJc w:val="left"/>
      <w:pPr>
        <w:ind w:left="0" w:firstLine="420"/>
      </w:pPr>
      <w:rPr>
        <w:rFonts w:hint="eastAsia"/>
      </w:rPr>
    </w:lvl>
  </w:abstractNum>
  <w:abstractNum w:abstractNumId="2">
    <w:nsid w:val="894A7127"/>
    <w:multiLevelType w:val="singleLevel"/>
    <w:tmpl w:val="894A7127"/>
    <w:lvl w:ilvl="0" w:tentative="0">
      <w:start w:val="1"/>
      <w:numFmt w:val="decimal"/>
      <w:suff w:val="space"/>
      <w:lvlText w:val="%1."/>
      <w:lvlJc w:val="left"/>
    </w:lvl>
  </w:abstractNum>
  <w:abstractNum w:abstractNumId="3">
    <w:nsid w:val="8F8FBDA3"/>
    <w:multiLevelType w:val="singleLevel"/>
    <w:tmpl w:val="8F8FBDA3"/>
    <w:lvl w:ilvl="0" w:tentative="0">
      <w:start w:val="1"/>
      <w:numFmt w:val="decimal"/>
      <w:suff w:val="space"/>
      <w:lvlText w:val="%1."/>
      <w:lvlJc w:val="left"/>
    </w:lvl>
  </w:abstractNum>
  <w:abstractNum w:abstractNumId="4">
    <w:nsid w:val="8F9E8E2C"/>
    <w:multiLevelType w:val="singleLevel"/>
    <w:tmpl w:val="8F9E8E2C"/>
    <w:lvl w:ilvl="0" w:tentative="0">
      <w:start w:val="1"/>
      <w:numFmt w:val="decimal"/>
      <w:lvlText w:val="%1."/>
      <w:lvlJc w:val="left"/>
      <w:pPr>
        <w:tabs>
          <w:tab w:val="left" w:pos="312"/>
        </w:tabs>
      </w:pPr>
    </w:lvl>
  </w:abstractNum>
  <w:abstractNum w:abstractNumId="5">
    <w:nsid w:val="9383BD49"/>
    <w:multiLevelType w:val="singleLevel"/>
    <w:tmpl w:val="9383BD49"/>
    <w:lvl w:ilvl="0" w:tentative="0">
      <w:start w:val="3"/>
      <w:numFmt w:val="decimal"/>
      <w:suff w:val="space"/>
      <w:lvlText w:val="%1."/>
      <w:lvlJc w:val="left"/>
    </w:lvl>
  </w:abstractNum>
  <w:abstractNum w:abstractNumId="6">
    <w:nsid w:val="95BBA06E"/>
    <w:multiLevelType w:val="singleLevel"/>
    <w:tmpl w:val="95BBA06E"/>
    <w:lvl w:ilvl="0" w:tentative="0">
      <w:start w:val="1"/>
      <w:numFmt w:val="decimal"/>
      <w:suff w:val="space"/>
      <w:lvlText w:val="%1."/>
      <w:lvlJc w:val="left"/>
    </w:lvl>
  </w:abstractNum>
  <w:abstractNum w:abstractNumId="7">
    <w:nsid w:val="98BC5E36"/>
    <w:multiLevelType w:val="singleLevel"/>
    <w:tmpl w:val="98BC5E36"/>
    <w:lvl w:ilvl="0" w:tentative="0">
      <w:start w:val="2"/>
      <w:numFmt w:val="chineseCounting"/>
      <w:suff w:val="nothing"/>
      <w:lvlText w:val="%1、"/>
      <w:lvlJc w:val="left"/>
      <w:rPr>
        <w:rFonts w:hint="eastAsia"/>
      </w:rPr>
    </w:lvl>
  </w:abstractNum>
  <w:abstractNum w:abstractNumId="8">
    <w:nsid w:val="9C4DA3FF"/>
    <w:multiLevelType w:val="singleLevel"/>
    <w:tmpl w:val="9C4DA3FF"/>
    <w:lvl w:ilvl="0" w:tentative="0">
      <w:start w:val="1"/>
      <w:numFmt w:val="decimal"/>
      <w:suff w:val="space"/>
      <w:lvlText w:val="%1."/>
      <w:lvlJc w:val="left"/>
    </w:lvl>
  </w:abstractNum>
  <w:abstractNum w:abstractNumId="9">
    <w:nsid w:val="AB8D4D8E"/>
    <w:multiLevelType w:val="singleLevel"/>
    <w:tmpl w:val="AB8D4D8E"/>
    <w:lvl w:ilvl="0" w:tentative="0">
      <w:start w:val="1"/>
      <w:numFmt w:val="chineseCounting"/>
      <w:suff w:val="space"/>
      <w:lvlText w:val="第%1章"/>
      <w:lvlJc w:val="left"/>
      <w:rPr>
        <w:rFonts w:hint="eastAsia"/>
      </w:rPr>
    </w:lvl>
  </w:abstractNum>
  <w:abstractNum w:abstractNumId="10">
    <w:nsid w:val="B73BCDE9"/>
    <w:multiLevelType w:val="singleLevel"/>
    <w:tmpl w:val="B73BCDE9"/>
    <w:lvl w:ilvl="0" w:tentative="0">
      <w:start w:val="1"/>
      <w:numFmt w:val="decimal"/>
      <w:lvlText w:val="%1."/>
      <w:lvlJc w:val="left"/>
      <w:pPr>
        <w:tabs>
          <w:tab w:val="left" w:pos="312"/>
        </w:tabs>
      </w:pPr>
    </w:lvl>
  </w:abstractNum>
  <w:abstractNum w:abstractNumId="11">
    <w:nsid w:val="B878C4F1"/>
    <w:multiLevelType w:val="singleLevel"/>
    <w:tmpl w:val="B878C4F1"/>
    <w:lvl w:ilvl="0" w:tentative="0">
      <w:start w:val="1"/>
      <w:numFmt w:val="decimal"/>
      <w:suff w:val="space"/>
      <w:lvlText w:val="%1."/>
      <w:lvlJc w:val="left"/>
    </w:lvl>
  </w:abstractNum>
  <w:abstractNum w:abstractNumId="12">
    <w:nsid w:val="B9AE847E"/>
    <w:multiLevelType w:val="singleLevel"/>
    <w:tmpl w:val="B9AE847E"/>
    <w:lvl w:ilvl="0" w:tentative="0">
      <w:start w:val="1"/>
      <w:numFmt w:val="decimal"/>
      <w:suff w:val="space"/>
      <w:lvlText w:val="%1."/>
      <w:lvlJc w:val="left"/>
    </w:lvl>
  </w:abstractNum>
  <w:abstractNum w:abstractNumId="13">
    <w:nsid w:val="BB12C337"/>
    <w:multiLevelType w:val="singleLevel"/>
    <w:tmpl w:val="BB12C337"/>
    <w:lvl w:ilvl="0" w:tentative="0">
      <w:start w:val="1"/>
      <w:numFmt w:val="decimal"/>
      <w:lvlText w:val="%1."/>
      <w:lvlJc w:val="left"/>
      <w:pPr>
        <w:tabs>
          <w:tab w:val="left" w:pos="312"/>
        </w:tabs>
      </w:pPr>
    </w:lvl>
  </w:abstractNum>
  <w:abstractNum w:abstractNumId="14">
    <w:nsid w:val="BDDCF832"/>
    <w:multiLevelType w:val="singleLevel"/>
    <w:tmpl w:val="BDDCF832"/>
    <w:lvl w:ilvl="0" w:tentative="0">
      <w:start w:val="1"/>
      <w:numFmt w:val="decimal"/>
      <w:lvlText w:val="%1."/>
      <w:lvlJc w:val="left"/>
      <w:pPr>
        <w:tabs>
          <w:tab w:val="left" w:pos="312"/>
        </w:tabs>
      </w:pPr>
    </w:lvl>
  </w:abstractNum>
  <w:abstractNum w:abstractNumId="15">
    <w:nsid w:val="BF9D3EA5"/>
    <w:multiLevelType w:val="singleLevel"/>
    <w:tmpl w:val="BF9D3EA5"/>
    <w:lvl w:ilvl="0" w:tentative="0">
      <w:start w:val="1"/>
      <w:numFmt w:val="decimal"/>
      <w:suff w:val="space"/>
      <w:lvlText w:val="%1."/>
      <w:lvlJc w:val="left"/>
    </w:lvl>
  </w:abstractNum>
  <w:abstractNum w:abstractNumId="16">
    <w:nsid w:val="C43A6A9B"/>
    <w:multiLevelType w:val="singleLevel"/>
    <w:tmpl w:val="C43A6A9B"/>
    <w:lvl w:ilvl="0" w:tentative="0">
      <w:start w:val="1"/>
      <w:numFmt w:val="decimal"/>
      <w:suff w:val="nothing"/>
      <w:lvlText w:val="（%1）"/>
      <w:lvlJc w:val="left"/>
    </w:lvl>
  </w:abstractNum>
  <w:abstractNum w:abstractNumId="17">
    <w:nsid w:val="D6D54AF0"/>
    <w:multiLevelType w:val="singleLevel"/>
    <w:tmpl w:val="D6D54AF0"/>
    <w:lvl w:ilvl="0" w:tentative="0">
      <w:start w:val="1"/>
      <w:numFmt w:val="decimal"/>
      <w:suff w:val="space"/>
      <w:lvlText w:val="%1."/>
      <w:lvlJc w:val="left"/>
    </w:lvl>
  </w:abstractNum>
  <w:abstractNum w:abstractNumId="18">
    <w:nsid w:val="D8807812"/>
    <w:multiLevelType w:val="singleLevel"/>
    <w:tmpl w:val="D8807812"/>
    <w:lvl w:ilvl="0" w:tentative="0">
      <w:start w:val="1"/>
      <w:numFmt w:val="decimal"/>
      <w:lvlText w:val="%1."/>
      <w:lvlJc w:val="left"/>
      <w:pPr>
        <w:ind w:left="425" w:hanging="425"/>
      </w:pPr>
      <w:rPr>
        <w:rFonts w:hint="default"/>
        <w:color w:val="000000"/>
      </w:rPr>
    </w:lvl>
  </w:abstractNum>
  <w:abstractNum w:abstractNumId="19">
    <w:nsid w:val="DDC1CECD"/>
    <w:multiLevelType w:val="singleLevel"/>
    <w:tmpl w:val="DDC1CECD"/>
    <w:lvl w:ilvl="0" w:tentative="0">
      <w:start w:val="1"/>
      <w:numFmt w:val="decimal"/>
      <w:lvlText w:val="%1."/>
      <w:lvlJc w:val="left"/>
      <w:pPr>
        <w:tabs>
          <w:tab w:val="left" w:pos="312"/>
        </w:tabs>
      </w:pPr>
    </w:lvl>
  </w:abstractNum>
  <w:abstractNum w:abstractNumId="20">
    <w:nsid w:val="E1460EF0"/>
    <w:multiLevelType w:val="singleLevel"/>
    <w:tmpl w:val="E1460EF0"/>
    <w:lvl w:ilvl="0" w:tentative="0">
      <w:start w:val="1"/>
      <w:numFmt w:val="decimal"/>
      <w:suff w:val="space"/>
      <w:lvlText w:val="%1."/>
      <w:lvlJc w:val="left"/>
    </w:lvl>
  </w:abstractNum>
  <w:abstractNum w:abstractNumId="21">
    <w:nsid w:val="E4EDFAC0"/>
    <w:multiLevelType w:val="singleLevel"/>
    <w:tmpl w:val="E4EDFAC0"/>
    <w:lvl w:ilvl="0" w:tentative="0">
      <w:start w:val="1"/>
      <w:numFmt w:val="decimal"/>
      <w:lvlText w:val="%1."/>
      <w:lvlJc w:val="left"/>
      <w:pPr>
        <w:tabs>
          <w:tab w:val="left" w:pos="312"/>
        </w:tabs>
      </w:pPr>
    </w:lvl>
  </w:abstractNum>
  <w:abstractNum w:abstractNumId="22">
    <w:nsid w:val="E8D1B3FE"/>
    <w:multiLevelType w:val="singleLevel"/>
    <w:tmpl w:val="E8D1B3FE"/>
    <w:lvl w:ilvl="0" w:tentative="0">
      <w:start w:val="1"/>
      <w:numFmt w:val="decimal"/>
      <w:suff w:val="space"/>
      <w:lvlText w:val="%1."/>
      <w:lvlJc w:val="left"/>
    </w:lvl>
  </w:abstractNum>
  <w:abstractNum w:abstractNumId="23">
    <w:nsid w:val="FE66B6E9"/>
    <w:multiLevelType w:val="singleLevel"/>
    <w:tmpl w:val="FE66B6E9"/>
    <w:lvl w:ilvl="0" w:tentative="0">
      <w:start w:val="1"/>
      <w:numFmt w:val="decimal"/>
      <w:lvlText w:val="%1."/>
      <w:lvlJc w:val="left"/>
      <w:pPr>
        <w:tabs>
          <w:tab w:val="left" w:pos="312"/>
        </w:tabs>
      </w:pPr>
    </w:lvl>
  </w:abstractNum>
  <w:abstractNum w:abstractNumId="24">
    <w:nsid w:val="1B03044F"/>
    <w:multiLevelType w:val="multilevel"/>
    <w:tmpl w:val="1B03044F"/>
    <w:lvl w:ilvl="0" w:tentative="0">
      <w:start w:val="1"/>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24ACF1A1"/>
    <w:multiLevelType w:val="singleLevel"/>
    <w:tmpl w:val="24ACF1A1"/>
    <w:lvl w:ilvl="0" w:tentative="0">
      <w:start w:val="1"/>
      <w:numFmt w:val="decimal"/>
      <w:suff w:val="space"/>
      <w:lvlText w:val="%1."/>
      <w:lvlJc w:val="left"/>
      <w:pPr>
        <w:ind w:left="178"/>
      </w:pPr>
    </w:lvl>
  </w:abstractNum>
  <w:abstractNum w:abstractNumId="26">
    <w:nsid w:val="24C1330F"/>
    <w:multiLevelType w:val="singleLevel"/>
    <w:tmpl w:val="24C1330F"/>
    <w:lvl w:ilvl="0" w:tentative="0">
      <w:start w:val="1"/>
      <w:numFmt w:val="decimal"/>
      <w:lvlText w:val="%1．"/>
      <w:lvlJc w:val="left"/>
      <w:pPr>
        <w:tabs>
          <w:tab w:val="left" w:pos="630"/>
        </w:tabs>
        <w:ind w:left="630" w:hanging="360"/>
      </w:pPr>
      <w:rPr>
        <w:rFonts w:hint="default"/>
      </w:rPr>
    </w:lvl>
  </w:abstractNum>
  <w:abstractNum w:abstractNumId="27">
    <w:nsid w:val="260F56D6"/>
    <w:multiLevelType w:val="multilevel"/>
    <w:tmpl w:val="260F56D6"/>
    <w:lvl w:ilvl="0" w:tentative="0">
      <w:start w:val="1"/>
      <w:numFmt w:val="chineseCountingThousand"/>
      <w:pStyle w:val="3"/>
      <w:suff w:val="nothing"/>
      <w:lvlText w:val="%1、"/>
      <w:lvlJc w:val="left"/>
      <w:pPr>
        <w:ind w:left="1080"/>
      </w:pPr>
      <w:rPr>
        <w:rFonts w:hint="eastAsia"/>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abstractNum w:abstractNumId="28">
    <w:nsid w:val="262A5E69"/>
    <w:multiLevelType w:val="multilevel"/>
    <w:tmpl w:val="262A5E69"/>
    <w:lvl w:ilvl="0" w:tentative="0">
      <w:start w:val="1"/>
      <w:numFmt w:val="decimal"/>
      <w:lvlText w:val="%1."/>
      <w:lvlJc w:val="left"/>
      <w:pPr>
        <w:tabs>
          <w:tab w:val="left" w:pos="360"/>
        </w:tabs>
        <w:ind w:left="360" w:hanging="360"/>
      </w:pPr>
      <w:rPr>
        <w:rFonts w:hint="eastAsia"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2D7290DB"/>
    <w:multiLevelType w:val="singleLevel"/>
    <w:tmpl w:val="2D7290DB"/>
    <w:lvl w:ilvl="0" w:tentative="0">
      <w:start w:val="1"/>
      <w:numFmt w:val="decimal"/>
      <w:lvlText w:val="%1."/>
      <w:lvlJc w:val="left"/>
      <w:pPr>
        <w:tabs>
          <w:tab w:val="left" w:pos="312"/>
        </w:tabs>
      </w:pPr>
    </w:lvl>
  </w:abstractNum>
  <w:abstractNum w:abstractNumId="30">
    <w:nsid w:val="3087D3E1"/>
    <w:multiLevelType w:val="singleLevel"/>
    <w:tmpl w:val="3087D3E1"/>
    <w:lvl w:ilvl="0" w:tentative="0">
      <w:start w:val="1"/>
      <w:numFmt w:val="decimal"/>
      <w:suff w:val="space"/>
      <w:lvlText w:val="%1."/>
      <w:lvlJc w:val="left"/>
    </w:lvl>
  </w:abstractNum>
  <w:abstractNum w:abstractNumId="31">
    <w:nsid w:val="38282680"/>
    <w:multiLevelType w:val="multilevel"/>
    <w:tmpl w:val="38282680"/>
    <w:lvl w:ilvl="0" w:tentative="0">
      <w:start w:val="1"/>
      <w:numFmt w:val="decimal"/>
      <w:lvlText w:val="(%1)"/>
      <w:lvlJc w:val="left"/>
      <w:pPr>
        <w:tabs>
          <w:tab w:val="left" w:pos="2910"/>
        </w:tabs>
        <w:ind w:left="2910" w:hanging="390"/>
      </w:pPr>
      <w:rPr>
        <w:rFonts w:hint="default" w:ascii="Times New Roman" w:hAnsi="Times New Roman"/>
      </w:rPr>
    </w:lvl>
    <w:lvl w:ilvl="1" w:tentative="0">
      <w:start w:val="1"/>
      <w:numFmt w:val="lowerLetter"/>
      <w:lvlText w:val="%2)"/>
      <w:lvlJc w:val="left"/>
      <w:pPr>
        <w:tabs>
          <w:tab w:val="left" w:pos="3360"/>
        </w:tabs>
        <w:ind w:left="3360" w:hanging="420"/>
      </w:pPr>
    </w:lvl>
    <w:lvl w:ilvl="2" w:tentative="0">
      <w:start w:val="1"/>
      <w:numFmt w:val="lowerRoman"/>
      <w:lvlText w:val="%3."/>
      <w:lvlJc w:val="right"/>
      <w:pPr>
        <w:tabs>
          <w:tab w:val="left" w:pos="3780"/>
        </w:tabs>
        <w:ind w:left="3780" w:hanging="420"/>
      </w:pPr>
    </w:lvl>
    <w:lvl w:ilvl="3" w:tentative="0">
      <w:start w:val="1"/>
      <w:numFmt w:val="decimal"/>
      <w:lvlText w:val="%4."/>
      <w:lvlJc w:val="left"/>
      <w:pPr>
        <w:tabs>
          <w:tab w:val="left" w:pos="4200"/>
        </w:tabs>
        <w:ind w:left="4200" w:hanging="420"/>
      </w:pPr>
    </w:lvl>
    <w:lvl w:ilvl="4" w:tentative="0">
      <w:start w:val="1"/>
      <w:numFmt w:val="lowerLetter"/>
      <w:lvlText w:val="%5)"/>
      <w:lvlJc w:val="left"/>
      <w:pPr>
        <w:tabs>
          <w:tab w:val="left" w:pos="4620"/>
        </w:tabs>
        <w:ind w:left="4620" w:hanging="420"/>
      </w:pPr>
    </w:lvl>
    <w:lvl w:ilvl="5" w:tentative="0">
      <w:start w:val="1"/>
      <w:numFmt w:val="lowerRoman"/>
      <w:lvlText w:val="%6."/>
      <w:lvlJc w:val="right"/>
      <w:pPr>
        <w:tabs>
          <w:tab w:val="left" w:pos="5040"/>
        </w:tabs>
        <w:ind w:left="5040" w:hanging="420"/>
      </w:pPr>
    </w:lvl>
    <w:lvl w:ilvl="6" w:tentative="0">
      <w:start w:val="1"/>
      <w:numFmt w:val="decimal"/>
      <w:lvlText w:val="%7."/>
      <w:lvlJc w:val="left"/>
      <w:pPr>
        <w:tabs>
          <w:tab w:val="left" w:pos="5460"/>
        </w:tabs>
        <w:ind w:left="5460" w:hanging="420"/>
      </w:pPr>
    </w:lvl>
    <w:lvl w:ilvl="7" w:tentative="0">
      <w:start w:val="1"/>
      <w:numFmt w:val="lowerLetter"/>
      <w:lvlText w:val="%8)"/>
      <w:lvlJc w:val="left"/>
      <w:pPr>
        <w:tabs>
          <w:tab w:val="left" w:pos="5880"/>
        </w:tabs>
        <w:ind w:left="5880" w:hanging="420"/>
      </w:pPr>
    </w:lvl>
    <w:lvl w:ilvl="8" w:tentative="0">
      <w:start w:val="1"/>
      <w:numFmt w:val="lowerRoman"/>
      <w:lvlText w:val="%9."/>
      <w:lvlJc w:val="right"/>
      <w:pPr>
        <w:tabs>
          <w:tab w:val="left" w:pos="6300"/>
        </w:tabs>
        <w:ind w:left="6300" w:hanging="420"/>
      </w:pPr>
    </w:lvl>
  </w:abstractNum>
  <w:abstractNum w:abstractNumId="32">
    <w:nsid w:val="3844F9A8"/>
    <w:multiLevelType w:val="singleLevel"/>
    <w:tmpl w:val="3844F9A8"/>
    <w:lvl w:ilvl="0" w:tentative="0">
      <w:start w:val="1"/>
      <w:numFmt w:val="decimal"/>
      <w:suff w:val="space"/>
      <w:lvlText w:val="%1."/>
      <w:lvlJc w:val="left"/>
    </w:lvl>
  </w:abstractNum>
  <w:abstractNum w:abstractNumId="33">
    <w:nsid w:val="38821D40"/>
    <w:multiLevelType w:val="singleLevel"/>
    <w:tmpl w:val="38821D40"/>
    <w:lvl w:ilvl="0" w:tentative="0">
      <w:start w:val="1"/>
      <w:numFmt w:val="decimal"/>
      <w:lvlText w:val="%1．"/>
      <w:lvlJc w:val="left"/>
      <w:pPr>
        <w:tabs>
          <w:tab w:val="left" w:pos="630"/>
        </w:tabs>
        <w:ind w:left="630" w:hanging="360"/>
      </w:pPr>
      <w:rPr>
        <w:rFonts w:hint="default"/>
      </w:rPr>
    </w:lvl>
  </w:abstractNum>
  <w:abstractNum w:abstractNumId="34">
    <w:nsid w:val="3E365A44"/>
    <w:multiLevelType w:val="singleLevel"/>
    <w:tmpl w:val="3E365A44"/>
    <w:lvl w:ilvl="0" w:tentative="0">
      <w:start w:val="1"/>
      <w:numFmt w:val="japaneseCounting"/>
      <w:lvlText w:val="%1、"/>
      <w:lvlJc w:val="left"/>
      <w:pPr>
        <w:tabs>
          <w:tab w:val="left" w:pos="480"/>
        </w:tabs>
        <w:ind w:left="480" w:hanging="480"/>
      </w:pPr>
      <w:rPr>
        <w:rFonts w:hint="eastAsia"/>
      </w:rPr>
    </w:lvl>
  </w:abstractNum>
  <w:abstractNum w:abstractNumId="35">
    <w:nsid w:val="3EBB513F"/>
    <w:multiLevelType w:val="singleLevel"/>
    <w:tmpl w:val="3EBB513F"/>
    <w:lvl w:ilvl="0" w:tentative="0">
      <w:start w:val="1"/>
      <w:numFmt w:val="decimal"/>
      <w:lvlText w:val="%1."/>
      <w:lvlJc w:val="left"/>
      <w:pPr>
        <w:tabs>
          <w:tab w:val="left" w:pos="312"/>
        </w:tabs>
      </w:pPr>
    </w:lvl>
  </w:abstractNum>
  <w:abstractNum w:abstractNumId="36">
    <w:nsid w:val="4B820353"/>
    <w:multiLevelType w:val="singleLevel"/>
    <w:tmpl w:val="4B820353"/>
    <w:lvl w:ilvl="0" w:tentative="0">
      <w:start w:val="1"/>
      <w:numFmt w:val="decimal"/>
      <w:suff w:val="space"/>
      <w:lvlText w:val="%1."/>
      <w:lvlJc w:val="left"/>
    </w:lvl>
  </w:abstractNum>
  <w:abstractNum w:abstractNumId="37">
    <w:nsid w:val="522D4E6A"/>
    <w:multiLevelType w:val="singleLevel"/>
    <w:tmpl w:val="522D4E6A"/>
    <w:lvl w:ilvl="0" w:tentative="0">
      <w:start w:val="1"/>
      <w:numFmt w:val="decimal"/>
      <w:lvlText w:val="%1．"/>
      <w:lvlJc w:val="left"/>
      <w:pPr>
        <w:tabs>
          <w:tab w:val="left" w:pos="630"/>
        </w:tabs>
        <w:ind w:left="630" w:hanging="360"/>
      </w:pPr>
      <w:rPr>
        <w:rFonts w:hint="default"/>
      </w:rPr>
    </w:lvl>
  </w:abstractNum>
  <w:abstractNum w:abstractNumId="38">
    <w:nsid w:val="52706B26"/>
    <w:multiLevelType w:val="multilevel"/>
    <w:tmpl w:val="52706B26"/>
    <w:lvl w:ilvl="0" w:tentative="0">
      <w:start w:val="1"/>
      <w:numFmt w:val="decimal"/>
      <w:lvlText w:val="%1."/>
      <w:lvlJc w:val="left"/>
      <w:pPr>
        <w:ind w:left="851" w:hanging="212"/>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1648" w:hanging="212"/>
      </w:pPr>
      <w:rPr>
        <w:rFonts w:hint="default"/>
        <w:lang w:val="zh-CN" w:eastAsia="zh-CN" w:bidi="zh-CN"/>
      </w:rPr>
    </w:lvl>
    <w:lvl w:ilvl="2" w:tentative="0">
      <w:start w:val="0"/>
      <w:numFmt w:val="bullet"/>
      <w:lvlText w:val="•"/>
      <w:lvlJc w:val="left"/>
      <w:pPr>
        <w:ind w:left="2437" w:hanging="212"/>
      </w:pPr>
      <w:rPr>
        <w:rFonts w:hint="default"/>
        <w:lang w:val="zh-CN" w:eastAsia="zh-CN" w:bidi="zh-CN"/>
      </w:rPr>
    </w:lvl>
    <w:lvl w:ilvl="3" w:tentative="0">
      <w:start w:val="0"/>
      <w:numFmt w:val="bullet"/>
      <w:lvlText w:val="•"/>
      <w:lvlJc w:val="left"/>
      <w:pPr>
        <w:ind w:left="3225" w:hanging="212"/>
      </w:pPr>
      <w:rPr>
        <w:rFonts w:hint="default"/>
        <w:lang w:val="zh-CN" w:eastAsia="zh-CN" w:bidi="zh-CN"/>
      </w:rPr>
    </w:lvl>
    <w:lvl w:ilvl="4" w:tentative="0">
      <w:start w:val="0"/>
      <w:numFmt w:val="bullet"/>
      <w:lvlText w:val="•"/>
      <w:lvlJc w:val="left"/>
      <w:pPr>
        <w:ind w:left="4014" w:hanging="212"/>
      </w:pPr>
      <w:rPr>
        <w:rFonts w:hint="default"/>
        <w:lang w:val="zh-CN" w:eastAsia="zh-CN" w:bidi="zh-CN"/>
      </w:rPr>
    </w:lvl>
    <w:lvl w:ilvl="5" w:tentative="0">
      <w:start w:val="0"/>
      <w:numFmt w:val="bullet"/>
      <w:lvlText w:val="•"/>
      <w:lvlJc w:val="left"/>
      <w:pPr>
        <w:ind w:left="4803" w:hanging="212"/>
      </w:pPr>
      <w:rPr>
        <w:rFonts w:hint="default"/>
        <w:lang w:val="zh-CN" w:eastAsia="zh-CN" w:bidi="zh-CN"/>
      </w:rPr>
    </w:lvl>
    <w:lvl w:ilvl="6" w:tentative="0">
      <w:start w:val="0"/>
      <w:numFmt w:val="bullet"/>
      <w:lvlText w:val="•"/>
      <w:lvlJc w:val="left"/>
      <w:pPr>
        <w:ind w:left="5591" w:hanging="212"/>
      </w:pPr>
      <w:rPr>
        <w:rFonts w:hint="default"/>
        <w:lang w:val="zh-CN" w:eastAsia="zh-CN" w:bidi="zh-CN"/>
      </w:rPr>
    </w:lvl>
    <w:lvl w:ilvl="7" w:tentative="0">
      <w:start w:val="0"/>
      <w:numFmt w:val="bullet"/>
      <w:lvlText w:val="•"/>
      <w:lvlJc w:val="left"/>
      <w:pPr>
        <w:ind w:left="6380" w:hanging="212"/>
      </w:pPr>
      <w:rPr>
        <w:rFonts w:hint="default"/>
        <w:lang w:val="zh-CN" w:eastAsia="zh-CN" w:bidi="zh-CN"/>
      </w:rPr>
    </w:lvl>
    <w:lvl w:ilvl="8" w:tentative="0">
      <w:start w:val="0"/>
      <w:numFmt w:val="bullet"/>
      <w:lvlText w:val="•"/>
      <w:lvlJc w:val="left"/>
      <w:pPr>
        <w:ind w:left="7168" w:hanging="212"/>
      </w:pPr>
      <w:rPr>
        <w:rFonts w:hint="default"/>
        <w:lang w:val="zh-CN" w:eastAsia="zh-CN" w:bidi="zh-CN"/>
      </w:rPr>
    </w:lvl>
  </w:abstractNum>
  <w:abstractNum w:abstractNumId="39">
    <w:nsid w:val="55F31FD3"/>
    <w:multiLevelType w:val="multilevel"/>
    <w:tmpl w:val="55F31FD3"/>
    <w:lvl w:ilvl="0" w:tentative="0">
      <w:start w:val="1"/>
      <w:numFmt w:val="decimal"/>
      <w:lvlText w:val="%1．"/>
      <w:lvlJc w:val="left"/>
      <w:pPr>
        <w:tabs>
          <w:tab w:val="left" w:pos="632"/>
        </w:tabs>
        <w:ind w:left="632" w:hanging="360"/>
      </w:pPr>
      <w:rPr>
        <w:rFonts w:hint="eastAsia"/>
        <w:color w:val="000000"/>
      </w:rPr>
    </w:lvl>
    <w:lvl w:ilvl="1" w:tentative="0">
      <w:start w:val="1"/>
      <w:numFmt w:val="decimal"/>
      <w:lvlText w:val="%2."/>
      <w:lvlJc w:val="left"/>
      <w:pPr>
        <w:tabs>
          <w:tab w:val="left" w:pos="1052"/>
        </w:tabs>
        <w:ind w:left="1052" w:hanging="360"/>
      </w:pPr>
      <w:rPr>
        <w:rFonts w:hint="eastAsia"/>
      </w:rPr>
    </w:lvl>
    <w:lvl w:ilvl="2" w:tentative="0">
      <w:start w:val="1"/>
      <w:numFmt w:val="lowerRoman"/>
      <w:lvlText w:val="%3."/>
      <w:lvlJc w:val="right"/>
      <w:pPr>
        <w:tabs>
          <w:tab w:val="left" w:pos="1532"/>
        </w:tabs>
        <w:ind w:left="1532" w:hanging="420"/>
      </w:pPr>
    </w:lvl>
    <w:lvl w:ilvl="3" w:tentative="0">
      <w:start w:val="1"/>
      <w:numFmt w:val="decimal"/>
      <w:lvlText w:val="%4."/>
      <w:lvlJc w:val="left"/>
      <w:pPr>
        <w:tabs>
          <w:tab w:val="left" w:pos="1952"/>
        </w:tabs>
        <w:ind w:left="1952" w:hanging="420"/>
      </w:pPr>
    </w:lvl>
    <w:lvl w:ilvl="4" w:tentative="0">
      <w:start w:val="1"/>
      <w:numFmt w:val="lowerLetter"/>
      <w:lvlText w:val="%5)"/>
      <w:lvlJc w:val="left"/>
      <w:pPr>
        <w:tabs>
          <w:tab w:val="left" w:pos="2372"/>
        </w:tabs>
        <w:ind w:left="2372" w:hanging="420"/>
      </w:pPr>
    </w:lvl>
    <w:lvl w:ilvl="5" w:tentative="0">
      <w:start w:val="1"/>
      <w:numFmt w:val="lowerRoman"/>
      <w:lvlText w:val="%6."/>
      <w:lvlJc w:val="right"/>
      <w:pPr>
        <w:tabs>
          <w:tab w:val="left" w:pos="2792"/>
        </w:tabs>
        <w:ind w:left="2792" w:hanging="420"/>
      </w:pPr>
    </w:lvl>
    <w:lvl w:ilvl="6" w:tentative="0">
      <w:start w:val="1"/>
      <w:numFmt w:val="decimal"/>
      <w:lvlText w:val="%7."/>
      <w:lvlJc w:val="left"/>
      <w:pPr>
        <w:tabs>
          <w:tab w:val="left" w:pos="3212"/>
        </w:tabs>
        <w:ind w:left="3212" w:hanging="420"/>
      </w:pPr>
    </w:lvl>
    <w:lvl w:ilvl="7" w:tentative="0">
      <w:start w:val="1"/>
      <w:numFmt w:val="lowerLetter"/>
      <w:lvlText w:val="%8)"/>
      <w:lvlJc w:val="left"/>
      <w:pPr>
        <w:tabs>
          <w:tab w:val="left" w:pos="3632"/>
        </w:tabs>
        <w:ind w:left="3632" w:hanging="420"/>
      </w:pPr>
    </w:lvl>
    <w:lvl w:ilvl="8" w:tentative="0">
      <w:start w:val="1"/>
      <w:numFmt w:val="lowerRoman"/>
      <w:lvlText w:val="%9."/>
      <w:lvlJc w:val="right"/>
      <w:pPr>
        <w:tabs>
          <w:tab w:val="left" w:pos="4052"/>
        </w:tabs>
        <w:ind w:left="4052" w:hanging="420"/>
      </w:pPr>
    </w:lvl>
  </w:abstractNum>
  <w:abstractNum w:abstractNumId="40">
    <w:nsid w:val="60B35ECB"/>
    <w:multiLevelType w:val="singleLevel"/>
    <w:tmpl w:val="60B35ECB"/>
    <w:lvl w:ilvl="0" w:tentative="0">
      <w:start w:val="1"/>
      <w:numFmt w:val="decimal"/>
      <w:suff w:val="space"/>
      <w:lvlText w:val="%1."/>
      <w:lvlJc w:val="left"/>
    </w:lvl>
  </w:abstractNum>
  <w:abstractNum w:abstractNumId="41">
    <w:nsid w:val="65B6D269"/>
    <w:multiLevelType w:val="singleLevel"/>
    <w:tmpl w:val="65B6D269"/>
    <w:lvl w:ilvl="0" w:tentative="0">
      <w:start w:val="1"/>
      <w:numFmt w:val="decimal"/>
      <w:lvlText w:val="%1."/>
      <w:lvlJc w:val="left"/>
      <w:pPr>
        <w:tabs>
          <w:tab w:val="left" w:pos="312"/>
        </w:tabs>
      </w:pPr>
    </w:lvl>
  </w:abstractNum>
  <w:abstractNum w:abstractNumId="42">
    <w:nsid w:val="6616A6C9"/>
    <w:multiLevelType w:val="singleLevel"/>
    <w:tmpl w:val="6616A6C9"/>
    <w:lvl w:ilvl="0" w:tentative="0">
      <w:start w:val="1"/>
      <w:numFmt w:val="chineseCounting"/>
      <w:suff w:val="nothing"/>
      <w:lvlText w:val="（%1）"/>
      <w:lvlJc w:val="left"/>
      <w:rPr>
        <w:rFonts w:hint="eastAsia"/>
      </w:rPr>
    </w:lvl>
  </w:abstractNum>
  <w:abstractNum w:abstractNumId="43">
    <w:nsid w:val="6A156D3B"/>
    <w:multiLevelType w:val="multilevel"/>
    <w:tmpl w:val="6A156D3B"/>
    <w:lvl w:ilvl="0" w:tentative="0">
      <w:start w:val="1"/>
      <w:numFmt w:val="decimalEnclosedCircle"/>
      <w:lvlText w:val="%1"/>
      <w:lvlJc w:val="left"/>
      <w:pPr>
        <w:tabs>
          <w:tab w:val="left" w:pos="630"/>
        </w:tabs>
        <w:ind w:left="630" w:hanging="360"/>
      </w:pPr>
      <w:rPr>
        <w:rFonts w:hint="eastAsia" w:ascii="宋体" w:hAnsi="宋体"/>
      </w:rPr>
    </w:lvl>
    <w:lvl w:ilvl="1" w:tentative="0">
      <w:start w:val="1"/>
      <w:numFmt w:val="lowerLetter"/>
      <w:lvlText w:val="%2)"/>
      <w:lvlJc w:val="left"/>
      <w:pPr>
        <w:tabs>
          <w:tab w:val="left" w:pos="1110"/>
        </w:tabs>
        <w:ind w:left="1110" w:hanging="420"/>
      </w:pPr>
    </w:lvl>
    <w:lvl w:ilvl="2" w:tentative="0">
      <w:start w:val="1"/>
      <w:numFmt w:val="lowerRoman"/>
      <w:lvlText w:val="%3."/>
      <w:lvlJc w:val="right"/>
      <w:pPr>
        <w:tabs>
          <w:tab w:val="left" w:pos="1530"/>
        </w:tabs>
        <w:ind w:left="1530" w:hanging="420"/>
      </w:pPr>
    </w:lvl>
    <w:lvl w:ilvl="3" w:tentative="0">
      <w:start w:val="1"/>
      <w:numFmt w:val="decimal"/>
      <w:lvlText w:val="%4."/>
      <w:lvlJc w:val="left"/>
      <w:pPr>
        <w:tabs>
          <w:tab w:val="left" w:pos="1950"/>
        </w:tabs>
        <w:ind w:left="1950" w:hanging="420"/>
      </w:pPr>
    </w:lvl>
    <w:lvl w:ilvl="4" w:tentative="0">
      <w:start w:val="1"/>
      <w:numFmt w:val="lowerLetter"/>
      <w:lvlText w:val="%5)"/>
      <w:lvlJc w:val="left"/>
      <w:pPr>
        <w:tabs>
          <w:tab w:val="left" w:pos="2370"/>
        </w:tabs>
        <w:ind w:left="2370" w:hanging="420"/>
      </w:pPr>
    </w:lvl>
    <w:lvl w:ilvl="5" w:tentative="0">
      <w:start w:val="1"/>
      <w:numFmt w:val="lowerRoman"/>
      <w:lvlText w:val="%6."/>
      <w:lvlJc w:val="right"/>
      <w:pPr>
        <w:tabs>
          <w:tab w:val="left" w:pos="2790"/>
        </w:tabs>
        <w:ind w:left="2790" w:hanging="420"/>
      </w:pPr>
    </w:lvl>
    <w:lvl w:ilvl="6" w:tentative="0">
      <w:start w:val="1"/>
      <w:numFmt w:val="decimal"/>
      <w:lvlText w:val="%7."/>
      <w:lvlJc w:val="left"/>
      <w:pPr>
        <w:tabs>
          <w:tab w:val="left" w:pos="3210"/>
        </w:tabs>
        <w:ind w:left="3210" w:hanging="420"/>
      </w:pPr>
    </w:lvl>
    <w:lvl w:ilvl="7" w:tentative="0">
      <w:start w:val="1"/>
      <w:numFmt w:val="lowerLetter"/>
      <w:lvlText w:val="%8)"/>
      <w:lvlJc w:val="left"/>
      <w:pPr>
        <w:tabs>
          <w:tab w:val="left" w:pos="3630"/>
        </w:tabs>
        <w:ind w:left="3630" w:hanging="420"/>
      </w:pPr>
    </w:lvl>
    <w:lvl w:ilvl="8" w:tentative="0">
      <w:start w:val="1"/>
      <w:numFmt w:val="lowerRoman"/>
      <w:lvlText w:val="%9."/>
      <w:lvlJc w:val="right"/>
      <w:pPr>
        <w:tabs>
          <w:tab w:val="left" w:pos="4050"/>
        </w:tabs>
        <w:ind w:left="4050" w:hanging="420"/>
      </w:pPr>
    </w:lvl>
  </w:abstractNum>
  <w:abstractNum w:abstractNumId="44">
    <w:nsid w:val="6E869340"/>
    <w:multiLevelType w:val="singleLevel"/>
    <w:tmpl w:val="6E869340"/>
    <w:lvl w:ilvl="0" w:tentative="0">
      <w:start w:val="5"/>
      <w:numFmt w:val="chineseCounting"/>
      <w:suff w:val="nothing"/>
      <w:lvlText w:val="%1、"/>
      <w:lvlJc w:val="left"/>
      <w:rPr>
        <w:rFonts w:hint="eastAsia"/>
      </w:rPr>
    </w:lvl>
  </w:abstractNum>
  <w:abstractNum w:abstractNumId="45">
    <w:nsid w:val="709F45EE"/>
    <w:multiLevelType w:val="singleLevel"/>
    <w:tmpl w:val="709F45EE"/>
    <w:lvl w:ilvl="0" w:tentative="0">
      <w:start w:val="1"/>
      <w:numFmt w:val="decimal"/>
      <w:lvlText w:val="%1．"/>
      <w:lvlJc w:val="left"/>
      <w:pPr>
        <w:tabs>
          <w:tab w:val="left" w:pos="630"/>
        </w:tabs>
        <w:ind w:left="630" w:hanging="360"/>
      </w:pPr>
      <w:rPr>
        <w:rFonts w:hint="default"/>
      </w:rPr>
    </w:lvl>
  </w:abstractNum>
  <w:abstractNum w:abstractNumId="46">
    <w:nsid w:val="74574489"/>
    <w:multiLevelType w:val="singleLevel"/>
    <w:tmpl w:val="74574489"/>
    <w:lvl w:ilvl="0" w:tentative="0">
      <w:start w:val="8"/>
      <w:numFmt w:val="chineseCounting"/>
      <w:suff w:val="space"/>
      <w:lvlText w:val="第%1条"/>
      <w:lvlJc w:val="left"/>
      <w:rPr>
        <w:rFonts w:hint="eastAsia"/>
      </w:rPr>
    </w:lvl>
  </w:abstractNum>
  <w:abstractNum w:abstractNumId="47">
    <w:nsid w:val="77164E52"/>
    <w:multiLevelType w:val="singleLevel"/>
    <w:tmpl w:val="77164E52"/>
    <w:lvl w:ilvl="0" w:tentative="0">
      <w:start w:val="1"/>
      <w:numFmt w:val="decimal"/>
      <w:lvlText w:val="%1．"/>
      <w:lvlJc w:val="left"/>
      <w:pPr>
        <w:tabs>
          <w:tab w:val="left" w:pos="645"/>
        </w:tabs>
        <w:ind w:left="645" w:hanging="375"/>
      </w:pPr>
      <w:rPr>
        <w:rFonts w:hint="eastAsia"/>
      </w:rPr>
    </w:lvl>
  </w:abstractNum>
  <w:abstractNum w:abstractNumId="48">
    <w:nsid w:val="7ADD3126"/>
    <w:multiLevelType w:val="singleLevel"/>
    <w:tmpl w:val="7ADD3126"/>
    <w:lvl w:ilvl="0" w:tentative="0">
      <w:start w:val="1"/>
      <w:numFmt w:val="decimal"/>
      <w:lvlText w:val="%1．"/>
      <w:lvlJc w:val="left"/>
      <w:pPr>
        <w:tabs>
          <w:tab w:val="left" w:pos="630"/>
        </w:tabs>
        <w:ind w:left="630" w:hanging="360"/>
      </w:pPr>
      <w:rPr>
        <w:rFonts w:hint="default"/>
      </w:rPr>
    </w:lvl>
  </w:abstractNum>
  <w:num w:numId="1">
    <w:abstractNumId w:val="27"/>
  </w:num>
  <w:num w:numId="2">
    <w:abstractNumId w:val="32"/>
  </w:num>
  <w:num w:numId="3">
    <w:abstractNumId w:val="11"/>
  </w:num>
  <w:num w:numId="4">
    <w:abstractNumId w:val="2"/>
  </w:num>
  <w:num w:numId="5">
    <w:abstractNumId w:val="24"/>
  </w:num>
  <w:num w:numId="6">
    <w:abstractNumId w:val="42"/>
  </w:num>
  <w:num w:numId="7">
    <w:abstractNumId w:val="38"/>
  </w:num>
  <w:num w:numId="8">
    <w:abstractNumId w:val="40"/>
  </w:num>
  <w:num w:numId="9">
    <w:abstractNumId w:val="5"/>
  </w:num>
  <w:num w:numId="10">
    <w:abstractNumId w:val="28"/>
  </w:num>
  <w:num w:numId="11">
    <w:abstractNumId w:val="34"/>
  </w:num>
  <w:num w:numId="12">
    <w:abstractNumId w:val="47"/>
  </w:num>
  <w:num w:numId="13">
    <w:abstractNumId w:val="43"/>
  </w:num>
  <w:num w:numId="14">
    <w:abstractNumId w:val="31"/>
  </w:num>
  <w:num w:numId="15">
    <w:abstractNumId w:val="37"/>
  </w:num>
  <w:num w:numId="16">
    <w:abstractNumId w:val="39"/>
  </w:num>
  <w:num w:numId="17">
    <w:abstractNumId w:val="45"/>
  </w:num>
  <w:num w:numId="18">
    <w:abstractNumId w:val="48"/>
  </w:num>
  <w:num w:numId="19">
    <w:abstractNumId w:val="33"/>
  </w:num>
  <w:num w:numId="20">
    <w:abstractNumId w:val="26"/>
  </w:num>
  <w:num w:numId="21">
    <w:abstractNumId w:val="9"/>
  </w:num>
  <w:num w:numId="22">
    <w:abstractNumId w:val="41"/>
  </w:num>
  <w:num w:numId="23">
    <w:abstractNumId w:val="7"/>
  </w:num>
  <w:num w:numId="24">
    <w:abstractNumId w:val="16"/>
  </w:num>
  <w:num w:numId="25">
    <w:abstractNumId w:val="30"/>
  </w:num>
  <w:num w:numId="26">
    <w:abstractNumId w:val="15"/>
  </w:num>
  <w:num w:numId="27">
    <w:abstractNumId w:val="8"/>
  </w:num>
  <w:num w:numId="28">
    <w:abstractNumId w:val="22"/>
  </w:num>
  <w:num w:numId="29">
    <w:abstractNumId w:val="6"/>
  </w:num>
  <w:num w:numId="30">
    <w:abstractNumId w:val="3"/>
  </w:num>
  <w:num w:numId="31">
    <w:abstractNumId w:val="25"/>
  </w:num>
  <w:num w:numId="32">
    <w:abstractNumId w:val="17"/>
  </w:num>
  <w:num w:numId="33">
    <w:abstractNumId w:val="36"/>
  </w:num>
  <w:num w:numId="34">
    <w:abstractNumId w:val="13"/>
  </w:num>
  <w:num w:numId="35">
    <w:abstractNumId w:val="10"/>
  </w:num>
  <w:num w:numId="36">
    <w:abstractNumId w:val="14"/>
  </w:num>
  <w:num w:numId="37">
    <w:abstractNumId w:val="23"/>
  </w:num>
  <w:num w:numId="38">
    <w:abstractNumId w:val="29"/>
  </w:num>
  <w:num w:numId="39">
    <w:abstractNumId w:val="21"/>
  </w:num>
  <w:num w:numId="40">
    <w:abstractNumId w:val="35"/>
  </w:num>
  <w:num w:numId="41">
    <w:abstractNumId w:val="12"/>
  </w:num>
  <w:num w:numId="42">
    <w:abstractNumId w:val="4"/>
  </w:num>
  <w:num w:numId="43">
    <w:abstractNumId w:val="19"/>
  </w:num>
  <w:num w:numId="44">
    <w:abstractNumId w:val="20"/>
  </w:num>
  <w:num w:numId="45">
    <w:abstractNumId w:val="46"/>
  </w:num>
  <w:num w:numId="46">
    <w:abstractNumId w:val="44"/>
  </w:num>
  <w:num w:numId="47">
    <w:abstractNumId w:val="0"/>
  </w:num>
  <w:num w:numId="48">
    <w:abstractNumId w:val="1"/>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embedSystemFonts/>
  <w:saveSubsetFonts/>
  <w:bordersDoNotSurroundHeader w:val="0"/>
  <w:bordersDoNotSurroundFooter w:val="0"/>
  <w:attachedTemplate r:id="rId1"/>
  <w:documentProtection w:enforcement="0"/>
  <w:defaultTabStop w:val="420"/>
  <w:drawingGridHorizontalSpacing w:val="105"/>
  <w:drawingGridVerticalSpacing w:val="19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csImhkaWQiOiI0M2NhZmJkYjdjOWM3OTk5ZGNmMWUzZGI5NWFlZjVjYyIsInVzZXJDb3VudCI6OX0="/>
  </w:docVars>
  <w:rsids>
    <w:rsidRoot w:val="5A314AF8"/>
    <w:rsid w:val="00017406"/>
    <w:rsid w:val="0005399E"/>
    <w:rsid w:val="00081C91"/>
    <w:rsid w:val="000A391B"/>
    <w:rsid w:val="000A3E2E"/>
    <w:rsid w:val="000D2D5E"/>
    <w:rsid w:val="000F4610"/>
    <w:rsid w:val="0011119A"/>
    <w:rsid w:val="00116DEF"/>
    <w:rsid w:val="001767B3"/>
    <w:rsid w:val="0018050F"/>
    <w:rsid w:val="001915EF"/>
    <w:rsid w:val="001A570A"/>
    <w:rsid w:val="001C65B7"/>
    <w:rsid w:val="001E30EA"/>
    <w:rsid w:val="001F1919"/>
    <w:rsid w:val="00226041"/>
    <w:rsid w:val="002366BC"/>
    <w:rsid w:val="00245249"/>
    <w:rsid w:val="002751A3"/>
    <w:rsid w:val="002A3F7F"/>
    <w:rsid w:val="002D6543"/>
    <w:rsid w:val="002D7FB0"/>
    <w:rsid w:val="002E07D3"/>
    <w:rsid w:val="00327808"/>
    <w:rsid w:val="00356E77"/>
    <w:rsid w:val="00366826"/>
    <w:rsid w:val="0037055B"/>
    <w:rsid w:val="00391F6D"/>
    <w:rsid w:val="003A22D6"/>
    <w:rsid w:val="003E1345"/>
    <w:rsid w:val="00406835"/>
    <w:rsid w:val="004468A9"/>
    <w:rsid w:val="00477274"/>
    <w:rsid w:val="004A3CF1"/>
    <w:rsid w:val="004D6159"/>
    <w:rsid w:val="004E1683"/>
    <w:rsid w:val="004F73FB"/>
    <w:rsid w:val="005268B6"/>
    <w:rsid w:val="005A4473"/>
    <w:rsid w:val="005A7A7B"/>
    <w:rsid w:val="005D36CC"/>
    <w:rsid w:val="005E7E47"/>
    <w:rsid w:val="00637D5A"/>
    <w:rsid w:val="00657EA5"/>
    <w:rsid w:val="00677824"/>
    <w:rsid w:val="007058E3"/>
    <w:rsid w:val="007714F0"/>
    <w:rsid w:val="00783F4C"/>
    <w:rsid w:val="007B2ACF"/>
    <w:rsid w:val="007C3AB3"/>
    <w:rsid w:val="007E03DA"/>
    <w:rsid w:val="007E6BB4"/>
    <w:rsid w:val="00821185"/>
    <w:rsid w:val="00845C20"/>
    <w:rsid w:val="00886E59"/>
    <w:rsid w:val="008B1000"/>
    <w:rsid w:val="008B212D"/>
    <w:rsid w:val="008C105B"/>
    <w:rsid w:val="008C29CE"/>
    <w:rsid w:val="008C728C"/>
    <w:rsid w:val="0090025A"/>
    <w:rsid w:val="009143E3"/>
    <w:rsid w:val="009156EE"/>
    <w:rsid w:val="00920958"/>
    <w:rsid w:val="00943F06"/>
    <w:rsid w:val="009465ED"/>
    <w:rsid w:val="0095543D"/>
    <w:rsid w:val="009C6F7C"/>
    <w:rsid w:val="009E1E8D"/>
    <w:rsid w:val="009E7D4F"/>
    <w:rsid w:val="00A170CF"/>
    <w:rsid w:val="00A17432"/>
    <w:rsid w:val="00A229E0"/>
    <w:rsid w:val="00A84451"/>
    <w:rsid w:val="00AA648B"/>
    <w:rsid w:val="00AD3188"/>
    <w:rsid w:val="00AE7ABB"/>
    <w:rsid w:val="00AF4A2E"/>
    <w:rsid w:val="00B04A4E"/>
    <w:rsid w:val="00B63EA6"/>
    <w:rsid w:val="00B97F39"/>
    <w:rsid w:val="00BA653C"/>
    <w:rsid w:val="00BB2051"/>
    <w:rsid w:val="00BB724C"/>
    <w:rsid w:val="00BC3189"/>
    <w:rsid w:val="00BE4C05"/>
    <w:rsid w:val="00BF5C13"/>
    <w:rsid w:val="00C218F9"/>
    <w:rsid w:val="00C27883"/>
    <w:rsid w:val="00C31783"/>
    <w:rsid w:val="00C43843"/>
    <w:rsid w:val="00C50B52"/>
    <w:rsid w:val="00C50C1C"/>
    <w:rsid w:val="00C652D1"/>
    <w:rsid w:val="00C74050"/>
    <w:rsid w:val="00C77909"/>
    <w:rsid w:val="00C8607B"/>
    <w:rsid w:val="00D2361B"/>
    <w:rsid w:val="00D40956"/>
    <w:rsid w:val="00D53D06"/>
    <w:rsid w:val="00D574FB"/>
    <w:rsid w:val="00D64024"/>
    <w:rsid w:val="00DF05F2"/>
    <w:rsid w:val="00E64EEE"/>
    <w:rsid w:val="00E65906"/>
    <w:rsid w:val="00E90176"/>
    <w:rsid w:val="00E929BE"/>
    <w:rsid w:val="00EB75BE"/>
    <w:rsid w:val="00EC15E8"/>
    <w:rsid w:val="00F10C4A"/>
    <w:rsid w:val="00F1388D"/>
    <w:rsid w:val="00F617AD"/>
    <w:rsid w:val="00F64788"/>
    <w:rsid w:val="00F77657"/>
    <w:rsid w:val="00F811C8"/>
    <w:rsid w:val="00F81F1C"/>
    <w:rsid w:val="00FB6E76"/>
    <w:rsid w:val="00FD19B3"/>
    <w:rsid w:val="00FF65B7"/>
    <w:rsid w:val="011972A3"/>
    <w:rsid w:val="02573F3E"/>
    <w:rsid w:val="04715348"/>
    <w:rsid w:val="04A34423"/>
    <w:rsid w:val="053E0EA6"/>
    <w:rsid w:val="066665B9"/>
    <w:rsid w:val="0B187C07"/>
    <w:rsid w:val="0D4E0793"/>
    <w:rsid w:val="0DF2487E"/>
    <w:rsid w:val="12946352"/>
    <w:rsid w:val="141809E2"/>
    <w:rsid w:val="16914DE3"/>
    <w:rsid w:val="1B4958C6"/>
    <w:rsid w:val="1B82703C"/>
    <w:rsid w:val="1C0B09A4"/>
    <w:rsid w:val="21A85012"/>
    <w:rsid w:val="252B1B0B"/>
    <w:rsid w:val="25EA3AAD"/>
    <w:rsid w:val="2762654F"/>
    <w:rsid w:val="28D37B28"/>
    <w:rsid w:val="29B67DA6"/>
    <w:rsid w:val="2C7A0977"/>
    <w:rsid w:val="302B7BF4"/>
    <w:rsid w:val="30C910B5"/>
    <w:rsid w:val="315F7DC5"/>
    <w:rsid w:val="32DC43F4"/>
    <w:rsid w:val="34092780"/>
    <w:rsid w:val="346E26E0"/>
    <w:rsid w:val="36077B7E"/>
    <w:rsid w:val="36615BB8"/>
    <w:rsid w:val="367F3B53"/>
    <w:rsid w:val="38417A1E"/>
    <w:rsid w:val="389E0E99"/>
    <w:rsid w:val="38B44A00"/>
    <w:rsid w:val="38DC687E"/>
    <w:rsid w:val="42787101"/>
    <w:rsid w:val="43744B0A"/>
    <w:rsid w:val="454F46DC"/>
    <w:rsid w:val="455455A1"/>
    <w:rsid w:val="49500D84"/>
    <w:rsid w:val="4AEF1B14"/>
    <w:rsid w:val="4C082C41"/>
    <w:rsid w:val="4D510CE8"/>
    <w:rsid w:val="53060657"/>
    <w:rsid w:val="56301FC6"/>
    <w:rsid w:val="56AB3D11"/>
    <w:rsid w:val="57F94CF0"/>
    <w:rsid w:val="5A314AF8"/>
    <w:rsid w:val="5AE8405F"/>
    <w:rsid w:val="5B4D214A"/>
    <w:rsid w:val="5C9F6B2C"/>
    <w:rsid w:val="5D2D6FD7"/>
    <w:rsid w:val="66EE29D9"/>
    <w:rsid w:val="675F1BF8"/>
    <w:rsid w:val="67931399"/>
    <w:rsid w:val="67E97973"/>
    <w:rsid w:val="6A430EB6"/>
    <w:rsid w:val="6D5C79D1"/>
    <w:rsid w:val="70FF7501"/>
    <w:rsid w:val="72A434DA"/>
    <w:rsid w:val="72F8109D"/>
    <w:rsid w:val="7417510E"/>
    <w:rsid w:val="79DE5B8D"/>
    <w:rsid w:val="7B58797C"/>
    <w:rsid w:val="7B6D79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自选图形 46"/>
        <o:r id="V:Rule2" type="connector" idref="#自选图形 51"/>
        <o:r id="V:Rule3" type="connector" idref="#自选图形 86"/>
        <o:r id="V:Rule4" type="connector" idref="#自选图形 68"/>
        <o:r id="V:Rule5" type="connector" idref="#自选图形 55"/>
        <o:r id="V:Rule6" type="connector" idref="#_x0000_s1139"/>
        <o:r id="V:Rule7" type="connector" idref="#_x0000_s1141"/>
        <o:r id="V:Rule8" type="connector" idref="#_x0000_s1143"/>
        <o:r id="V:Rule9" type="connector" idref="#自选图形 58"/>
        <o:r id="V:Rule10" type="connector" idref="#自选图形 34"/>
        <o:r id="V:Rule11" type="connector" idref="#自选图形 59"/>
        <o:r id="V:Rule12" type="connector" idref="#_x0000_s1151"/>
        <o:r id="V:Rule13" type="connector" idref="#_x0000_s1152"/>
        <o:r id="V:Rule14" type="connector" idref="#_x0000_s1153"/>
        <o:r id="V:Rule15" type="connector" idref="#自选图形 67"/>
        <o:r id="V:Rule16" type="connector" idref="#自选图形 66"/>
        <o:r id="V:Rule17" type="connector" idref="#_x0000_s1156"/>
        <o:r id="V:Rule18" type="connector" idref="#_x0000_s1157"/>
        <o:r id="V:Rule19" type="connector" idref="#自选图形 65"/>
        <o:r id="V:Rule20" type="connector" idref="#自选图形 53"/>
        <o:r id="V:Rule21" type="connector" idref="#_x0000_s1164"/>
        <o:r id="V:Rule22" type="connector" idref="#自选图形 60"/>
        <o:r id="V:Rule23" type="connector" idref="#自选图形 61"/>
        <o:r id="V:Rule24" type="connector" idref="#_x0000_s1168"/>
        <o:r id="V:Rule25" type="connector" idref="#_x0000_s1169"/>
        <o:r id="V:Rule26" type="connector" idref="#_x0000_s1170"/>
        <o:r id="V:Rule27" type="connector" idref="#自选图形 78"/>
        <o:r id="V:Rule28" type="connector" idref="#_x0000_s1172"/>
        <o:r id="V:Rule29" type="connector" idref="#_x0000_s1177"/>
        <o:r id="V:Rule30" type="connector" idref="#_x0000_s1180"/>
        <o:r id="V:Rule31" type="connector" idref="#_x0000_s1181"/>
        <o:r id="V:Rule32" type="connector" idref="#_x0000_s1183"/>
        <o:r id="V:Rule33" type="connector" idref="#_x0000_s1186"/>
        <o:r id="V:Rule34" type="connector" idref="#自选图形 57"/>
        <o:r id="V:Rule35" type="connector" idref="#_x0000_s1190"/>
        <o:r id="V:Rule36" type="connector" idref="#自选图形 35"/>
        <o:r id="V:Rule37" type="connector" idref="#_x0000_s1195"/>
        <o:r id="V:Rule38" type="connector" idref="#自选图形 60"/>
        <o:r id="V:Rule39" type="connector" idref="#自选图形 61"/>
        <o:r id="V:Rule40" type="connector" idref="#_x0000_s1199"/>
        <o:r id="V:Rule41" type="connector" idref="#_x0000_s1200"/>
        <o:r id="V:Rule42" type="connector" idref="#_x0000_s1201"/>
        <o:r id="V:Rule43" type="connector" idref="#自选图形 78"/>
        <o:r id="V:Rule44" type="connector" idref="#_x0000_s1203"/>
        <o:r id="V:Rule45" type="connector" idref="#_x0000_s1208"/>
        <o:r id="V:Rule46" type="connector" idref="#_x0000_s1211"/>
        <o:r id="V:Rule47" type="connector" idref="#_x0000_s1212"/>
        <o:r id="V:Rule48" type="connector" idref="#_x0000_s1214"/>
        <o:r id="V:Rule49" type="connector" idref="#_x0000_s1217"/>
        <o:r id="V:Rule50" type="connector" idref="#自选图形 57"/>
        <o:r id="V:Rule51" type="connector" idref="#自选图形 52"/>
        <o:r id="V:Rule52" type="connector" idref="#_x0000_s1228"/>
        <o:r id="V:Rule53" type="connector" idref="#自选图形 374"/>
        <o:r id="V:Rule54" type="connector" idref="#自选图形 30"/>
        <o:r id="V:Rule55" type="connector" idref="#自选图形 377"/>
        <o:r id="V:Rule56" type="connector" idref="#直接箭头连接符 37"/>
        <o:r id="V:Rule57" type="connector" idref="#直接箭头连接符 36"/>
        <o:r id="V:Rule58" type="connector" idref="#直接箭头连接符 35"/>
        <o:r id="V:Rule59" type="connector" idref="#直接箭头连接符 33"/>
        <o:r id="V:Rule60" type="connector" idref="#直接箭头连接符 32"/>
        <o:r id="V:Rule61" type="connector" idref="#直接箭头连接符 31"/>
        <o:r id="V:Rule62" type="connector" idref="#直接箭头连接符 28"/>
        <o:r id="V:Rule63" type="connector" idref="#直接箭头连接符 26"/>
        <o:r id="V:Rule64" type="connector" idref="#直接箭头连接符 24"/>
        <o:r id="V:Rule65" type="connector" idref="#直接箭头连接符 20"/>
        <o:r id="V:Rule66" type="connector" idref="#直接箭头连接符 17"/>
        <o:r id="V:Rule67" type="connector" idref="#直接箭头连接符 15"/>
        <o:r id="V:Rule68" type="connector" idref="#直接箭头连接符 8"/>
        <o:r id="V:Rule69" type="connector" idref="#直接箭头连接符 10"/>
        <o:r id="V:Rule70" type="connector" idref="#直接箭头连接符 12"/>
        <o:r id="V:Rule71" type="connector" idref="#自选图形 183"/>
        <o:r id="V:Rule72" type="connector" idref="#自选图形 182"/>
        <o:r id="V:Rule73" type="connector" idref="#自选图形 172"/>
        <o:r id="V:Rule74" type="connector" idref="#自选图形 177"/>
        <o:r id="V:Rule75" type="connector" idref="#自选图形 176"/>
        <o:r id="V:Rule76" type="connector" idref="#自选图形 29"/>
        <o:r id="V:Rule77" type="connector" idref="#自选图形 185"/>
        <o:r id="V:Rule78" type="connector" idref="#自选图形 187"/>
        <o:r id="V:Rule79" type="connector" idref="#自选图形 174"/>
        <o:r id="V:Rule80" type="connector" idref="#自选图形 17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qFormat="1" w:uiPriority="99" w:semiHidden="0" w:name="Body Text Indent 2"/>
    <w:lsdException w:qFormat="1" w:uiPriority="99"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qFormat="1"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5"/>
    <w:unhideWhenUsed/>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96"/>
    <w:unhideWhenUsed/>
    <w:qFormat/>
    <w:uiPriority w:val="9"/>
    <w:pPr>
      <w:keepNext/>
      <w:keepLines/>
      <w:numPr>
        <w:ilvl w:val="0"/>
        <w:numId w:val="1"/>
      </w:numPr>
      <w:spacing w:before="260" w:after="260" w:line="415" w:lineRule="auto"/>
      <w:outlineLvl w:val="1"/>
    </w:pPr>
    <w:rPr>
      <w:rFonts w:ascii="黑体" w:hAnsi="宋体" w:eastAsia="黑体" w:cs="Times New Roman"/>
      <w:b/>
      <w:bCs/>
      <w:kern w:val="0"/>
      <w:sz w:val="32"/>
      <w:szCs w:val="32"/>
    </w:rPr>
  </w:style>
  <w:style w:type="paragraph" w:styleId="4">
    <w:name w:val="heading 3"/>
    <w:basedOn w:val="1"/>
    <w:next w:val="1"/>
    <w:link w:val="77"/>
    <w:unhideWhenUsed/>
    <w:qFormat/>
    <w:uiPriority w:val="9"/>
    <w:pPr>
      <w:keepNext/>
      <w:keepLines/>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78"/>
    <w:unhideWhenUsed/>
    <w:qFormat/>
    <w:uiPriority w:val="9"/>
    <w:pPr>
      <w:keepNext/>
      <w:keepLines/>
      <w:spacing w:before="280" w:after="290" w:line="376" w:lineRule="auto"/>
      <w:outlineLvl w:val="3"/>
    </w:pPr>
    <w:rPr>
      <w:rFonts w:ascii="Cambria" w:hAnsi="Cambria" w:eastAsia="宋体" w:cs="Times New Roman"/>
      <w:b/>
      <w:bCs/>
      <w:sz w:val="28"/>
      <w:szCs w:val="28"/>
    </w:rPr>
  </w:style>
  <w:style w:type="paragraph" w:styleId="6">
    <w:name w:val="heading 5"/>
    <w:basedOn w:val="1"/>
    <w:next w:val="1"/>
    <w:link w:val="79"/>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80"/>
    <w:unhideWhenUsed/>
    <w:qFormat/>
    <w:uiPriority w:val="9"/>
    <w:pPr>
      <w:keepNext/>
      <w:keepLines/>
      <w:spacing w:before="240" w:after="64" w:line="320" w:lineRule="auto"/>
      <w:outlineLvl w:val="5"/>
    </w:pPr>
    <w:rPr>
      <w:rFonts w:ascii="Cambria" w:hAnsi="Cambria" w:eastAsia="宋体" w:cs="Times New Roman"/>
      <w:b/>
      <w:bCs/>
      <w:sz w:val="24"/>
      <w:szCs w:val="24"/>
    </w:rPr>
  </w:style>
  <w:style w:type="paragraph" w:styleId="8">
    <w:name w:val="heading 7"/>
    <w:basedOn w:val="1"/>
    <w:next w:val="1"/>
    <w:link w:val="81"/>
    <w:unhideWhenUsed/>
    <w:qFormat/>
    <w:uiPriority w:val="9"/>
    <w:pPr>
      <w:keepNext/>
      <w:keepLines/>
      <w:spacing w:before="240" w:after="64" w:line="320" w:lineRule="auto"/>
      <w:outlineLvl w:val="6"/>
    </w:pPr>
    <w:rPr>
      <w:rFonts w:ascii="Times New Roman" w:hAnsi="Times New Roman" w:eastAsia="宋体" w:cs="Times New Roman"/>
      <w:b/>
      <w:bCs/>
      <w:sz w:val="24"/>
      <w:szCs w:val="24"/>
    </w:rPr>
  </w:style>
  <w:style w:type="paragraph" w:styleId="9">
    <w:name w:val="heading 8"/>
    <w:basedOn w:val="1"/>
    <w:next w:val="1"/>
    <w:link w:val="82"/>
    <w:unhideWhenUsed/>
    <w:qFormat/>
    <w:uiPriority w:val="9"/>
    <w:pPr>
      <w:keepNext/>
      <w:keepLines/>
      <w:spacing w:before="240" w:after="64" w:line="320" w:lineRule="auto"/>
      <w:outlineLvl w:val="7"/>
    </w:pPr>
    <w:rPr>
      <w:rFonts w:ascii="Cambria" w:hAnsi="Cambria" w:eastAsia="宋体" w:cs="Times New Roman"/>
      <w:sz w:val="24"/>
      <w:szCs w:val="24"/>
    </w:rPr>
  </w:style>
  <w:style w:type="paragraph" w:styleId="10">
    <w:name w:val="heading 9"/>
    <w:basedOn w:val="1"/>
    <w:next w:val="1"/>
    <w:link w:val="83"/>
    <w:unhideWhenUsed/>
    <w:qFormat/>
    <w:uiPriority w:val="9"/>
    <w:pPr>
      <w:keepNext/>
      <w:keepLines/>
      <w:spacing w:before="240" w:after="64" w:line="320" w:lineRule="auto"/>
      <w:outlineLvl w:val="8"/>
    </w:pPr>
    <w:rPr>
      <w:rFonts w:ascii="Cambria" w:hAnsi="Cambria" w:eastAsia="宋体" w:cs="Times New Roman"/>
      <w:szCs w:val="21"/>
    </w:rPr>
  </w:style>
  <w:style w:type="character" w:default="1" w:styleId="39">
    <w:name w:val="Default Paragraph Font"/>
    <w:unhideWhenUsed/>
    <w:qFormat/>
    <w:uiPriority w:val="1"/>
  </w:style>
  <w:style w:type="table" w:default="1" w:styleId="37">
    <w:name w:val="Normal Table"/>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Times New Roman" w:hAnsi="Times New Roman" w:eastAsia="宋体" w:cs="Times New Roman"/>
      <w:szCs w:val="24"/>
    </w:rPr>
  </w:style>
  <w:style w:type="paragraph" w:styleId="12">
    <w:name w:val="Normal Indent"/>
    <w:basedOn w:val="1"/>
    <w:semiHidden/>
    <w:unhideWhenUsed/>
    <w:qFormat/>
    <w:uiPriority w:val="99"/>
    <w:pPr>
      <w:ind w:firstLine="420" w:firstLineChars="200"/>
    </w:pPr>
    <w:rPr>
      <w:rFonts w:eastAsia="宋体"/>
      <w:kern w:val="0"/>
      <w:sz w:val="20"/>
    </w:rPr>
  </w:style>
  <w:style w:type="paragraph" w:styleId="13">
    <w:name w:val="Document Map"/>
    <w:basedOn w:val="1"/>
    <w:link w:val="64"/>
    <w:unhideWhenUsed/>
    <w:qFormat/>
    <w:uiPriority w:val="99"/>
    <w:rPr>
      <w:rFonts w:ascii="宋体" w:hAnsi="Times New Roman" w:eastAsia="宋体" w:cs="Times New Roman"/>
      <w:sz w:val="18"/>
      <w:szCs w:val="18"/>
    </w:rPr>
  </w:style>
  <w:style w:type="paragraph" w:styleId="14">
    <w:name w:val="annotation text"/>
    <w:basedOn w:val="1"/>
    <w:link w:val="84"/>
    <w:unhideWhenUsed/>
    <w:qFormat/>
    <w:uiPriority w:val="99"/>
    <w:pPr>
      <w:jc w:val="left"/>
    </w:pPr>
    <w:rPr>
      <w:rFonts w:ascii="Calibri" w:hAnsi="Calibri" w:eastAsia="宋体" w:cs="Times New Roman"/>
      <w:szCs w:val="22"/>
    </w:rPr>
  </w:style>
  <w:style w:type="paragraph" w:styleId="15">
    <w:name w:val="Body Text"/>
    <w:basedOn w:val="1"/>
    <w:link w:val="85"/>
    <w:unhideWhenUsed/>
    <w:qFormat/>
    <w:uiPriority w:val="99"/>
    <w:rPr>
      <w:rFonts w:ascii="宋体" w:hAnsi="宋体" w:eastAsia="宋体" w:cs="宋体"/>
      <w:sz w:val="24"/>
      <w:szCs w:val="24"/>
      <w:lang w:val="zh-CN" w:bidi="zh-CN"/>
    </w:rPr>
  </w:style>
  <w:style w:type="paragraph" w:styleId="16">
    <w:name w:val="Body Text Indent"/>
    <w:basedOn w:val="1"/>
    <w:link w:val="86"/>
    <w:unhideWhenUsed/>
    <w:qFormat/>
    <w:uiPriority w:val="99"/>
    <w:pPr>
      <w:spacing w:after="120"/>
      <w:ind w:left="420" w:leftChars="200"/>
    </w:pPr>
    <w:rPr>
      <w:rFonts w:ascii="Times New Roman" w:hAnsi="Times New Roman" w:eastAsia="宋体" w:cs="Times New Roman"/>
      <w:szCs w:val="24"/>
    </w:rPr>
  </w:style>
  <w:style w:type="paragraph" w:styleId="17">
    <w:name w:val="toc 5"/>
    <w:basedOn w:val="1"/>
    <w:next w:val="1"/>
    <w:unhideWhenUsed/>
    <w:qFormat/>
    <w:uiPriority w:val="39"/>
    <w:pPr>
      <w:ind w:left="1680" w:leftChars="800"/>
    </w:pPr>
    <w:rPr>
      <w:rFonts w:ascii="Times New Roman" w:hAnsi="Times New Roman" w:eastAsia="宋体" w:cs="Times New Roman"/>
      <w:szCs w:val="24"/>
    </w:rPr>
  </w:style>
  <w:style w:type="paragraph" w:styleId="18">
    <w:name w:val="toc 3"/>
    <w:basedOn w:val="1"/>
    <w:next w:val="1"/>
    <w:unhideWhenUsed/>
    <w:qFormat/>
    <w:uiPriority w:val="39"/>
    <w:pPr>
      <w:widowControl/>
      <w:spacing w:after="100" w:line="276" w:lineRule="auto"/>
      <w:ind w:left="440"/>
      <w:jc w:val="left"/>
    </w:pPr>
    <w:rPr>
      <w:kern w:val="0"/>
      <w:sz w:val="22"/>
    </w:rPr>
  </w:style>
  <w:style w:type="paragraph" w:styleId="19">
    <w:name w:val="Plain Text"/>
    <w:basedOn w:val="1"/>
    <w:link w:val="87"/>
    <w:unhideWhenUsed/>
    <w:qFormat/>
    <w:uiPriority w:val="99"/>
    <w:rPr>
      <w:rFonts w:ascii="宋体" w:hAnsi="Courier New" w:eastAsia="宋体" w:cs="Times New Roman"/>
      <w:kern w:val="0"/>
      <w:sz w:val="20"/>
      <w:szCs w:val="21"/>
    </w:rPr>
  </w:style>
  <w:style w:type="paragraph" w:styleId="20">
    <w:name w:val="toc 8"/>
    <w:basedOn w:val="1"/>
    <w:next w:val="1"/>
    <w:unhideWhenUsed/>
    <w:qFormat/>
    <w:uiPriority w:val="39"/>
    <w:pPr>
      <w:ind w:left="2940" w:leftChars="1400"/>
    </w:pPr>
    <w:rPr>
      <w:rFonts w:ascii="Times New Roman" w:hAnsi="Times New Roman" w:eastAsia="宋体" w:cs="Times New Roman"/>
      <w:szCs w:val="24"/>
    </w:rPr>
  </w:style>
  <w:style w:type="paragraph" w:styleId="21">
    <w:name w:val="Date"/>
    <w:basedOn w:val="1"/>
    <w:next w:val="1"/>
    <w:link w:val="88"/>
    <w:unhideWhenUsed/>
    <w:qFormat/>
    <w:uiPriority w:val="99"/>
    <w:pPr>
      <w:ind w:left="100" w:leftChars="2500"/>
    </w:pPr>
    <w:rPr>
      <w:rFonts w:ascii="Times New Roman" w:hAnsi="Times New Roman" w:eastAsia="宋体" w:cs="Times New Roman"/>
      <w:szCs w:val="24"/>
    </w:rPr>
  </w:style>
  <w:style w:type="paragraph" w:styleId="22">
    <w:name w:val="Body Text Indent 2"/>
    <w:basedOn w:val="1"/>
    <w:link w:val="89"/>
    <w:unhideWhenUsed/>
    <w:qFormat/>
    <w:uiPriority w:val="99"/>
    <w:pPr>
      <w:ind w:firstLine="480" w:firstLineChars="200"/>
    </w:pPr>
    <w:rPr>
      <w:rFonts w:ascii="Times New Roman" w:hAnsi="Times New Roman" w:eastAsia="宋体" w:cs="Times New Roman"/>
      <w:sz w:val="24"/>
      <w:szCs w:val="24"/>
    </w:rPr>
  </w:style>
  <w:style w:type="paragraph" w:styleId="23">
    <w:name w:val="Balloon Text"/>
    <w:basedOn w:val="1"/>
    <w:link w:val="71"/>
    <w:unhideWhenUsed/>
    <w:qFormat/>
    <w:uiPriority w:val="99"/>
    <w:rPr>
      <w:sz w:val="18"/>
      <w:szCs w:val="18"/>
    </w:rPr>
  </w:style>
  <w:style w:type="paragraph" w:styleId="24">
    <w:name w:val="footer"/>
    <w:basedOn w:val="1"/>
    <w:link w:val="90"/>
    <w:unhideWhenUsed/>
    <w:qFormat/>
    <w:uiPriority w:val="99"/>
    <w:pPr>
      <w:tabs>
        <w:tab w:val="center" w:pos="4153"/>
        <w:tab w:val="right" w:pos="8306"/>
      </w:tabs>
      <w:snapToGrid w:val="0"/>
      <w:jc w:val="left"/>
    </w:pPr>
    <w:rPr>
      <w:sz w:val="18"/>
      <w:szCs w:val="18"/>
    </w:rPr>
  </w:style>
  <w:style w:type="paragraph" w:styleId="25">
    <w:name w:val="header"/>
    <w:basedOn w:val="1"/>
    <w:link w:val="91"/>
    <w:unhideWhenUsed/>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unhideWhenUsed/>
    <w:qFormat/>
    <w:uiPriority w:val="39"/>
    <w:pPr>
      <w:widowControl/>
      <w:spacing w:after="100" w:line="276" w:lineRule="auto"/>
      <w:jc w:val="left"/>
    </w:pPr>
    <w:rPr>
      <w:kern w:val="0"/>
      <w:sz w:val="22"/>
    </w:rPr>
  </w:style>
  <w:style w:type="paragraph" w:styleId="27">
    <w:name w:val="toc 4"/>
    <w:basedOn w:val="1"/>
    <w:next w:val="1"/>
    <w:unhideWhenUsed/>
    <w:qFormat/>
    <w:uiPriority w:val="39"/>
    <w:pPr>
      <w:ind w:left="1260" w:leftChars="600"/>
    </w:pPr>
    <w:rPr>
      <w:rFonts w:ascii="Times New Roman" w:hAnsi="Times New Roman" w:eastAsia="宋体" w:cs="Times New Roman"/>
      <w:szCs w:val="24"/>
    </w:rPr>
  </w:style>
  <w:style w:type="paragraph" w:styleId="28">
    <w:name w:val="Subtitle"/>
    <w:basedOn w:val="1"/>
    <w:next w:val="1"/>
    <w:qFormat/>
    <w:uiPriority w:val="11"/>
    <w:pPr>
      <w:spacing w:before="240" w:after="60" w:line="312" w:lineRule="auto"/>
      <w:jc w:val="center"/>
      <w:outlineLvl w:val="1"/>
    </w:pPr>
    <w:rPr>
      <w:rFonts w:ascii="Cambria" w:hAnsi="Cambria" w:eastAsia="宋体" w:cs="Times New Roman"/>
      <w:b/>
      <w:bCs/>
      <w:kern w:val="28"/>
      <w:sz w:val="32"/>
      <w:szCs w:val="32"/>
    </w:rPr>
  </w:style>
  <w:style w:type="paragraph" w:styleId="29">
    <w:name w:val="toc 6"/>
    <w:basedOn w:val="1"/>
    <w:next w:val="1"/>
    <w:unhideWhenUsed/>
    <w:qFormat/>
    <w:uiPriority w:val="39"/>
    <w:pPr>
      <w:ind w:left="2100" w:leftChars="1000"/>
    </w:pPr>
    <w:rPr>
      <w:rFonts w:ascii="Times New Roman" w:hAnsi="Times New Roman" w:eastAsia="宋体" w:cs="Times New Roman"/>
      <w:szCs w:val="24"/>
    </w:rPr>
  </w:style>
  <w:style w:type="paragraph" w:styleId="30">
    <w:name w:val="Body Text Indent 3"/>
    <w:basedOn w:val="1"/>
    <w:link w:val="92"/>
    <w:unhideWhenUsed/>
    <w:qFormat/>
    <w:uiPriority w:val="99"/>
    <w:pPr>
      <w:spacing w:after="120"/>
      <w:ind w:left="420" w:leftChars="200"/>
    </w:pPr>
    <w:rPr>
      <w:rFonts w:ascii="Calibri" w:hAnsi="Calibri" w:eastAsia="宋体" w:cs="Times New Roman"/>
      <w:sz w:val="16"/>
      <w:szCs w:val="16"/>
    </w:rPr>
  </w:style>
  <w:style w:type="paragraph" w:styleId="31">
    <w:name w:val="toc 2"/>
    <w:basedOn w:val="1"/>
    <w:next w:val="1"/>
    <w:unhideWhenUsed/>
    <w:qFormat/>
    <w:uiPriority w:val="39"/>
    <w:pPr>
      <w:widowControl/>
      <w:tabs>
        <w:tab w:val="right" w:leader="dot" w:pos="8290"/>
      </w:tabs>
      <w:spacing w:after="100" w:line="276" w:lineRule="auto"/>
      <w:ind w:left="220"/>
    </w:pPr>
    <w:rPr>
      <w:kern w:val="0"/>
      <w:sz w:val="22"/>
    </w:rPr>
  </w:style>
  <w:style w:type="paragraph" w:styleId="32">
    <w:name w:val="toc 9"/>
    <w:basedOn w:val="1"/>
    <w:next w:val="1"/>
    <w:unhideWhenUsed/>
    <w:qFormat/>
    <w:uiPriority w:val="39"/>
    <w:pPr>
      <w:ind w:left="3360" w:leftChars="1600"/>
    </w:pPr>
    <w:rPr>
      <w:rFonts w:ascii="Times New Roman" w:hAnsi="Times New Roman" w:eastAsia="宋体" w:cs="Times New Roman"/>
      <w:szCs w:val="24"/>
    </w:rPr>
  </w:style>
  <w:style w:type="paragraph" w:styleId="33">
    <w:name w:val="Body Text 2"/>
    <w:basedOn w:val="1"/>
    <w:link w:val="93"/>
    <w:unhideWhenUsed/>
    <w:qFormat/>
    <w:uiPriority w:val="99"/>
    <w:rPr>
      <w:rFonts w:ascii="Times New Roman" w:hAnsi="Times New Roman" w:eastAsia="宋体" w:cs="Times New Roman"/>
      <w:sz w:val="24"/>
      <w:szCs w:val="24"/>
    </w:rPr>
  </w:style>
  <w:style w:type="paragraph" w:styleId="34">
    <w:name w:val="Normal (Web)"/>
    <w:basedOn w:val="1"/>
    <w:unhideWhenUsed/>
    <w:qFormat/>
    <w:uiPriority w:val="99"/>
    <w:pPr>
      <w:widowControl/>
      <w:spacing w:before="100" w:beforeAutospacing="1" w:after="100" w:afterAutospacing="1"/>
      <w:jc w:val="left"/>
    </w:pPr>
    <w:rPr>
      <w:rFonts w:ascii="宋体" w:hAnsi="宋体" w:eastAsia="宋体" w:cs="宋体"/>
      <w:color w:val="000000"/>
      <w:kern w:val="0"/>
      <w:sz w:val="24"/>
      <w:szCs w:val="24"/>
    </w:rPr>
  </w:style>
  <w:style w:type="paragraph" w:styleId="35">
    <w:name w:val="Title"/>
    <w:basedOn w:val="1"/>
    <w:next w:val="1"/>
    <w:link w:val="94"/>
    <w:qFormat/>
    <w:uiPriority w:val="10"/>
    <w:pPr>
      <w:spacing w:before="240" w:after="60"/>
      <w:jc w:val="center"/>
      <w:outlineLvl w:val="0"/>
    </w:pPr>
    <w:rPr>
      <w:rFonts w:ascii="Cambria" w:hAnsi="Cambria" w:eastAsia="宋体" w:cs="Times New Roman"/>
      <w:b/>
      <w:bCs/>
      <w:sz w:val="32"/>
      <w:szCs w:val="32"/>
    </w:rPr>
  </w:style>
  <w:style w:type="paragraph" w:styleId="36">
    <w:name w:val="annotation subject"/>
    <w:basedOn w:val="14"/>
    <w:next w:val="14"/>
    <w:link w:val="95"/>
    <w:unhideWhenUsed/>
    <w:qFormat/>
    <w:uiPriority w:val="99"/>
    <w:rPr>
      <w:b/>
      <w:bCs/>
    </w:rPr>
  </w:style>
  <w:style w:type="table" w:styleId="38">
    <w:name w:val="Table Grid"/>
    <w:basedOn w:val="37"/>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rFonts w:ascii="Times New Roman" w:hAnsi="Times New Roman" w:eastAsia="宋体" w:cs="Times New Roman"/>
      <w:b/>
      <w:bCs/>
    </w:rPr>
  </w:style>
  <w:style w:type="character" w:styleId="41">
    <w:name w:val="page number"/>
    <w:basedOn w:val="39"/>
    <w:unhideWhenUsed/>
    <w:qFormat/>
    <w:uiPriority w:val="99"/>
  </w:style>
  <w:style w:type="character" w:styleId="42">
    <w:name w:val="FollowedHyperlink"/>
    <w:unhideWhenUsed/>
    <w:qFormat/>
    <w:uiPriority w:val="99"/>
    <w:rPr>
      <w:rFonts w:ascii="Calibri" w:hAnsi="Calibri" w:eastAsia="宋体" w:cs="Times New Roman"/>
      <w:color w:val="800080"/>
      <w:u w:val="single"/>
    </w:rPr>
  </w:style>
  <w:style w:type="character" w:styleId="43">
    <w:name w:val="Emphasis"/>
    <w:basedOn w:val="39"/>
    <w:qFormat/>
    <w:uiPriority w:val="20"/>
    <w:rPr>
      <w:rFonts w:ascii="Calibri" w:hAnsi="Calibri" w:eastAsia="宋体" w:cs="Times New Roman"/>
      <w:i/>
    </w:rPr>
  </w:style>
  <w:style w:type="character" w:styleId="44">
    <w:name w:val="Hyperlink"/>
    <w:basedOn w:val="39"/>
    <w:unhideWhenUsed/>
    <w:qFormat/>
    <w:uiPriority w:val="99"/>
    <w:rPr>
      <w:color w:val="0000FF" w:themeColor="hyperlink"/>
      <w:u w:val="single"/>
      <w14:textFill>
        <w14:solidFill>
          <w14:schemeClr w14:val="hlink"/>
        </w14:solidFill>
      </w14:textFill>
    </w:rPr>
  </w:style>
  <w:style w:type="character" w:styleId="45">
    <w:name w:val="annotation reference"/>
    <w:basedOn w:val="39"/>
    <w:unhideWhenUsed/>
    <w:qFormat/>
    <w:uiPriority w:val="99"/>
    <w:rPr>
      <w:rFonts w:ascii="Calibri" w:hAnsi="Calibri" w:eastAsia="宋体" w:cs="Times New Roman"/>
      <w:sz w:val="21"/>
      <w:szCs w:val="21"/>
      <w:lang w:val="en-US" w:eastAsia="zh-CN" w:bidi="ar-SA"/>
    </w:rPr>
  </w:style>
  <w:style w:type="character" w:customStyle="1" w:styleId="46">
    <w:name w:val="批注框文本 Char"/>
    <w:basedOn w:val="39"/>
    <w:link w:val="23"/>
    <w:semiHidden/>
    <w:qFormat/>
    <w:uiPriority w:val="99"/>
    <w:rPr>
      <w:sz w:val="18"/>
      <w:szCs w:val="18"/>
    </w:rPr>
  </w:style>
  <w:style w:type="character" w:customStyle="1" w:styleId="47">
    <w:name w:val="页眉 Char"/>
    <w:basedOn w:val="39"/>
    <w:link w:val="25"/>
    <w:qFormat/>
    <w:uiPriority w:val="99"/>
    <w:rPr>
      <w:sz w:val="18"/>
      <w:szCs w:val="18"/>
    </w:rPr>
  </w:style>
  <w:style w:type="character" w:customStyle="1" w:styleId="48">
    <w:name w:val="页脚 Char"/>
    <w:basedOn w:val="39"/>
    <w:link w:val="24"/>
    <w:qFormat/>
    <w:uiPriority w:val="99"/>
    <w:rPr>
      <w:sz w:val="18"/>
      <w:szCs w:val="18"/>
    </w:rPr>
  </w:style>
  <w:style w:type="character" w:customStyle="1" w:styleId="49">
    <w:name w:val="NormalCharacter"/>
    <w:semiHidden/>
    <w:qFormat/>
    <w:uiPriority w:val="0"/>
  </w:style>
  <w:style w:type="paragraph" w:customStyle="1" w:styleId="50">
    <w:name w:val="Body text|1"/>
    <w:basedOn w:val="1"/>
    <w:qFormat/>
    <w:uiPriority w:val="0"/>
    <w:pPr>
      <w:spacing w:after="160" w:line="360" w:lineRule="auto"/>
      <w:ind w:firstLine="400"/>
    </w:pPr>
    <w:rPr>
      <w:rFonts w:ascii="宋体" w:hAnsi="宋体" w:eastAsia="宋体" w:cs="宋体"/>
      <w:sz w:val="19"/>
      <w:szCs w:val="19"/>
      <w:lang w:val="zh-TW" w:eastAsia="zh-TW" w:bidi="zh-TW"/>
    </w:rPr>
  </w:style>
  <w:style w:type="paragraph" w:customStyle="1" w:styleId="51">
    <w:name w:val="Default"/>
    <w:qFormat/>
    <w:uiPriority w:val="0"/>
    <w:pPr>
      <w:widowControl w:val="0"/>
      <w:autoSpaceDE w:val="0"/>
      <w:autoSpaceDN w:val="0"/>
      <w:adjustRightInd w:val="0"/>
      <w:spacing w:after="160" w:line="259" w:lineRule="auto"/>
    </w:pPr>
    <w:rPr>
      <w:rFonts w:ascii="宋体" w:hAnsi="Times New Roman" w:eastAsia="宋体" w:cs="宋体"/>
      <w:color w:val="000000"/>
      <w:sz w:val="24"/>
      <w:szCs w:val="24"/>
      <w:lang w:val="en-US" w:eastAsia="zh-CN" w:bidi="ar-SA"/>
    </w:rPr>
  </w:style>
  <w:style w:type="paragraph" w:styleId="52">
    <w:name w:val="List Paragraph"/>
    <w:basedOn w:val="1"/>
    <w:qFormat/>
    <w:uiPriority w:val="34"/>
    <w:pPr>
      <w:ind w:firstLine="420"/>
    </w:pPr>
    <w:rPr>
      <w:rFonts w:ascii="Calibri" w:hAnsi="Calibri" w:cs="Times New Roman"/>
    </w:rPr>
  </w:style>
  <w:style w:type="character" w:customStyle="1" w:styleId="53">
    <w:name w:val="标题 1 Char"/>
    <w:basedOn w:val="39"/>
    <w:link w:val="2"/>
    <w:qFormat/>
    <w:uiPriority w:val="9"/>
    <w:rPr>
      <w:rFonts w:asciiTheme="minorHAnsi" w:hAnsiTheme="minorHAnsi" w:eastAsiaTheme="minorEastAsia" w:cstheme="minorBidi"/>
      <w:b/>
      <w:bCs/>
      <w:kern w:val="44"/>
      <w:sz w:val="44"/>
      <w:szCs w:val="44"/>
    </w:rPr>
  </w:style>
  <w:style w:type="paragraph" w:customStyle="1" w:styleId="54">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5">
    <w:name w:val="标题 1 字符"/>
    <w:basedOn w:val="39"/>
    <w:link w:val="2"/>
    <w:qFormat/>
    <w:uiPriority w:val="0"/>
    <w:rPr>
      <w:rFonts w:eastAsia="仿宋_GB2312" w:cs="Times New Roman" w:asciiTheme="minorAscii" w:hAnsiTheme="minorAscii"/>
      <w:b/>
      <w:bCs/>
      <w:kern w:val="44"/>
      <w:sz w:val="44"/>
      <w:szCs w:val="44"/>
      <w:lang w:val="zh-CN" w:eastAsia="zh-CN"/>
    </w:rPr>
  </w:style>
  <w:style w:type="character" w:customStyle="1" w:styleId="56">
    <w:name w:val="标题 2 Char"/>
    <w:basedOn w:val="39"/>
    <w:link w:val="3"/>
    <w:semiHidden/>
    <w:qFormat/>
    <w:uiPriority w:val="0"/>
    <w:rPr>
      <w:rFonts w:ascii="黑体" w:hAnsi="宋体" w:eastAsia="黑体" w:cs="Times New Roman"/>
      <w:b/>
      <w:bCs/>
      <w:kern w:val="0"/>
      <w:sz w:val="32"/>
      <w:szCs w:val="32"/>
    </w:rPr>
  </w:style>
  <w:style w:type="character" w:customStyle="1" w:styleId="57">
    <w:name w:val="标题 3 字符"/>
    <w:basedOn w:val="39"/>
    <w:link w:val="4"/>
    <w:qFormat/>
    <w:uiPriority w:val="0"/>
    <w:rPr>
      <w:rFonts w:ascii="Times New Roman" w:hAnsi="Times New Roman" w:eastAsia="宋体" w:cs="Times New Roman"/>
      <w:b/>
      <w:bCs/>
      <w:sz w:val="32"/>
      <w:szCs w:val="32"/>
    </w:rPr>
  </w:style>
  <w:style w:type="character" w:customStyle="1" w:styleId="58">
    <w:name w:val="标题 4 字符"/>
    <w:basedOn w:val="39"/>
    <w:link w:val="5"/>
    <w:qFormat/>
    <w:uiPriority w:val="0"/>
    <w:rPr>
      <w:rFonts w:ascii="Cambria" w:hAnsi="Cambria" w:eastAsia="宋体" w:cs="Times New Roman"/>
      <w:b/>
      <w:bCs/>
      <w:sz w:val="28"/>
      <w:szCs w:val="28"/>
    </w:rPr>
  </w:style>
  <w:style w:type="character" w:customStyle="1" w:styleId="59">
    <w:name w:val="标题 5 字符"/>
    <w:basedOn w:val="39"/>
    <w:link w:val="6"/>
    <w:qFormat/>
    <w:uiPriority w:val="0"/>
    <w:rPr>
      <w:rFonts w:ascii="Times New Roman" w:hAnsi="Times New Roman" w:eastAsia="宋体" w:cs="Times New Roman"/>
      <w:b/>
      <w:bCs/>
      <w:sz w:val="28"/>
      <w:szCs w:val="28"/>
    </w:rPr>
  </w:style>
  <w:style w:type="character" w:customStyle="1" w:styleId="60">
    <w:name w:val="标题 6 字符"/>
    <w:basedOn w:val="39"/>
    <w:link w:val="7"/>
    <w:qFormat/>
    <w:uiPriority w:val="0"/>
    <w:rPr>
      <w:rFonts w:ascii="Cambria" w:hAnsi="Cambria" w:eastAsia="宋体" w:cs="Times New Roman"/>
      <w:b/>
      <w:bCs/>
      <w:sz w:val="24"/>
      <w:szCs w:val="24"/>
    </w:rPr>
  </w:style>
  <w:style w:type="character" w:customStyle="1" w:styleId="61">
    <w:name w:val="标题 7 字符"/>
    <w:basedOn w:val="39"/>
    <w:link w:val="8"/>
    <w:qFormat/>
    <w:uiPriority w:val="0"/>
    <w:rPr>
      <w:rFonts w:ascii="Times New Roman" w:hAnsi="Times New Roman" w:eastAsia="宋体" w:cs="Times New Roman"/>
      <w:b/>
      <w:bCs/>
      <w:sz w:val="24"/>
      <w:szCs w:val="24"/>
    </w:rPr>
  </w:style>
  <w:style w:type="character" w:customStyle="1" w:styleId="62">
    <w:name w:val="标题 8 字符"/>
    <w:basedOn w:val="39"/>
    <w:link w:val="9"/>
    <w:qFormat/>
    <w:uiPriority w:val="0"/>
    <w:rPr>
      <w:rFonts w:ascii="Cambria" w:hAnsi="Cambria" w:eastAsia="宋体" w:cs="Times New Roman"/>
      <w:sz w:val="24"/>
      <w:szCs w:val="24"/>
    </w:rPr>
  </w:style>
  <w:style w:type="character" w:customStyle="1" w:styleId="63">
    <w:name w:val="标题 9 字符"/>
    <w:basedOn w:val="39"/>
    <w:link w:val="10"/>
    <w:qFormat/>
    <w:uiPriority w:val="0"/>
    <w:rPr>
      <w:rFonts w:ascii="Cambria" w:hAnsi="Cambria" w:eastAsia="宋体" w:cs="Times New Roman"/>
      <w:szCs w:val="21"/>
    </w:rPr>
  </w:style>
  <w:style w:type="character" w:customStyle="1" w:styleId="64">
    <w:name w:val="文档结构图 Char"/>
    <w:link w:val="13"/>
    <w:qFormat/>
    <w:uiPriority w:val="0"/>
    <w:rPr>
      <w:rFonts w:ascii="宋体" w:hAnsi="Times New Roman" w:eastAsia="宋体" w:cs="Times New Roman"/>
      <w:sz w:val="18"/>
      <w:szCs w:val="18"/>
    </w:rPr>
  </w:style>
  <w:style w:type="character" w:customStyle="1" w:styleId="65">
    <w:name w:val="批注文字 字符"/>
    <w:basedOn w:val="39"/>
    <w:link w:val="14"/>
    <w:semiHidden/>
    <w:qFormat/>
    <w:uiPriority w:val="99"/>
    <w:rPr>
      <w:rFonts w:ascii="Calibri" w:hAnsi="Calibri" w:eastAsia="宋体" w:cs="Times New Roman"/>
      <w:szCs w:val="22"/>
    </w:rPr>
  </w:style>
  <w:style w:type="character" w:customStyle="1" w:styleId="66">
    <w:name w:val="正文文本 字符"/>
    <w:basedOn w:val="39"/>
    <w:link w:val="15"/>
    <w:qFormat/>
    <w:uiPriority w:val="0"/>
    <w:rPr>
      <w:rFonts w:ascii="宋体" w:hAnsi="宋体" w:eastAsia="宋体" w:cs="宋体"/>
      <w:sz w:val="24"/>
      <w:szCs w:val="24"/>
      <w:lang w:val="zh-CN" w:bidi="zh-CN"/>
    </w:rPr>
  </w:style>
  <w:style w:type="character" w:customStyle="1" w:styleId="67">
    <w:name w:val="正文文本缩进 字符"/>
    <w:basedOn w:val="39"/>
    <w:link w:val="16"/>
    <w:qFormat/>
    <w:uiPriority w:val="0"/>
    <w:rPr>
      <w:rFonts w:ascii="Times New Roman" w:hAnsi="Times New Roman" w:eastAsia="宋体" w:cs="Times New Roman"/>
      <w:szCs w:val="24"/>
    </w:rPr>
  </w:style>
  <w:style w:type="character" w:customStyle="1" w:styleId="68">
    <w:name w:val="纯文本 字符"/>
    <w:basedOn w:val="39"/>
    <w:link w:val="19"/>
    <w:qFormat/>
    <w:uiPriority w:val="0"/>
    <w:rPr>
      <w:rFonts w:ascii="宋体" w:hAnsi="Courier New" w:eastAsia="宋体" w:cs="Times New Roman"/>
      <w:kern w:val="0"/>
      <w:sz w:val="20"/>
      <w:szCs w:val="21"/>
    </w:rPr>
  </w:style>
  <w:style w:type="character" w:customStyle="1" w:styleId="69">
    <w:name w:val="日期 Char"/>
    <w:basedOn w:val="39"/>
    <w:link w:val="21"/>
    <w:qFormat/>
    <w:uiPriority w:val="0"/>
    <w:rPr>
      <w:rFonts w:ascii="Times New Roman" w:hAnsi="Times New Roman" w:eastAsia="宋体" w:cs="Times New Roman"/>
      <w:szCs w:val="24"/>
    </w:rPr>
  </w:style>
  <w:style w:type="character" w:customStyle="1" w:styleId="70">
    <w:name w:val="正文文本缩进 2 字符"/>
    <w:basedOn w:val="39"/>
    <w:link w:val="22"/>
    <w:qFormat/>
    <w:uiPriority w:val="0"/>
    <w:rPr>
      <w:rFonts w:ascii="Times New Roman" w:hAnsi="Times New Roman" w:eastAsia="宋体" w:cs="Times New Roman"/>
      <w:sz w:val="24"/>
      <w:szCs w:val="24"/>
    </w:rPr>
  </w:style>
  <w:style w:type="character" w:customStyle="1" w:styleId="71">
    <w:name w:val="批注框文本 字符"/>
    <w:basedOn w:val="39"/>
    <w:link w:val="23"/>
    <w:semiHidden/>
    <w:qFormat/>
    <w:uiPriority w:val="99"/>
    <w:rPr>
      <w:rFonts w:ascii="Times New Roman" w:hAnsi="Times New Roman" w:eastAsia="宋体" w:cs="Times New Roman"/>
      <w:kern w:val="2"/>
      <w:sz w:val="18"/>
      <w:szCs w:val="18"/>
    </w:rPr>
  </w:style>
  <w:style w:type="character" w:customStyle="1" w:styleId="72">
    <w:name w:val="正文文本缩进 3 字符"/>
    <w:basedOn w:val="39"/>
    <w:link w:val="30"/>
    <w:qFormat/>
    <w:uiPriority w:val="99"/>
    <w:rPr>
      <w:rFonts w:ascii="Calibri" w:hAnsi="Calibri" w:eastAsia="宋体" w:cs="Times New Roman"/>
      <w:sz w:val="16"/>
      <w:szCs w:val="16"/>
    </w:rPr>
  </w:style>
  <w:style w:type="character" w:customStyle="1" w:styleId="73">
    <w:name w:val="正文文本 2 字符"/>
    <w:basedOn w:val="39"/>
    <w:link w:val="33"/>
    <w:qFormat/>
    <w:uiPriority w:val="0"/>
    <w:rPr>
      <w:rFonts w:ascii="Times New Roman" w:hAnsi="Times New Roman" w:eastAsia="宋体" w:cs="Times New Roman"/>
      <w:sz w:val="24"/>
      <w:szCs w:val="24"/>
    </w:rPr>
  </w:style>
  <w:style w:type="character" w:customStyle="1" w:styleId="74">
    <w:name w:val="标题 字符"/>
    <w:basedOn w:val="39"/>
    <w:link w:val="35"/>
    <w:qFormat/>
    <w:uiPriority w:val="0"/>
    <w:rPr>
      <w:rFonts w:ascii="Cambria" w:hAnsi="Cambria" w:eastAsia="宋体" w:cs="Times New Roman"/>
      <w:b/>
      <w:bCs/>
      <w:sz w:val="32"/>
      <w:szCs w:val="32"/>
    </w:rPr>
  </w:style>
  <w:style w:type="character" w:customStyle="1" w:styleId="75">
    <w:name w:val="批注主题 字符"/>
    <w:basedOn w:val="65"/>
    <w:link w:val="36"/>
    <w:semiHidden/>
    <w:qFormat/>
    <w:uiPriority w:val="99"/>
    <w:rPr>
      <w:b/>
      <w:bCs/>
    </w:rPr>
  </w:style>
  <w:style w:type="character" w:customStyle="1" w:styleId="76">
    <w:name w:val="标题 2 Char1"/>
    <w:link w:val="3"/>
    <w:qFormat/>
    <w:uiPriority w:val="99"/>
    <w:rPr>
      <w:rFonts w:ascii="黑体" w:hAnsi="宋体" w:eastAsia="黑体" w:cs="Times New Roman"/>
      <w:b/>
      <w:bCs/>
      <w:kern w:val="0"/>
      <w:sz w:val="32"/>
      <w:szCs w:val="32"/>
    </w:rPr>
  </w:style>
  <w:style w:type="character" w:customStyle="1" w:styleId="77">
    <w:name w:val="标题 3 Char"/>
    <w:basedOn w:val="39"/>
    <w:link w:val="4"/>
    <w:qFormat/>
    <w:uiPriority w:val="0"/>
    <w:rPr>
      <w:rFonts w:ascii="Calibri" w:hAnsi="Calibri" w:eastAsia="宋体" w:cs="Times New Roman"/>
      <w:b/>
      <w:bCs/>
      <w:sz w:val="32"/>
      <w:szCs w:val="32"/>
    </w:rPr>
  </w:style>
  <w:style w:type="character" w:customStyle="1" w:styleId="78">
    <w:name w:val="标题 4 Char"/>
    <w:basedOn w:val="39"/>
    <w:link w:val="5"/>
    <w:qFormat/>
    <w:uiPriority w:val="0"/>
    <w:rPr>
      <w:rFonts w:ascii="Cambria" w:hAnsi="Cambria" w:eastAsia="宋体" w:cs="Times New Roman"/>
      <w:b/>
      <w:bCs/>
      <w:sz w:val="28"/>
      <w:szCs w:val="28"/>
    </w:rPr>
  </w:style>
  <w:style w:type="character" w:customStyle="1" w:styleId="79">
    <w:name w:val="标题 5 Char"/>
    <w:basedOn w:val="39"/>
    <w:link w:val="6"/>
    <w:qFormat/>
    <w:uiPriority w:val="0"/>
    <w:rPr>
      <w:rFonts w:ascii="Times New Roman" w:hAnsi="Times New Roman" w:eastAsia="宋体" w:cs="Times New Roman"/>
      <w:b/>
      <w:bCs/>
      <w:sz w:val="28"/>
      <w:szCs w:val="28"/>
    </w:rPr>
  </w:style>
  <w:style w:type="character" w:customStyle="1" w:styleId="80">
    <w:name w:val="标题 6 Char"/>
    <w:basedOn w:val="39"/>
    <w:link w:val="7"/>
    <w:qFormat/>
    <w:uiPriority w:val="0"/>
    <w:rPr>
      <w:rFonts w:ascii="Cambria" w:hAnsi="Cambria" w:eastAsia="宋体" w:cs="Times New Roman"/>
      <w:b/>
      <w:bCs/>
      <w:sz w:val="24"/>
    </w:rPr>
  </w:style>
  <w:style w:type="character" w:customStyle="1" w:styleId="81">
    <w:name w:val="标题 7 Char"/>
    <w:basedOn w:val="39"/>
    <w:link w:val="8"/>
    <w:qFormat/>
    <w:uiPriority w:val="0"/>
    <w:rPr>
      <w:rFonts w:ascii="Times New Roman" w:hAnsi="Times New Roman" w:eastAsia="宋体" w:cs="Times New Roman"/>
      <w:b/>
      <w:bCs/>
      <w:sz w:val="24"/>
    </w:rPr>
  </w:style>
  <w:style w:type="character" w:customStyle="1" w:styleId="82">
    <w:name w:val="标题 8 Char"/>
    <w:basedOn w:val="39"/>
    <w:link w:val="9"/>
    <w:qFormat/>
    <w:uiPriority w:val="0"/>
    <w:rPr>
      <w:rFonts w:ascii="Cambria" w:hAnsi="Cambria" w:eastAsia="宋体" w:cs="Times New Roman"/>
      <w:sz w:val="24"/>
    </w:rPr>
  </w:style>
  <w:style w:type="character" w:customStyle="1" w:styleId="83">
    <w:name w:val="标题 9 Char"/>
    <w:basedOn w:val="39"/>
    <w:link w:val="10"/>
    <w:qFormat/>
    <w:uiPriority w:val="0"/>
    <w:rPr>
      <w:rFonts w:ascii="Cambria" w:hAnsi="Cambria" w:eastAsia="宋体" w:cs="Times New Roman"/>
      <w:szCs w:val="21"/>
    </w:rPr>
  </w:style>
  <w:style w:type="character" w:customStyle="1" w:styleId="84">
    <w:name w:val="批注文字 Char"/>
    <w:basedOn w:val="39"/>
    <w:link w:val="14"/>
    <w:semiHidden/>
    <w:qFormat/>
    <w:uiPriority w:val="99"/>
    <w:rPr>
      <w:rFonts w:ascii="Calibri" w:hAnsi="Calibri" w:eastAsia="宋体" w:cs="Times New Roman"/>
      <w:lang w:val="en-US" w:eastAsia="zh-CN" w:bidi="ar-SA"/>
    </w:rPr>
  </w:style>
  <w:style w:type="character" w:customStyle="1" w:styleId="85">
    <w:name w:val="正文文本 Char"/>
    <w:basedOn w:val="39"/>
    <w:link w:val="15"/>
    <w:qFormat/>
    <w:uiPriority w:val="0"/>
    <w:rPr>
      <w:rFonts w:ascii="黑体" w:hAnsi="宋体" w:eastAsia="黑体" w:cs="Times New Roman"/>
      <w:kern w:val="2"/>
      <w:sz w:val="36"/>
      <w:szCs w:val="24"/>
    </w:rPr>
  </w:style>
  <w:style w:type="character" w:customStyle="1" w:styleId="86">
    <w:name w:val="正文文本缩进 Char"/>
    <w:link w:val="16"/>
    <w:qFormat/>
    <w:uiPriority w:val="0"/>
    <w:rPr>
      <w:rFonts w:ascii="Calibri" w:hAnsi="Calibri" w:eastAsia="宋体" w:cs="Times New Roman"/>
    </w:rPr>
  </w:style>
  <w:style w:type="character" w:customStyle="1" w:styleId="87">
    <w:name w:val="纯文本 Char"/>
    <w:basedOn w:val="39"/>
    <w:link w:val="19"/>
    <w:qFormat/>
    <w:uiPriority w:val="0"/>
    <w:rPr>
      <w:rFonts w:ascii="宋体" w:hAnsi="Courier New" w:eastAsia="宋体" w:cs="Times New Roman"/>
      <w:kern w:val="0"/>
      <w:sz w:val="20"/>
      <w:szCs w:val="21"/>
    </w:rPr>
  </w:style>
  <w:style w:type="character" w:customStyle="1" w:styleId="88">
    <w:name w:val="日期 字符"/>
    <w:basedOn w:val="39"/>
    <w:link w:val="21"/>
    <w:qFormat/>
    <w:uiPriority w:val="0"/>
    <w:rPr>
      <w:rFonts w:ascii="Calibri" w:hAnsi="Calibri" w:eastAsia="宋体" w:cs="Times New Roman"/>
    </w:rPr>
  </w:style>
  <w:style w:type="character" w:customStyle="1" w:styleId="89">
    <w:name w:val="正文文本缩进 2 Char"/>
    <w:basedOn w:val="39"/>
    <w:link w:val="22"/>
    <w:qFormat/>
    <w:uiPriority w:val="0"/>
    <w:rPr>
      <w:rFonts w:ascii="Calibri" w:hAnsi="Calibri" w:eastAsia="宋体" w:cs="Times New Roman"/>
      <w:sz w:val="24"/>
    </w:rPr>
  </w:style>
  <w:style w:type="character" w:customStyle="1" w:styleId="90">
    <w:name w:val="页脚 字符"/>
    <w:basedOn w:val="39"/>
    <w:link w:val="24"/>
    <w:qFormat/>
    <w:uiPriority w:val="99"/>
    <w:rPr>
      <w:rFonts w:ascii="Calibri" w:hAnsi="Calibri" w:eastAsia="宋体" w:cs="Times New Roman"/>
      <w:kern w:val="2"/>
      <w:sz w:val="18"/>
      <w:szCs w:val="18"/>
    </w:rPr>
  </w:style>
  <w:style w:type="character" w:customStyle="1" w:styleId="91">
    <w:name w:val="页眉 字符"/>
    <w:basedOn w:val="39"/>
    <w:link w:val="25"/>
    <w:qFormat/>
    <w:uiPriority w:val="0"/>
    <w:rPr>
      <w:rFonts w:ascii="Calibri" w:hAnsi="Calibri" w:eastAsia="宋体" w:cs="Times New Roman"/>
      <w:kern w:val="2"/>
      <w:sz w:val="18"/>
      <w:szCs w:val="18"/>
    </w:rPr>
  </w:style>
  <w:style w:type="character" w:customStyle="1" w:styleId="92">
    <w:name w:val="正文文本缩进 3 Char"/>
    <w:basedOn w:val="39"/>
    <w:link w:val="30"/>
    <w:semiHidden/>
    <w:qFormat/>
    <w:uiPriority w:val="99"/>
    <w:rPr>
      <w:rFonts w:ascii="Calibri" w:hAnsi="Calibri" w:eastAsia="宋体" w:cs="Times New Roman"/>
      <w:sz w:val="16"/>
      <w:szCs w:val="16"/>
      <w:lang w:val="en-US" w:eastAsia="zh-CN" w:bidi="ar-SA"/>
    </w:rPr>
  </w:style>
  <w:style w:type="character" w:customStyle="1" w:styleId="93">
    <w:name w:val="正文文本 2 Char"/>
    <w:basedOn w:val="39"/>
    <w:link w:val="33"/>
    <w:qFormat/>
    <w:uiPriority w:val="0"/>
    <w:rPr>
      <w:rFonts w:ascii="Times New Roman" w:hAnsi="Times New Roman" w:eastAsia="宋体" w:cs="Times New Roman"/>
      <w:sz w:val="24"/>
    </w:rPr>
  </w:style>
  <w:style w:type="character" w:customStyle="1" w:styleId="94">
    <w:name w:val="标题 Char"/>
    <w:basedOn w:val="39"/>
    <w:link w:val="35"/>
    <w:qFormat/>
    <w:uiPriority w:val="0"/>
    <w:rPr>
      <w:rFonts w:ascii="Cambria" w:hAnsi="Cambria" w:eastAsia="宋体" w:cs="Times New Roman"/>
      <w:b/>
      <w:bCs/>
      <w:sz w:val="32"/>
      <w:szCs w:val="32"/>
    </w:rPr>
  </w:style>
  <w:style w:type="character" w:customStyle="1" w:styleId="95">
    <w:name w:val="批注主题 Char"/>
    <w:basedOn w:val="84"/>
    <w:link w:val="36"/>
    <w:semiHidden/>
    <w:qFormat/>
    <w:uiPriority w:val="99"/>
    <w:rPr>
      <w:b/>
      <w:bCs/>
    </w:rPr>
  </w:style>
  <w:style w:type="character" w:customStyle="1" w:styleId="96">
    <w:name w:val="标题 2 字符"/>
    <w:basedOn w:val="39"/>
    <w:link w:val="3"/>
    <w:semiHidden/>
    <w:qFormat/>
    <w:uiPriority w:val="9"/>
    <w:rPr>
      <w:rFonts w:ascii="Cambria" w:hAnsi="Cambria" w:eastAsia="宋体" w:cs="Times New Roman"/>
      <w:b/>
      <w:bCs/>
      <w:kern w:val="2"/>
      <w:sz w:val="32"/>
      <w:szCs w:val="32"/>
    </w:rPr>
  </w:style>
  <w:style w:type="paragraph" w:customStyle="1" w:styleId="97">
    <w:name w:val=" Char1 Char Char Char3"/>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98">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99">
    <w:name w:val="页脚 Char1"/>
    <w:basedOn w:val="39"/>
    <w:semiHidden/>
    <w:qFormat/>
    <w:uiPriority w:val="99"/>
    <w:rPr>
      <w:rFonts w:ascii="Times New Roman" w:hAnsi="Times New Roman" w:eastAsia="宋体" w:cs="Times New Roman"/>
      <w:sz w:val="18"/>
      <w:szCs w:val="18"/>
    </w:rPr>
  </w:style>
  <w:style w:type="character" w:customStyle="1" w:styleId="100">
    <w:name w:val="本文正文 Char1"/>
    <w:link w:val="101"/>
    <w:qFormat/>
    <w:uiPriority w:val="99"/>
    <w:rPr>
      <w:rFonts w:ascii="宋体" w:hAnsi="宋体" w:eastAsia="宋体" w:cs="Times New Roman"/>
      <w:kern w:val="0"/>
      <w:sz w:val="28"/>
      <w:szCs w:val="28"/>
    </w:rPr>
  </w:style>
  <w:style w:type="paragraph" w:customStyle="1" w:styleId="101">
    <w:name w:val="本文正文"/>
    <w:basedOn w:val="1"/>
    <w:link w:val="100"/>
    <w:qFormat/>
    <w:uiPriority w:val="99"/>
    <w:pPr>
      <w:widowControl/>
      <w:adjustRightInd w:val="0"/>
      <w:spacing w:line="480" w:lineRule="exact"/>
      <w:ind w:firstLine="560" w:firstLineChars="200"/>
      <w:jc w:val="left"/>
      <w:textAlignment w:val="baseline"/>
    </w:pPr>
    <w:rPr>
      <w:rFonts w:ascii="宋体" w:hAnsi="宋体" w:eastAsia="宋体" w:cs="Times New Roman"/>
      <w:kern w:val="0"/>
      <w:sz w:val="28"/>
      <w:szCs w:val="28"/>
    </w:rPr>
  </w:style>
  <w:style w:type="character" w:customStyle="1" w:styleId="102">
    <w:name w:val="正文文本 Char1"/>
    <w:basedOn w:val="39"/>
    <w:semiHidden/>
    <w:qFormat/>
    <w:uiPriority w:val="99"/>
    <w:rPr>
      <w:rFonts w:ascii="Times New Roman" w:hAnsi="Times New Roman" w:eastAsia="宋体" w:cs="Times New Roman"/>
      <w:szCs w:val="24"/>
    </w:rPr>
  </w:style>
  <w:style w:type="character" w:customStyle="1" w:styleId="103">
    <w:name w:val="纯文本 Char1"/>
    <w:basedOn w:val="39"/>
    <w:semiHidden/>
    <w:qFormat/>
    <w:uiPriority w:val="99"/>
    <w:rPr>
      <w:rFonts w:ascii="宋体" w:hAnsi="Courier New" w:eastAsia="宋体" w:cs="Courier New"/>
      <w:szCs w:val="21"/>
    </w:rPr>
  </w:style>
  <w:style w:type="paragraph" w:customStyle="1" w:styleId="104">
    <w:name w:val="p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5">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06">
    <w:name w:val="style21"/>
    <w:basedOn w:val="39"/>
    <w:qFormat/>
    <w:uiPriority w:val="0"/>
    <w:rPr>
      <w:rFonts w:ascii="Calibri" w:hAnsi="Calibri" w:eastAsia="宋体" w:cs="Times New Roman"/>
      <w:color w:val="666666"/>
      <w:lang w:val="en-US" w:eastAsia="zh-CN" w:bidi="ar-SA"/>
    </w:rPr>
  </w:style>
  <w:style w:type="table" w:customStyle="1" w:styleId="107">
    <w:name w:val="Table Normal"/>
    <w:unhideWhenUsed/>
    <w:qFormat/>
    <w:uiPriority w:val="2"/>
    <w:tblPr>
      <w:tblCellMar>
        <w:top w:w="0" w:type="dxa"/>
        <w:left w:w="0" w:type="dxa"/>
        <w:bottom w:w="0" w:type="dxa"/>
        <w:right w:w="0" w:type="dxa"/>
      </w:tblCellMar>
    </w:tblPr>
  </w:style>
  <w:style w:type="paragraph" w:customStyle="1" w:styleId="108">
    <w:name w:val="Table Paragraph"/>
    <w:basedOn w:val="1"/>
    <w:qFormat/>
    <w:uiPriority w:val="1"/>
    <w:pPr>
      <w:autoSpaceDE w:val="0"/>
      <w:autoSpaceDN w:val="0"/>
      <w:spacing w:before="0" w:after="0" w:line="240" w:lineRule="auto"/>
      <w:ind w:left="0" w:right="0"/>
      <w:jc w:val="left"/>
    </w:pPr>
    <w:rPr>
      <w:rFonts w:ascii="仿宋" w:hAnsi="仿宋" w:eastAsia="仿宋" w:cs="仿宋"/>
      <w:kern w:val="0"/>
      <w:sz w:val="22"/>
      <w:szCs w:val="22"/>
      <w:lang w:val="zh-CN" w:eastAsia="zh-CN" w:bidi="zh-CN"/>
    </w:rPr>
  </w:style>
  <w:style w:type="paragraph" w:customStyle="1" w:styleId="109">
    <w:name w:val="样式1"/>
    <w:basedOn w:val="2"/>
    <w:qFormat/>
    <w:uiPriority w:val="0"/>
    <w:pPr>
      <w:keepNext/>
      <w:keepLines/>
      <w:autoSpaceDE/>
      <w:autoSpaceDN/>
      <w:spacing w:before="360" w:after="280" w:line="240" w:lineRule="auto"/>
      <w:ind w:left="0" w:right="0"/>
      <w:jc w:val="center"/>
      <w:outlineLvl w:val="0"/>
    </w:pPr>
    <w:rPr>
      <w:rFonts w:ascii="Arial" w:hAnsi="Arial" w:eastAsia="仿宋_GB2312" w:cs="Times New Roman"/>
      <w:bCs w:val="0"/>
      <w:kern w:val="44"/>
      <w:sz w:val="32"/>
      <w:szCs w:val="32"/>
      <w:lang w:val="zh-CN" w:eastAsia="zh-CN" w:bidi="ar-SA"/>
    </w:rPr>
  </w:style>
  <w:style w:type="paragraph" w:customStyle="1" w:styleId="110">
    <w:name w:val="content5"/>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character" w:customStyle="1" w:styleId="111">
    <w:name w:val="Plain Text Char1"/>
    <w:semiHidden/>
    <w:qFormat/>
    <w:uiPriority w:val="99"/>
    <w:rPr>
      <w:rFonts w:ascii="宋体" w:hAnsi="Courier New" w:eastAsia="宋体" w:cs="Courier New"/>
      <w:szCs w:val="21"/>
    </w:rPr>
  </w:style>
  <w:style w:type="character" w:customStyle="1" w:styleId="112">
    <w:name w:val="无间隔 Char"/>
    <w:qFormat/>
    <w:uiPriority w:val="0"/>
    <w:rPr>
      <w:rFonts w:ascii="Calibri" w:hAnsi="Calibri" w:eastAsia="宋体" w:cs="Times New Roman"/>
      <w:kern w:val="2"/>
      <w:sz w:val="22"/>
      <w:szCs w:val="22"/>
      <w:lang w:val="en-US" w:eastAsia="zh-CN" w:bidi="ar-SA"/>
    </w:rPr>
  </w:style>
  <w:style w:type="paragraph" w:styleId="113">
    <w:name w:val="No Spacing"/>
    <w:link w:val="114"/>
    <w:unhideWhenUsed/>
    <w:qFormat/>
    <w:uiPriority w:val="99"/>
    <w:rPr>
      <w:rFonts w:ascii="Calibri" w:hAnsi="Calibri" w:eastAsia="宋体" w:cs="Times New Roman"/>
      <w:kern w:val="2"/>
      <w:sz w:val="22"/>
      <w:szCs w:val="22"/>
      <w:lang w:val="en-US" w:eastAsia="zh-CN" w:bidi="ar-SA"/>
    </w:rPr>
  </w:style>
  <w:style w:type="character" w:customStyle="1" w:styleId="114">
    <w:name w:val="无间隔 字符"/>
    <w:link w:val="113"/>
    <w:qFormat/>
    <w:uiPriority w:val="0"/>
    <w:rPr>
      <w:rFonts w:ascii="Calibri" w:hAnsi="Calibri" w:eastAsia="宋体" w:cs="Times New Roman"/>
      <w:kern w:val="2"/>
      <w:sz w:val="22"/>
      <w:szCs w:val="22"/>
      <w:lang w:val="en-US" w:eastAsia="zh-CN" w:bidi="ar-SA"/>
    </w:rPr>
  </w:style>
  <w:style w:type="character" w:customStyle="1" w:styleId="115">
    <w:name w:val="标题 1 Char Char"/>
    <w:qFormat/>
    <w:uiPriority w:val="0"/>
    <w:rPr>
      <w:rFonts w:ascii="Calibri" w:hAnsi="Calibri" w:eastAsia="宋体" w:cs="Times New Roman"/>
      <w:b/>
      <w:bCs/>
      <w:kern w:val="44"/>
      <w:sz w:val="44"/>
      <w:szCs w:val="44"/>
    </w:rPr>
  </w:style>
  <w:style w:type="character" w:customStyle="1" w:styleId="116">
    <w:name w:val="0b1211"/>
    <w:qFormat/>
    <w:uiPriority w:val="0"/>
    <w:rPr>
      <w:rFonts w:ascii="Calibri" w:hAnsi="Calibri" w:eastAsia="宋体" w:cs="Times New Roman"/>
      <w:color w:val="000000"/>
      <w:sz w:val="18"/>
      <w:szCs w:val="18"/>
      <w:u w:val="none"/>
    </w:rPr>
  </w:style>
  <w:style w:type="paragraph" w:customStyle="1" w:styleId="117">
    <w:name w:val="Char Char Char Char"/>
    <w:basedOn w:val="1"/>
    <w:qFormat/>
    <w:uiPriority w:val="0"/>
    <w:rPr>
      <w:rFonts w:ascii="Times New Roman" w:hAnsi="Times New Roman" w:eastAsia="宋体" w:cs="Times New Roman"/>
      <w:szCs w:val="21"/>
    </w:rPr>
  </w:style>
  <w:style w:type="character" w:customStyle="1" w:styleId="118">
    <w:name w:val="正文文本缩进 Char1"/>
    <w:basedOn w:val="39"/>
    <w:semiHidden/>
    <w:qFormat/>
    <w:uiPriority w:val="99"/>
    <w:rPr>
      <w:rFonts w:ascii="Times New Roman" w:hAnsi="Times New Roman" w:eastAsia="宋体" w:cs="Times New Roman"/>
      <w:szCs w:val="24"/>
    </w:rPr>
  </w:style>
  <w:style w:type="paragraph" w:customStyle="1" w:styleId="119">
    <w:name w:val="列出段落1"/>
    <w:basedOn w:val="1"/>
    <w:qFormat/>
    <w:uiPriority w:val="0"/>
    <w:pPr>
      <w:ind w:firstLine="420" w:firstLineChars="200"/>
    </w:pPr>
    <w:rPr>
      <w:rFonts w:ascii="Calibri" w:hAnsi="Calibri" w:eastAsia="宋体" w:cs="Times New Roman"/>
      <w:szCs w:val="22"/>
    </w:rPr>
  </w:style>
  <w:style w:type="paragraph" w:customStyle="1" w:styleId="120">
    <w:name w:val="TOC 标题1"/>
    <w:basedOn w:val="2"/>
    <w:next w:val="1"/>
    <w:qFormat/>
    <w:uiPriority w:val="39"/>
    <w:pPr>
      <w:keepNext/>
      <w:keepLines/>
      <w:widowControl/>
      <w:autoSpaceDE/>
      <w:autoSpaceDN/>
      <w:spacing w:before="480" w:after="100" w:afterAutospacing="1" w:line="276" w:lineRule="auto"/>
      <w:ind w:left="0" w:right="0"/>
      <w:jc w:val="left"/>
      <w:outlineLvl w:val="9"/>
    </w:pPr>
    <w:rPr>
      <w:rFonts w:ascii="Cambria" w:hAnsi="Cambria" w:eastAsia="黑体" w:cs="Times New Roman"/>
      <w:b w:val="0"/>
      <w:color w:val="365F91"/>
      <w:kern w:val="0"/>
      <w:sz w:val="28"/>
      <w:szCs w:val="28"/>
      <w:lang w:val="en-US" w:bidi="ar-SA"/>
    </w:rPr>
  </w:style>
  <w:style w:type="character" w:customStyle="1" w:styleId="121">
    <w:name w:val="标题 Char1"/>
    <w:basedOn w:val="39"/>
    <w:qFormat/>
    <w:uiPriority w:val="10"/>
    <w:rPr>
      <w:rFonts w:ascii="Cambria" w:hAnsi="Cambria" w:eastAsia="宋体" w:cs="Times New Roman"/>
      <w:b/>
      <w:bCs/>
      <w:sz w:val="32"/>
      <w:szCs w:val="32"/>
    </w:rPr>
  </w:style>
  <w:style w:type="character" w:customStyle="1" w:styleId="122">
    <w:name w:val="批注框文本 Char1"/>
    <w:basedOn w:val="39"/>
    <w:semiHidden/>
    <w:qFormat/>
    <w:uiPriority w:val="99"/>
    <w:rPr>
      <w:rFonts w:ascii="Times New Roman" w:hAnsi="Times New Roman" w:eastAsia="宋体" w:cs="Times New Roman"/>
      <w:sz w:val="18"/>
      <w:szCs w:val="18"/>
    </w:rPr>
  </w:style>
  <w:style w:type="paragraph" w:customStyle="1" w:styleId="123">
    <w:name w:val="Char Char Char Char1"/>
    <w:basedOn w:val="1"/>
    <w:qFormat/>
    <w:uiPriority w:val="0"/>
    <w:rPr>
      <w:rFonts w:ascii="Times New Roman" w:hAnsi="Times New Roman" w:eastAsia="宋体" w:cs="Times New Roman"/>
      <w:szCs w:val="21"/>
    </w:rPr>
  </w:style>
  <w:style w:type="paragraph" w:customStyle="1" w:styleId="124">
    <w:name w:val="0b121"/>
    <w:basedOn w:val="1"/>
    <w:qFormat/>
    <w:uiPriority w:val="0"/>
    <w:pPr>
      <w:widowControl/>
      <w:spacing w:before="100" w:beforeAutospacing="1" w:after="100" w:afterAutospacing="1" w:line="360" w:lineRule="auto"/>
      <w:jc w:val="left"/>
    </w:pPr>
    <w:rPr>
      <w:rFonts w:ascii="Arial Unicode MS" w:hAnsi="Arial Unicode MS" w:eastAsia="Arial Unicode MS" w:cs="Arial Unicode MS"/>
      <w:color w:val="000000"/>
      <w:kern w:val="0"/>
      <w:sz w:val="18"/>
      <w:szCs w:val="18"/>
    </w:rPr>
  </w:style>
  <w:style w:type="paragraph" w:customStyle="1" w:styleId="125">
    <w:name w:val="纯文本1"/>
    <w:basedOn w:val="1"/>
    <w:qFormat/>
    <w:uiPriority w:val="0"/>
    <w:rPr>
      <w:rFonts w:ascii="宋体" w:hAnsi="Courier New" w:eastAsia="宋体" w:cs="Courier New"/>
      <w:szCs w:val="21"/>
    </w:rPr>
  </w:style>
  <w:style w:type="paragraph" w:customStyle="1" w:styleId="126">
    <w:name w:val="标题5"/>
    <w:basedOn w:val="1"/>
    <w:qFormat/>
    <w:uiPriority w:val="0"/>
    <w:pPr>
      <w:keepNext/>
      <w:keepLines/>
      <w:spacing w:before="100" w:after="100" w:line="415" w:lineRule="auto"/>
      <w:outlineLvl w:val="2"/>
    </w:pPr>
    <w:rPr>
      <w:rFonts w:ascii="Times New Roman" w:hAnsi="Times New Roman" w:eastAsia="宋体" w:cs="Times New Roman"/>
      <w:b/>
      <w:bCs/>
      <w:kern w:val="0"/>
      <w:sz w:val="24"/>
      <w:szCs w:val="24"/>
    </w:rPr>
  </w:style>
  <w:style w:type="paragraph" w:customStyle="1" w:styleId="127">
    <w:name w:val="标题1"/>
    <w:basedOn w:val="1"/>
    <w:qFormat/>
    <w:uiPriority w:val="0"/>
    <w:pPr>
      <w:widowControl/>
      <w:spacing w:before="100" w:beforeAutospacing="1" w:after="100" w:afterAutospacing="1" w:line="375" w:lineRule="atLeast"/>
      <w:jc w:val="left"/>
    </w:pPr>
    <w:rPr>
      <w:rFonts w:ascii="Times New Roman" w:hAnsi="Times New Roman" w:eastAsia="宋体" w:cs="Times New Roman"/>
      <w:kern w:val="0"/>
      <w:sz w:val="30"/>
      <w:szCs w:val="30"/>
    </w:rPr>
  </w:style>
  <w:style w:type="paragraph" w:customStyle="1" w:styleId="128">
    <w:name w:val="标题4"/>
    <w:basedOn w:val="4"/>
    <w:qFormat/>
    <w:uiPriority w:val="0"/>
  </w:style>
  <w:style w:type="character" w:customStyle="1" w:styleId="129">
    <w:name w:val="书籍标题1"/>
    <w:qFormat/>
    <w:uiPriority w:val="33"/>
    <w:rPr>
      <w:rFonts w:ascii="Calibri" w:hAnsi="Calibri" w:eastAsia="宋体" w:cs="Times New Roman"/>
      <w:b/>
      <w:bCs/>
      <w:smallCaps/>
      <w:spacing w:val="5"/>
    </w:rPr>
  </w:style>
  <w:style w:type="character" w:customStyle="1" w:styleId="130">
    <w:name w:val="apple-converted-space"/>
    <w:basedOn w:val="39"/>
    <w:qFormat/>
    <w:uiPriority w:val="0"/>
    <w:rPr>
      <w:rFonts w:ascii="Calibri" w:hAnsi="Calibri" w:eastAsia="宋体" w:cs="Times New Roman"/>
    </w:rPr>
  </w:style>
  <w:style w:type="character" w:customStyle="1" w:styleId="131">
    <w:name w:val="font11"/>
    <w:qFormat/>
    <w:uiPriority w:val="0"/>
    <w:rPr>
      <w:rFonts w:hint="eastAsia" w:ascii="宋体" w:hAnsi="宋体" w:eastAsia="宋体" w:cs="宋体"/>
      <w:b/>
      <w:color w:val="000000"/>
      <w:sz w:val="28"/>
      <w:szCs w:val="28"/>
      <w:u w:val="single"/>
    </w:rPr>
  </w:style>
  <w:style w:type="character" w:customStyle="1" w:styleId="132">
    <w:name w:val="font41"/>
    <w:qFormat/>
    <w:uiPriority w:val="0"/>
    <w:rPr>
      <w:rFonts w:hint="eastAsia" w:ascii="宋体" w:hAnsi="宋体" w:eastAsia="宋体" w:cs="宋体"/>
      <w:b/>
      <w:color w:val="000000"/>
      <w:sz w:val="28"/>
      <w:szCs w:val="28"/>
      <w:u w:val="none"/>
    </w:rPr>
  </w:style>
  <w:style w:type="character" w:customStyle="1" w:styleId="133">
    <w:name w:val="font31"/>
    <w:qFormat/>
    <w:uiPriority w:val="0"/>
    <w:rPr>
      <w:rFonts w:hint="eastAsia" w:ascii="宋体" w:hAnsi="宋体" w:eastAsia="宋体" w:cs="宋体"/>
      <w:b/>
      <w:color w:val="000000"/>
      <w:sz w:val="28"/>
      <w:szCs w:val="28"/>
      <w:u w:val="none"/>
    </w:rPr>
  </w:style>
  <w:style w:type="character" w:customStyle="1" w:styleId="134">
    <w:name w:val="日期 Char1"/>
    <w:basedOn w:val="39"/>
    <w:semiHidden/>
    <w:qFormat/>
    <w:uiPriority w:val="99"/>
    <w:rPr>
      <w:rFonts w:ascii="Times New Roman" w:hAnsi="Times New Roman" w:eastAsia="宋体" w:cs="Times New Roman"/>
      <w:szCs w:val="24"/>
    </w:rPr>
  </w:style>
  <w:style w:type="paragraph" w:customStyle="1" w:styleId="135">
    <w:name w:val="_Style 1"/>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136">
    <w:name w:val="Heading 1"/>
    <w:basedOn w:val="1"/>
    <w:qFormat/>
    <w:uiPriority w:val="1"/>
    <w:pPr>
      <w:autoSpaceDE w:val="0"/>
      <w:autoSpaceDN w:val="0"/>
      <w:adjustRightInd w:val="0"/>
      <w:ind w:left="120" w:hanging="1301"/>
      <w:jc w:val="left"/>
      <w:outlineLvl w:val="0"/>
    </w:pPr>
    <w:rPr>
      <w:rFonts w:ascii="华文中宋" w:hAnsi="Times New Roman" w:eastAsia="华文中宋" w:cs="华文中宋"/>
      <w:b/>
      <w:bCs/>
      <w:kern w:val="0"/>
      <w:sz w:val="36"/>
      <w:szCs w:val="36"/>
    </w:rPr>
  </w:style>
  <w:style w:type="table" w:customStyle="1" w:styleId="137">
    <w:name w:val="TableGrid"/>
    <w:qFormat/>
    <w:uiPriority w:val="0"/>
    <w:tblPr>
      <w:tblCellMar>
        <w:top w:w="0" w:type="dxa"/>
        <w:left w:w="0" w:type="dxa"/>
        <w:bottom w:w="0" w:type="dxa"/>
        <w:right w:w="0" w:type="dxa"/>
      </w:tblCellMar>
    </w:tblPr>
  </w:style>
  <w:style w:type="character" w:customStyle="1" w:styleId="138">
    <w:name w:val="页眉 Char1"/>
    <w:semiHidden/>
    <w:qFormat/>
    <w:uiPriority w:val="99"/>
    <w:rPr>
      <w:rFonts w:ascii="Times New Roman" w:hAnsi="Times New Roman" w:eastAsia="宋体" w:cs="Times New Roman"/>
      <w:sz w:val="18"/>
      <w:szCs w:val="18"/>
    </w:rPr>
  </w:style>
  <w:style w:type="character" w:customStyle="1" w:styleId="139">
    <w:name w:val="fontstyle01"/>
    <w:qFormat/>
    <w:uiPriority w:val="0"/>
    <w:rPr>
      <w:rFonts w:hint="eastAsia" w:ascii="华文中宋" w:hAnsi="华文中宋" w:eastAsia="华文中宋" w:cs="Times New Roman"/>
      <w:color w:val="000000"/>
      <w:sz w:val="36"/>
      <w:szCs w:val="36"/>
    </w:rPr>
  </w:style>
  <w:style w:type="character" w:customStyle="1" w:styleId="140">
    <w:name w:val="fontstyle21"/>
    <w:qFormat/>
    <w:uiPriority w:val="0"/>
    <w:rPr>
      <w:rFonts w:hint="default" w:ascii="TimesNewRomanPSMT" w:hAnsi="TimesNewRomanPSMT" w:eastAsia="宋体" w:cs="Times New Roman"/>
      <w:color w:val="000000"/>
      <w:sz w:val="32"/>
      <w:szCs w:val="32"/>
    </w:rPr>
  </w:style>
  <w:style w:type="character" w:customStyle="1" w:styleId="141">
    <w:name w:val="fontstyle31"/>
    <w:qFormat/>
    <w:uiPriority w:val="0"/>
    <w:rPr>
      <w:rFonts w:hint="eastAsia" w:ascii="宋体" w:hAnsi="宋体" w:eastAsia="宋体" w:cs="Times New Roman"/>
      <w:color w:val="000000"/>
      <w:sz w:val="32"/>
      <w:szCs w:val="32"/>
    </w:rPr>
  </w:style>
  <w:style w:type="character" w:customStyle="1" w:styleId="142">
    <w:name w:val="fontstyle41"/>
    <w:qFormat/>
    <w:uiPriority w:val="0"/>
    <w:rPr>
      <w:rFonts w:hint="default" w:ascii="仿宋" w:hAnsi="仿宋" w:eastAsia="宋体" w:cs="Times New Roman"/>
      <w:color w:val="000000"/>
      <w:sz w:val="32"/>
      <w:szCs w:val="32"/>
    </w:rPr>
  </w:style>
  <w:style w:type="character" w:customStyle="1" w:styleId="143">
    <w:name w:val="fontstyle11"/>
    <w:qFormat/>
    <w:uiPriority w:val="0"/>
    <w:rPr>
      <w:rFonts w:hint="eastAsia" w:ascii="宋体" w:hAnsi="宋体" w:eastAsia="宋体" w:cs="Times New Roman"/>
      <w:color w:val="000000"/>
      <w:sz w:val="32"/>
      <w:szCs w:val="32"/>
    </w:rPr>
  </w:style>
  <w:style w:type="paragraph" w:customStyle="1" w:styleId="144">
    <w:name w:val="Revision"/>
    <w:semiHidden/>
    <w:qFormat/>
    <w:uiPriority w:val="99"/>
    <w:rPr>
      <w:rFonts w:ascii="Times New Roman" w:hAnsi="Times New Roman" w:eastAsia="宋体" w:cs="Times New Roman"/>
      <w:kern w:val="2"/>
      <w:sz w:val="21"/>
      <w:szCs w:val="24"/>
      <w:lang w:val="en-US" w:eastAsia="zh-CN" w:bidi="ar-SA"/>
    </w:rPr>
  </w:style>
  <w:style w:type="paragraph" w:customStyle="1" w:styleId="145">
    <w:name w:val="修订1"/>
    <w:semiHidden/>
    <w:qFormat/>
    <w:uiPriority w:val="99"/>
    <w:rPr>
      <w:rFonts w:ascii="Times New Roman" w:hAnsi="Times New Roman" w:eastAsia="仿宋_GB2312" w:cs="Times New Roman"/>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8.png"/><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oleObject" Target="embeddings/oleObject4.bin"/><Relationship Id="rId17" Type="http://schemas.openxmlformats.org/officeDocument/2006/relationships/oleObject" Target="embeddings/oleObject3.bin"/><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oleObject" Target="embeddings/oleObject2.bin"/><Relationship Id="rId13" Type="http://schemas.openxmlformats.org/officeDocument/2006/relationships/image" Target="media/image5.wmf"/><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QW\AppData\Roaming\Kingsoft\office6\templates\download\85459dbd-0ea1-4bd6-a57a-161705c7bf55\&#20135;&#21697;&#25163;&#20876;&#23459;&#20256;&#20876;&#23553;&#38754;&#35774;&#3574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5" textRotate="1"/>
    <customShpInfo spid="_x0000_s1046" textRotate="1"/>
    <customShpInfo spid="_x0000_s1047" textRotate="1"/>
    <customShpInfo spid="_x0000_s1044"/>
    <customShpInfo spid="_x0000_s1049"/>
    <customShpInfo spid="_x0000_s1050"/>
    <customShpInfo spid="_x0000_s1048"/>
    <customShpInfo spid="_x0000_s1051"/>
    <customShpInfo spid="_x0000_s1052"/>
    <customShpInfo spid="_x0000_s1053"/>
    <customShpInfo spid="_x0000_s1054"/>
    <customShpInfo spid="_x0000_s1056"/>
    <customShpInfo spid="_x0000_s1057"/>
    <customShpInfo spid="_x0000_s1055"/>
    <customShpInfo spid="_x0000_s1058"/>
    <customShpInfo spid="_x0000_s1059"/>
    <customShpInfo spid="_x0000_s1060"/>
    <customShpInfo spid="_x0000_s1061"/>
    <customShpInfo spid="_x0000_s1063"/>
    <customShpInfo spid="_x0000_s1064"/>
    <customShpInfo spid="_x0000_s1062"/>
    <customShpInfo spid="_x0000_s1065"/>
    <customShpInfo spid="_x0000_s1066"/>
    <customShpInfo spid="_x0000_s1067"/>
    <customShpInfo spid="_x0000_s1068"/>
    <customShpInfo spid="_x0000_s1070"/>
    <customShpInfo spid="_x0000_s1071"/>
    <customShpInfo spid="_x0000_s1069"/>
    <customShpInfo spid="_x0000_s1072"/>
    <customShpInfo spid="_x0000_s1073"/>
    <customShpInfo spid="_x0000_s1074"/>
    <customShpInfo spid="_x0000_s1076"/>
    <customShpInfo spid="_x0000_s1077"/>
    <customShpInfo spid="_x0000_s1075"/>
    <customShpInfo spid="_x0000_s1078"/>
    <customShpInfo spid="_x0000_s1079"/>
    <customShpInfo spid="_x0000_s1080"/>
    <customShpInfo spid="_x0000_s1081"/>
    <customShpInfo spid="_x0000_s1082"/>
    <customShpInfo spid="_x0000_s1084"/>
    <customShpInfo spid="_x0000_s1085"/>
    <customShpInfo spid="_x0000_s1083"/>
    <customShpInfo spid="_x0000_s1086"/>
    <customShpInfo spid="_x0000_s1087"/>
    <customShpInfo spid="_x0000_s1088"/>
    <customShpInfo spid="_x0000_s1090"/>
    <customShpInfo spid="_x0000_s1091"/>
    <customShpInfo spid="_x0000_s1089"/>
    <customShpInfo spid="_x0000_s1092"/>
    <customShpInfo spid="_x0000_s1093"/>
    <customShpInfo spid="_x0000_s1094"/>
    <customShpInfo spid="_x0000_s1095"/>
    <customShpInfo spid="_x0000_s1097"/>
    <customShpInfo spid="_x0000_s1098"/>
    <customShpInfo spid="_x0000_s1096"/>
    <customShpInfo spid="_x0000_s1099"/>
    <customShpInfo spid="_x0000_s1100"/>
    <customShpInfo spid="_x0000_s1101"/>
    <customShpInfo spid="_x0000_s1102"/>
    <customShpInfo spid="_x0000_s1103" textRotate="1"/>
    <customShpInfo spid="_x0000_s1104"/>
    <customShpInfo spid="_x0000_s1105"/>
    <customShpInfo spid="_x0000_s1106" textRotate="1"/>
    <customShpInfo spid="_x0000_s1107" textRotate="1"/>
    <customShpInfo spid="_x0000_s1108"/>
    <customShpInfo spid="_x0000_s1109"/>
    <customShpInfo spid="_x0000_s1110" textRotate="1"/>
    <customShpInfo spid="_x0000_s1111" textRotate="1"/>
    <customShpInfo spid="_x0000_s1112" textRotate="1"/>
    <customShpInfo spid="_x0000_s1113" textRotate="1"/>
    <customShpInfo spid="_x0000_s1114" textRotate="1"/>
    <customShpInfo spid="_x0000_s1115" textRotate="1"/>
    <customShpInfo spid="_x0000_s1116"/>
    <customShpInfo spid="_x0000_s1117" textRotate="1"/>
    <customShpInfo spid="_x0000_s1118" textRotate="1"/>
    <customShpInfo spid="_x0000_s1119" textRotate="1"/>
    <customShpInfo spid="_x0000_s1120"/>
    <customShpInfo spid="_x0000_s1121"/>
    <customShpInfo spid="_x0000_s1122" textRotate="1"/>
    <customShpInfo spid="_x0000_s1123" textRotate="1"/>
    <customShpInfo spid="_x0000_s1124"/>
    <customShpInfo spid="_x0000_s1125" textRotate="1"/>
    <customShpInfo spid="_x0000_s1126"/>
    <customShpInfo spid="_x0000_s1127" textRotate="1"/>
    <customShpInfo spid="_x0000_s1128"/>
    <customShpInfo spid="_x0000_s1129" textRotate="1"/>
    <customShpInfo spid="_x0000_s1130"/>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31"/>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76"/>
    <customShpInfo spid="_x0000_s1163"/>
    <customShpInfo spid="_x0000_s1188"/>
    <customShpInfo spid="_x0000_s1189"/>
    <customShpInfo spid="_x0000_s1190"/>
    <customShpInfo spid="_x0000_s1191"/>
    <customShpInfo spid="_x0000_s1192"/>
    <customShpInfo spid="_x0000_s1193"/>
    <customShpInfo spid="_x0000_s1162"/>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07"/>
    <customShpInfo spid="_x0000_s1194"/>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textRotate="1"/>
    <customShpInfo spid="_x0000_s1241" textRotate="1"/>
    <customShpInfo spid="_x0000_s1242" textRotate="1"/>
    <customShpInfo spid="_x0000_s1243"/>
    <customShpInfo spid="_x0000_s1244" textRotate="1"/>
    <customShpInfo spid="_x0000_s1245" textRotate="1"/>
    <customShpInfo spid="_x0000_s1246" textRotate="1"/>
    <customShpInfo spid="_x0000_s1247"/>
    <customShpInfo spid="_x0000_s1248" textRotate="1"/>
    <customShpInfo spid="_x0000_s1249" textRotate="1"/>
    <customShpInfo spid="_x0000_s1250" textRotate="1"/>
    <customShpInfo spid="_x0000_s1251"/>
    <customShpInfo spid="_x0000_s1252"/>
    <customShpInfo spid="_x0000_s1253" textRotate="1"/>
    <customShpInfo spid="_x0000_s1254"/>
    <customShpInfo spid="_x0000_s1255" textRotate="1"/>
    <customShpInfo spid="_x0000_s1256"/>
    <customShpInfo spid="_x0000_s1257" textRotate="1"/>
    <customShpInfo spid="_x0000_s1258"/>
    <customShpInfo spid="_x0000_s1259" textRotate="1"/>
    <customShpInfo spid="_x0000_s1260"/>
    <customShpInfo spid="_x0000_s1261"/>
    <customShpInfo spid="_x0000_s1262" textRotate="1"/>
    <customShpInfo spid="_x0000_s1263"/>
    <customShpInfo spid="_x0000_s1264" textRotate="1"/>
    <customShpInfo spid="_x0000_s1265"/>
    <customShpInfo spid="_x0000_s1266" textRotate="1"/>
    <customShpInfo spid="_x0000_s1267"/>
    <customShpInfo spid="_x0000_s1268" textRotate="1"/>
    <customShpInfo spid="_x0000_s1269"/>
    <customShpInfo spid="_x0000_s1270" textRotate="1"/>
    <customShpInfo spid="_x0000_s1271"/>
    <customShpInfo spid="_x0000_s1272"/>
    <customShpInfo spid="_x0000_s1274"/>
    <customShpInfo spid="_x0000_s1273"/>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2" textRotate="1"/>
    <customShpInfo spid="_x0000_s1331"/>
    <customShpInfo spid="_x0000_s1334" textRotate="1"/>
    <customShpInfo spid="_x0000_s1335" textRotate="1"/>
    <customShpInfo spid="_x0000_s1336" textRotate="1"/>
    <customShpInfo spid="_x0000_s1337" textRotate="1"/>
    <customShpInfo spid="_x0000_s1333"/>
    <customShpInfo spid="_x0000_s1339" textRotate="1"/>
    <customShpInfo spid="_x0000_s1338"/>
    <customShpInfo spid="_x0000_s1341" textRotate="1"/>
    <customShpInfo spid="_x0000_s134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3155B5-5CDE-4CDB-9C09-5B1F39BF4586}">
  <ds:schemaRefs/>
</ds:datastoreItem>
</file>

<file path=docProps/app.xml><?xml version="1.0" encoding="utf-8"?>
<Properties xmlns="http://schemas.openxmlformats.org/officeDocument/2006/extended-properties" xmlns:vt="http://schemas.openxmlformats.org/officeDocument/2006/docPropsVTypes">
  <Template>产品手册宣传册封面设计</Template>
  <Pages>579</Pages>
  <Words>230255</Words>
  <Characters>235876</Characters>
  <Lines>18</Lines>
  <Paragraphs>5</Paragraphs>
  <TotalTime>41</TotalTime>
  <ScaleCrop>false</ScaleCrop>
  <LinksUpToDate>false</LinksUpToDate>
  <CharactersWithSpaces>251935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qzuser</cp:category>
  <dcterms:created xsi:type="dcterms:W3CDTF">2022-03-24T00:26:00Z</dcterms:created>
  <dc:creator>28snare</dc:creator>
  <dc:description>qzuser;</dc:description>
  <cp:keywords>qzuser</cp:keywords>
  <cp:lastModifiedBy>绿茶</cp:lastModifiedBy>
  <cp:lastPrinted>2022-03-23T10:57:00Z</cp:lastPrinted>
  <dcterms:modified xsi:type="dcterms:W3CDTF">2022-09-30T12:38:23Z</dcterms:modified>
  <dc:subject>qzuser;</dc:subject>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KSOTemplateUUID">
    <vt:lpwstr>v1.0_mb_5/BAD2D4/4IGI16yDQ5Ppg==</vt:lpwstr>
  </property>
  <property fmtid="{D5CDD505-2E9C-101B-9397-08002B2CF9AE}" pid="4" name="ICV">
    <vt:lpwstr>C7EDA9F8C55F4BF5AB115B32CE0E70FB</vt:lpwstr>
  </property>
</Properties>
</file>